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Cs/>
          <w:sz w:val="24"/>
          <w:szCs w:val="24"/>
        </w:rPr>
      </w:pPr>
      <w:r>
        <w:rPr>
          <w:rFonts w:hint="eastAsia" w:ascii="宋体" w:hAnsi="宋体" w:eastAsia="宋体" w:cs="宋体"/>
          <w:bCs/>
          <w:sz w:val="24"/>
          <w:szCs w:val="24"/>
        </w:rPr>
        <w:t>附件</w:t>
      </w:r>
    </w:p>
    <w:p>
      <w:pPr>
        <w:spacing w:line="360" w:lineRule="auto"/>
        <w:jc w:val="center"/>
        <w:rPr>
          <w:rFonts w:hint="eastAsia" w:ascii="宋体" w:hAnsi="宋体" w:eastAsia="宋体" w:cs="宋体"/>
          <w:b/>
          <w:bCs w:val="0"/>
          <w:sz w:val="32"/>
          <w:szCs w:val="32"/>
        </w:rPr>
      </w:pPr>
      <w:bookmarkStart w:id="0" w:name="_GoBack"/>
      <w:bookmarkEnd w:id="0"/>
      <w:r>
        <w:rPr>
          <w:rFonts w:hint="eastAsia" w:ascii="宋体" w:hAnsi="宋体" w:eastAsia="宋体" w:cs="宋体"/>
          <w:b/>
          <w:bCs w:val="0"/>
          <w:sz w:val="32"/>
          <w:szCs w:val="32"/>
        </w:rPr>
        <w:t>2018年工业互联网APP优秀解决方案名单</w:t>
      </w:r>
    </w:p>
    <w:p>
      <w:pPr>
        <w:spacing w:line="360" w:lineRule="auto"/>
        <w:jc w:val="center"/>
        <w:rPr>
          <w:rFonts w:hint="eastAsia" w:ascii="宋体" w:hAnsi="宋体" w:eastAsia="宋体" w:cs="宋体"/>
          <w:bCs/>
          <w:sz w:val="24"/>
          <w:szCs w:val="24"/>
        </w:rPr>
      </w:pPr>
    </w:p>
    <w:tbl>
      <w:tblPr>
        <w:tblStyle w:val="4"/>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843"/>
        <w:gridCol w:w="1324"/>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jc w:val="center"/>
        </w:trPr>
        <w:tc>
          <w:tcPr>
            <w:tcW w:w="860"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3843"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申报单位</w:t>
            </w:r>
          </w:p>
        </w:tc>
        <w:tc>
          <w:tcPr>
            <w:tcW w:w="1324"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推荐单位</w:t>
            </w:r>
          </w:p>
        </w:tc>
        <w:tc>
          <w:tcPr>
            <w:tcW w:w="3208"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解决方案名称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1</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北京工业大数据创新中心有限公司</w:t>
            </w:r>
          </w:p>
        </w:tc>
        <w:tc>
          <w:tcPr>
            <w:tcW w:w="1324" w:type="dxa"/>
            <w:vMerge w:val="restart"/>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bCs/>
                <w:sz w:val="24"/>
                <w:szCs w:val="24"/>
              </w:rPr>
              <w:t>北京市经济和信息化局</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高价值设备智能远程运维应用解决方案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2</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北京兰光创新科技有限公司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兰光工业互联网APP应用解决方案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3</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北京索为系统技术股份有限公司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制导飞行器总体快速设计集成（APP应用）平台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4</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和利时科技集团有限公司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和利时HolliMachine智能设备云工业互联网APP</w:t>
            </w:r>
            <w:r>
              <w:rPr>
                <w:rFonts w:hint="eastAsia" w:ascii="宋体" w:hAnsi="宋体" w:eastAsia="宋体" w:cs="宋体"/>
                <w:sz w:val="24"/>
                <w:szCs w:val="24"/>
                <w:lang w:eastAsia="zh-CN"/>
              </w:rPr>
              <w:t>应用</w:t>
            </w:r>
            <w:r>
              <w:rPr>
                <w:rFonts w:hint="eastAsia" w:ascii="宋体" w:hAnsi="宋体" w:eastAsia="宋体" w:cs="宋体"/>
                <w:sz w:val="24"/>
                <w:szCs w:val="24"/>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5</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用友网络科技股份有限公司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用友精智设计云服务工业互联网APP应用解决方案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6</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海尔数字科技(天津)有限公司</w:t>
            </w:r>
          </w:p>
        </w:tc>
        <w:tc>
          <w:tcPr>
            <w:tcW w:w="1324" w:type="dxa"/>
            <w:vMerge w:val="restart"/>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"http://www.baidu.com/link?url=FW2AfHGgIPMQtjJWs6bj9jQOF0QQXRRl1HtxhCRPNuB34eLtQoZW10r67i8Y7iE_"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天津市工业和信息化局</w:t>
            </w:r>
            <w:r>
              <w:rPr>
                <w:rFonts w:hint="eastAsia" w:ascii="宋体" w:hAnsi="宋体" w:eastAsia="宋体" w:cs="宋体"/>
                <w:sz w:val="24"/>
                <w:szCs w:val="24"/>
              </w:rPr>
              <w:fldChar w:fldCharType="end"/>
            </w:r>
          </w:p>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基于COSMOPlat平台的大规模定制工业互联网APP应用解决方案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7</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天津卡达克数据有限公司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汽车研发设计工业互联网APP应用解决方案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8</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宜科（天津）电子有限公司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基于宜科IoT Hub™ 平台的宜科工业互联网APP应用解决方案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9</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沃德(天津)智能技术有限公司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沃德智能工业互联网APP应用解决方案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10</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天津市天锻压力机有限公司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天锻大型锻造装备远程运维工业互联网APP应用解决方案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11</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天津路曼科技有限公司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路曼科技远程运维解决方案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包头市万佳信息工程有限公司</w:t>
            </w:r>
          </w:p>
        </w:tc>
        <w:tc>
          <w:tcPr>
            <w:tcW w:w="1324"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bCs/>
                <w:sz w:val="24"/>
                <w:szCs w:val="24"/>
              </w:rPr>
              <w:t>内蒙古自治区</w:t>
            </w:r>
            <w:r>
              <w:rPr>
                <w:rFonts w:hint="eastAsia" w:ascii="宋体" w:hAnsi="宋体" w:eastAsia="宋体" w:cs="宋体"/>
                <w:bCs/>
                <w:sz w:val="24"/>
                <w:szCs w:val="24"/>
                <w:lang w:eastAsia="zh-CN"/>
              </w:rPr>
              <w:t>工业</w:t>
            </w:r>
            <w:r>
              <w:rPr>
                <w:rFonts w:hint="eastAsia" w:ascii="宋体" w:hAnsi="宋体" w:eastAsia="宋体" w:cs="宋体"/>
                <w:bCs/>
                <w:sz w:val="24"/>
                <w:szCs w:val="24"/>
              </w:rPr>
              <w:t>和信息化委员会</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基于内蒙古网络协同制造云平台万佳信息工业互联网APP应用解决方案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13</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沈阳鸿宇科技有限公司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辽宁省工业和信息化厅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鸿宇智能工厂管家 APP 综合解决方案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14</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沈阳机床股份有限公司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产品全生命周期管理智能工业APP解决方案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吉林市东北电院开元科技有限公司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吉林省工业和信息化厅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东电开元/能源高效与清洁利用工业互联网APP应用解决方案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吉林市东杰科技开发有限公司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东杰科技矿山行业工业互联网APP应用解决方案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17</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鼎捷软件股份有限公司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上海市经济和信息化委员会</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鼎捷工业互联网APP应用解决方案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18</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上海顶逸信息科技有限公司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基于3i平台的上海顶逸信息科技有限公司工业互联网APP应用解决方案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19</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上海宇航系统工程研究所</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上海宇航系统工程研究所空间机构数字化协同设计仿真系统工业互联网APP应用解决方案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20</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常州霍思金信息技术有限公司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color w:val="000000"/>
                <w:kern w:val="0"/>
                <w:sz w:val="24"/>
                <w:szCs w:val="24"/>
              </w:rPr>
              <w:t>江苏省工业和信息化厅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常州霍思金信息技术有限公司冷轧工艺优化DELAB四维仿真工业互联网APP应用解决方案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21</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江苏海宝软件股份有限公司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海宝i-MES智能制造系统解决方案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22</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江苏金思维软件有限公司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金思维生产管控工业互联网APP应用解决方案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23</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朗坤智慧科技股份有限公司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基于苏畅工业互联网平台的设备故障预测与健康管理工业互联网APP应用解决方案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24</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南京科远自动化集团股份有限公司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科远PDS200智能预警系统应用解决方案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25</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南京南瑞信息通信科技有限公司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南瑞信通科技/电力通信调运检移动运维平台工业互联网APP应用解决方案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26</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南京擎天科技有限公司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基于擎天绿色低碳工业互联网的企业碳资产管理工业互联网APP应用解决方案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27</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苏州同元软控信息技术有限公司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同元系统设计与仿真验证平台MWorks工业APP互联网APP应用解决方案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28</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杭州新迪数字工程系统有限公司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浙江省经济和信息化厅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新迪协同研发设计工业互联网APP应用解决方案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29</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绍兴安瑞思网络科技有限公司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化工安全环保工业互联网APP应用解决方案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30</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浙江工企信息技术股份有限公司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基于柔性设计平台的浙江工企信息技术股份有限公司工企MES智能制造系统工业互联网APP应用解决方案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31</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浙江汉腾物联科技有限公司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基于宽窄带一体化平台的汉腾物联智慧能源监测管理系统工业互联网APP应用解决方案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32</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浙江精工钢结构集团有限公司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精筑BIM+项目管理平台工业互联网APP应用解决方案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33</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安徽云轨信息科技有限公司</w:t>
            </w:r>
          </w:p>
        </w:tc>
        <w:tc>
          <w:tcPr>
            <w:tcW w:w="1324"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"https://www.baidu.com/link?url=g8eVUXstbKDkliuUkreGWPvYkWCnutu0rPFnGp_Mi4ozkY_d8xXjmA7KBnz7qyzX&amp;wd=&amp;eqid=a9c2f4da00007c79000000035c2d885f"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安徽省经济和信息化厅</w:t>
            </w:r>
            <w:r>
              <w:rPr>
                <w:rFonts w:hint="eastAsia" w:ascii="宋体" w:hAnsi="宋体" w:eastAsia="宋体" w:cs="宋体"/>
                <w:sz w:val="24"/>
                <w:szCs w:val="24"/>
              </w:rPr>
              <w:fldChar w:fldCharType="end"/>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轨道交通行业移动运维终端应用平台工业互联网APP应用解决方案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34</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嘉泰数控科技股份公司</w:t>
            </w:r>
          </w:p>
        </w:tc>
        <w:tc>
          <w:tcPr>
            <w:tcW w:w="1324"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bCs/>
                <w:sz w:val="24"/>
                <w:szCs w:val="24"/>
              </w:rPr>
              <w:t>福建省工业和信息化厅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嘉泰数控工业互联网APP应用解决方案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35</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鸿富泰精密电子（烟台）有限公司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color w:val="000000"/>
                <w:kern w:val="0"/>
                <w:sz w:val="24"/>
                <w:szCs w:val="24"/>
              </w:rPr>
              <w:t>山东省工业和信息化厅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富士康（烟台）设备智能管理工业互联网APP解决方案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36</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sz w:val="24"/>
                <w:szCs w:val="24"/>
              </w:rPr>
              <w:t>浪潮软件集团有限公司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基于开源工业PaaS的行业通用APP解决方案——浪潮PS Cloud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37</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山东恒远智能科技有限公司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蜂巢设备云-机械加工行业的工业互联网APP应用解决方案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38</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山东万腾电子科技有限公司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万腾腾云工业互联网APP解决方案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39</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大唐广电科技（武汉）有限公司</w:t>
            </w:r>
          </w:p>
        </w:tc>
        <w:tc>
          <w:tcPr>
            <w:tcW w:w="1324"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湖北省经济和信息化厅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基于持续集成平台的博泽生产协同管理软件移动互联网APP应用解决方案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湖南长城计算机系统有限公司</w:t>
            </w:r>
          </w:p>
        </w:tc>
        <w:tc>
          <w:tcPr>
            <w:tcW w:w="1324"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湖南省工业和信息化厅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湖南长城自主可控整机智能制造工业互联网APP解决方案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41</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广州鲁邦通物联网科技有限公司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color w:val="000000"/>
                <w:kern w:val="0"/>
                <w:sz w:val="24"/>
                <w:szCs w:val="24"/>
              </w:rPr>
              <w:t>广东省工业和信息化厅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广州鲁邦通物联网科技有限公司+工业互联网APP应用解决方案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42</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珠海格力电器股份有限公司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基于大数据平台的中央空调全生命周期管理工业互联网APP应用解决方案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43</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南宁富桂精密工业有限公司</w:t>
            </w:r>
          </w:p>
        </w:tc>
        <w:tc>
          <w:tcPr>
            <w:tcW w:w="1324" w:type="dxa"/>
            <w:noWrap w:val="0"/>
            <w:vAlign w:val="center"/>
          </w:tcPr>
          <w:p>
            <w:pPr>
              <w:spacing w:line="360" w:lineRule="auto"/>
              <w:jc w:val="both"/>
              <w:rPr>
                <w:rFonts w:hint="eastAsia" w:ascii="宋体" w:hAnsi="宋体" w:eastAsia="宋体" w:cs="宋体"/>
                <w:sz w:val="24"/>
                <w:szCs w:val="24"/>
                <w:lang w:eastAsia="zh-CN"/>
              </w:rPr>
            </w:pPr>
            <w:r>
              <w:rPr>
                <w:rFonts w:hint="eastAsia" w:ascii="宋体" w:hAnsi="宋体" w:eastAsia="宋体" w:cs="宋体"/>
                <w:bCs/>
                <w:sz w:val="24"/>
                <w:szCs w:val="24"/>
              </w:rPr>
              <w:t>广西</w:t>
            </w:r>
            <w:r>
              <w:rPr>
                <w:rFonts w:hint="eastAsia" w:ascii="宋体" w:hAnsi="宋体" w:eastAsia="宋体" w:cs="宋体"/>
                <w:bCs/>
                <w:sz w:val="24"/>
                <w:szCs w:val="24"/>
                <w:lang w:eastAsia="zh-CN"/>
              </w:rPr>
              <w:t>壮族自治区</w:t>
            </w:r>
            <w:r>
              <w:rPr>
                <w:rFonts w:hint="eastAsia" w:ascii="宋体" w:hAnsi="宋体" w:eastAsia="宋体" w:cs="宋体"/>
                <w:bCs/>
                <w:sz w:val="24"/>
                <w:szCs w:val="24"/>
              </w:rPr>
              <w:t>工业和信息化</w:t>
            </w:r>
            <w:r>
              <w:rPr>
                <w:rFonts w:hint="eastAsia" w:ascii="宋体" w:hAnsi="宋体" w:eastAsia="宋体" w:cs="宋体"/>
                <w:bCs/>
                <w:sz w:val="24"/>
                <w:szCs w:val="24"/>
                <w:lang w:eastAsia="zh-CN"/>
              </w:rPr>
              <w:t>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南宁富桂精密工业有限公司工业互联网APP应用解决方案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44</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瀚云风鹏（重庆）科技有限公司</w:t>
            </w:r>
          </w:p>
        </w:tc>
        <w:tc>
          <w:tcPr>
            <w:tcW w:w="1324" w:type="dxa"/>
            <w:vMerge w:val="restart"/>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重庆市经济和信息化委员会</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制造业涂装工艺质量优化 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45</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重庆斯欧信息技术股份有限公司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重庆斯欧信息技术股份有限公司/智能制造互联协同平台+工业互联网APP应用解决方案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46</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重庆丝路启航智能科技有限公司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丝路启航智慧照明工业互联网APP应用解决方案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47</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鸿富锦精密电子（重庆）有限公司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鸿富锦精密电子（重庆）工业互联网APP应用解决方案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48</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重庆中软国际信息技术有限公司</w:t>
            </w:r>
          </w:p>
        </w:tc>
        <w:tc>
          <w:tcPr>
            <w:tcW w:w="1324" w:type="dxa"/>
            <w:vMerge w:val="continue"/>
            <w:noWrap w:val="0"/>
            <w:vAlign w:val="center"/>
          </w:tcPr>
          <w:p>
            <w:pPr>
              <w:spacing w:line="360" w:lineRule="auto"/>
              <w:jc w:val="both"/>
              <w:rPr>
                <w:rFonts w:hint="eastAsia" w:ascii="宋体" w:hAnsi="宋体" w:eastAsia="宋体" w:cs="宋体"/>
                <w:bCs/>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中软国际蜂巢云MES应用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49</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成都</w:t>
            </w:r>
            <w:r>
              <w:rPr>
                <w:rFonts w:hint="eastAsia" w:ascii="宋体" w:hAnsi="宋体" w:eastAsia="宋体" w:cs="宋体"/>
                <w:bCs/>
                <w:sz w:val="24"/>
                <w:szCs w:val="24"/>
                <w:lang w:eastAsia="zh-CN"/>
              </w:rPr>
              <w:t>航天科工</w:t>
            </w:r>
            <w:r>
              <w:rPr>
                <w:rFonts w:hint="eastAsia" w:ascii="宋体" w:hAnsi="宋体" w:eastAsia="宋体" w:cs="宋体"/>
                <w:bCs/>
                <w:sz w:val="24"/>
                <w:szCs w:val="24"/>
              </w:rPr>
              <w:t>大数据研究院有限公司</w:t>
            </w:r>
          </w:p>
        </w:tc>
        <w:tc>
          <w:tcPr>
            <w:tcW w:w="1324"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sz w:val="24"/>
                <w:szCs w:val="24"/>
                <w:lang w:eastAsia="zh-CN"/>
              </w:rPr>
              <w:t>四川省经济和信息化厅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汽车云平台零件制造解决方案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50</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贵州兴达兴建材股份有限公司</w:t>
            </w:r>
          </w:p>
        </w:tc>
        <w:tc>
          <w:tcPr>
            <w:tcW w:w="1324" w:type="dxa"/>
            <w:vMerge w:val="restart"/>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"http://www.baidu.com/link?url=xQ1339FDfYejXJuF-B98A6JJhkVWi7OhycS-cDst9sG2_mirHKo2bGESNZnnjzbB"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贵州省工业和信息化厅</w:t>
            </w:r>
            <w:r>
              <w:rPr>
                <w:rFonts w:hint="eastAsia" w:ascii="宋体" w:hAnsi="宋体" w:eastAsia="宋体" w:cs="宋体"/>
                <w:sz w:val="24"/>
                <w:szCs w:val="24"/>
              </w:rPr>
              <w:fldChar w:fldCharType="end"/>
            </w:r>
          </w:p>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基于砼智造高性能混凝土大数据云平台的贵州兴达兴建材股份有限公司砼智造工业互联网APP应用解决方案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51</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中国振华电子集团有限公司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中国振华电子集团有限公司电子元器件质量一致性检测工业互联网APP解决方案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52</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云南能投信息产业开发有限公司</w:t>
            </w:r>
          </w:p>
        </w:tc>
        <w:tc>
          <w:tcPr>
            <w:tcW w:w="1324"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rPr>
              <w:t>云南省工业和信息化厅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基于云能云平台的数字能投工业互联网APP应用解决方案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53</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银川华信智信息技术有限公司</w:t>
            </w:r>
          </w:p>
        </w:tc>
        <w:tc>
          <w:tcPr>
            <w:tcW w:w="1324"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宁夏回族自治区工业和信息化厅</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基于备值工业互联网大数据共享平台的备值工业互联网APP应用解决方案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54</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特变电工股份有限公司</w:t>
            </w:r>
          </w:p>
        </w:tc>
        <w:tc>
          <w:tcPr>
            <w:tcW w:w="1324"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"http://www.baidu.com/link?url=45YxFQtAzubDQwavD3v9WRbeiqx-Wdre_fEA75kgKcEPSZeflnqYRnkHnNyynG3u" \t "https://www.baidu.com/_blank" </w:instrText>
            </w:r>
            <w:r>
              <w:rPr>
                <w:rFonts w:hint="eastAsia" w:ascii="宋体" w:hAnsi="宋体" w:eastAsia="宋体" w:cs="宋体"/>
                <w:sz w:val="24"/>
                <w:szCs w:val="24"/>
              </w:rPr>
              <w:fldChar w:fldCharType="separate"/>
            </w:r>
            <w:r>
              <w:rPr>
                <w:rFonts w:hint="eastAsia" w:ascii="宋体" w:hAnsi="宋体" w:eastAsia="宋体" w:cs="宋体"/>
                <w:sz w:val="24"/>
                <w:szCs w:val="24"/>
              </w:rPr>
              <w:t>新疆维吾尔自治区工业和信息化厅</w:t>
            </w:r>
            <w:r>
              <w:rPr>
                <w:rFonts w:hint="eastAsia" w:ascii="宋体" w:hAnsi="宋体" w:eastAsia="宋体" w:cs="宋体"/>
                <w:sz w:val="24"/>
                <w:szCs w:val="24"/>
              </w:rPr>
              <w:fldChar w:fldCharType="end"/>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特变电工“TB e-cloud”工业互联网APP应用解决方案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4"/>
                <w:lang w:val="en-US" w:eastAsia="zh-CN"/>
              </w:rPr>
              <w:t>55</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大连久鹏电子系统工程有限公司</w:t>
            </w:r>
          </w:p>
        </w:tc>
        <w:tc>
          <w:tcPr>
            <w:tcW w:w="1324" w:type="dxa"/>
            <w:vMerge w:val="restart"/>
            <w:noWrap w:val="0"/>
            <w:vAlign w:val="center"/>
          </w:tcPr>
          <w:p>
            <w:pPr>
              <w:spacing w:line="360" w:lineRule="auto"/>
              <w:jc w:val="both"/>
              <w:rPr>
                <w:rFonts w:hint="eastAsia" w:ascii="宋体" w:hAnsi="宋体" w:eastAsia="宋体" w:cs="宋体"/>
                <w:sz w:val="24"/>
                <w:szCs w:val="24"/>
                <w:lang w:eastAsia="zh-CN"/>
              </w:rPr>
            </w:pPr>
            <w:r>
              <w:rPr>
                <w:rFonts w:hint="eastAsia" w:ascii="宋体" w:hAnsi="宋体" w:eastAsia="宋体" w:cs="宋体"/>
                <w:bCs/>
                <w:sz w:val="24"/>
                <w:szCs w:val="24"/>
              </w:rPr>
              <w:t>大连市</w:t>
            </w:r>
            <w:r>
              <w:rPr>
                <w:rFonts w:hint="eastAsia" w:ascii="宋体" w:hAnsi="宋体" w:eastAsia="宋体" w:cs="宋体"/>
                <w:bCs/>
                <w:sz w:val="24"/>
                <w:szCs w:val="24"/>
                <w:lang w:eastAsia="zh-CN"/>
              </w:rPr>
              <w:t>工业和信息化局</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大连久鹏电子系统工程有限公司+空气压缩机物联网监控管理系统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56</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英特工程仿真（大连）有限公司</w:t>
            </w:r>
          </w:p>
        </w:tc>
        <w:tc>
          <w:tcPr>
            <w:tcW w:w="1324" w:type="dxa"/>
            <w:vMerge w:val="continue"/>
            <w:noWrap w:val="0"/>
            <w:vAlign w:val="center"/>
          </w:tcPr>
          <w:p>
            <w:pPr>
              <w:spacing w:line="360" w:lineRule="auto"/>
              <w:jc w:val="both"/>
              <w:rPr>
                <w:rFonts w:hint="eastAsia" w:ascii="宋体" w:hAnsi="宋体" w:eastAsia="宋体" w:cs="宋体"/>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英特仿真工业互联网APP应用解决方案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bCs/>
                <w:sz w:val="24"/>
                <w:szCs w:val="24"/>
                <w:lang w:val="en-US" w:eastAsia="zh-CN"/>
              </w:rPr>
            </w:pPr>
            <w:r>
              <w:rPr>
                <w:rFonts w:hint="eastAsia" w:ascii="宋体" w:hAnsi="宋体" w:eastAsia="宋体" w:cs="宋体"/>
                <w:color w:val="000000"/>
                <w:kern w:val="0"/>
                <w:sz w:val="24"/>
                <w:szCs w:val="24"/>
                <w:lang w:val="en-US" w:eastAsia="zh-CN"/>
              </w:rPr>
              <w:t>57</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宁波慈星股份有限公司</w:t>
            </w:r>
          </w:p>
        </w:tc>
        <w:tc>
          <w:tcPr>
            <w:tcW w:w="1324" w:type="dxa"/>
            <w:noWrap w:val="0"/>
            <w:vAlign w:val="center"/>
          </w:tcPr>
          <w:p>
            <w:pPr>
              <w:spacing w:line="360" w:lineRule="auto"/>
              <w:jc w:val="both"/>
              <w:rPr>
                <w:rFonts w:hint="eastAsia" w:ascii="宋体" w:hAnsi="宋体" w:eastAsia="宋体" w:cs="宋体"/>
                <w:sz w:val="24"/>
                <w:szCs w:val="24"/>
                <w:lang w:eastAsia="zh-CN"/>
              </w:rPr>
            </w:pPr>
            <w:r>
              <w:rPr>
                <w:rFonts w:hint="eastAsia" w:ascii="宋体" w:hAnsi="宋体" w:eastAsia="宋体" w:cs="宋体"/>
                <w:bCs/>
                <w:sz w:val="24"/>
                <w:szCs w:val="24"/>
              </w:rPr>
              <w:t>宁波市经济和信息化</w:t>
            </w:r>
            <w:r>
              <w:rPr>
                <w:rFonts w:hint="eastAsia" w:ascii="宋体" w:hAnsi="宋体" w:eastAsia="宋体" w:cs="宋体"/>
                <w:bCs/>
                <w:sz w:val="24"/>
                <w:szCs w:val="24"/>
                <w:lang w:eastAsia="zh-CN"/>
              </w:rPr>
              <w:t>局</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慈星针织品智能</w:t>
            </w:r>
            <w:r>
              <w:rPr>
                <w:rFonts w:hint="eastAsia" w:ascii="宋体" w:hAnsi="宋体" w:eastAsia="宋体" w:cs="宋体"/>
                <w:sz w:val="24"/>
                <w:szCs w:val="24"/>
                <w:lang w:eastAsia="zh-CN"/>
              </w:rPr>
              <w:t>柔性定制</w:t>
            </w:r>
            <w:r>
              <w:rPr>
                <w:rFonts w:hint="eastAsia" w:ascii="宋体" w:hAnsi="宋体" w:eastAsia="宋体" w:cs="宋体"/>
                <w:sz w:val="24"/>
                <w:szCs w:val="24"/>
              </w:rPr>
              <w:t>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58</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中科云创（厦门）科技有限公司</w:t>
            </w:r>
          </w:p>
        </w:tc>
        <w:tc>
          <w:tcPr>
            <w:tcW w:w="1324"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厦门市经济和信息化局</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基于中科云创云中控工业物联网设备远程监控运维服务平台的工业互联网APP解决方案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59</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青岛工业软件研究所（中国科学院软件研究所青岛分部）</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青岛市</w:t>
            </w:r>
            <w:r>
              <w:rPr>
                <w:rFonts w:hint="eastAsia" w:ascii="宋体" w:hAnsi="宋体" w:eastAsia="宋体" w:cs="宋体"/>
                <w:bCs/>
                <w:sz w:val="24"/>
                <w:szCs w:val="24"/>
                <w:lang w:eastAsia="zh-CN"/>
              </w:rPr>
              <w:t>工业</w:t>
            </w:r>
            <w:r>
              <w:rPr>
                <w:rFonts w:hint="eastAsia" w:ascii="宋体" w:hAnsi="宋体" w:eastAsia="宋体" w:cs="宋体"/>
                <w:bCs/>
                <w:sz w:val="24"/>
                <w:szCs w:val="24"/>
              </w:rPr>
              <w:t>和信息化委员会</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智能装备管理套件（A5 Suite）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60</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青岛容商天下网络有限公司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基于C2P工业云平台的通用工业互联网APP解决方案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61</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软控股份有限公司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软控轮胎工业数据服务APP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62</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深圳华龙讯达信息技术有限公司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深圳市</w:t>
            </w:r>
            <w:r>
              <w:rPr>
                <w:rFonts w:hint="eastAsia" w:ascii="宋体" w:hAnsi="宋体" w:eastAsia="宋体" w:cs="宋体"/>
                <w:color w:val="000000"/>
                <w:kern w:val="0"/>
                <w:sz w:val="24"/>
                <w:szCs w:val="24"/>
                <w:lang w:eastAsia="zh-CN"/>
              </w:rPr>
              <w:t>工业和信息化局</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腾讯木星工业互联网平台工业APP应用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63</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深圳美云智数科技有限公司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一站式企业数字化运营平台整体解决方案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64</w:t>
            </w:r>
          </w:p>
        </w:tc>
        <w:tc>
          <w:tcPr>
            <w:tcW w:w="3843" w:type="dxa"/>
            <w:noWrap w:val="0"/>
            <w:vAlign w:val="center"/>
          </w:tcPr>
          <w:p>
            <w:pPr>
              <w:widowControl/>
              <w:spacing w:line="360" w:lineRule="auto"/>
              <w:jc w:val="both"/>
              <w:textAlignment w:val="center"/>
              <w:rPr>
                <w:rFonts w:hint="eastAsia" w:ascii="宋体" w:hAnsi="宋体" w:eastAsia="宋体" w:cs="宋体"/>
                <w:bCs/>
                <w:sz w:val="24"/>
                <w:szCs w:val="24"/>
              </w:rPr>
            </w:pPr>
            <w:r>
              <w:rPr>
                <w:rFonts w:hint="eastAsia" w:ascii="宋体" w:hAnsi="宋体" w:eastAsia="宋体" w:cs="宋体"/>
                <w:color w:val="000000"/>
                <w:kern w:val="0"/>
                <w:sz w:val="24"/>
                <w:szCs w:val="24"/>
              </w:rPr>
              <w:t>深圳市老狗科技有限公司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老狗科技工业互联网APP应用解决方案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65</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福建闽光软件股份有限公司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中国钢铁工业协会</w:t>
            </w:r>
          </w:p>
        </w:tc>
        <w:tc>
          <w:tcPr>
            <w:tcW w:w="3208" w:type="dxa"/>
            <w:noWrap w:val="0"/>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设备点检APP系统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66</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南京钢铁股份有限公司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基于JIT+C2M平台的南京钢铁股份有限公司工业网APP应用解决方案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67</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北京经纬纺机新技术有限公司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中国纺织工业联合会</w:t>
            </w:r>
          </w:p>
        </w:tc>
        <w:tc>
          <w:tcPr>
            <w:tcW w:w="3208" w:type="dxa"/>
            <w:noWrap w:val="0"/>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经纬e系统工业互联网APP应用解决方案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68</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山东尚牛智能制造有限公司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山东尚牛智能制造有限公司 ASPOP 服装工业互联网平台整体解决方案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69</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工业和信息化部电子第五研究所</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中国电子信息行业联合会</w:t>
            </w:r>
          </w:p>
        </w:tc>
        <w:tc>
          <w:tcPr>
            <w:tcW w:w="3208" w:type="dxa"/>
            <w:noWrap w:val="0"/>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赛宝功能安全工业互联网APP应用解决方案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70</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天津美腾科技有限公司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top"/>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天津美腾科技有限公司煤炭工业智能化系统工业互联网APP应用解决方案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71</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北京航天智造科技发展有限公司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lang w:eastAsia="zh-CN"/>
              </w:rPr>
            </w:pPr>
            <w:r>
              <w:rPr>
                <w:rFonts w:hint="eastAsia" w:ascii="宋体" w:hAnsi="宋体" w:eastAsia="宋体" w:cs="宋体"/>
                <w:bCs/>
                <w:sz w:val="24"/>
                <w:szCs w:val="24"/>
                <w:lang w:eastAsia="zh-CN"/>
              </w:rPr>
              <w:t>中国</w:t>
            </w:r>
            <w:r>
              <w:rPr>
                <w:rFonts w:hint="eastAsia" w:ascii="宋体" w:hAnsi="宋体" w:eastAsia="宋体" w:cs="宋体"/>
                <w:bCs/>
                <w:sz w:val="24"/>
                <w:szCs w:val="24"/>
              </w:rPr>
              <w:t>航天科工集团</w:t>
            </w:r>
            <w:r>
              <w:rPr>
                <w:rFonts w:hint="eastAsia" w:ascii="宋体" w:hAnsi="宋体" w:eastAsia="宋体" w:cs="宋体"/>
                <w:bCs/>
                <w:sz w:val="24"/>
                <w:szCs w:val="24"/>
                <w:lang w:eastAsia="zh-CN"/>
              </w:rPr>
              <w:t>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北京航天智造科技发展有限公司+基于INDICS平台的模具云协同服务解决方案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72</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中国航天科工集团第四研究院第四总体设计部</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云架构产品数据管理平台（CPDM）工业互联网APP应用解决方案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73</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lang w:eastAsia="zh-CN"/>
              </w:rPr>
              <w:t>中国</w:t>
            </w:r>
            <w:r>
              <w:rPr>
                <w:rFonts w:hint="eastAsia" w:ascii="宋体" w:hAnsi="宋体" w:eastAsia="宋体" w:cs="宋体"/>
                <w:bCs/>
                <w:sz w:val="24"/>
                <w:szCs w:val="24"/>
              </w:rPr>
              <w:t>航天科工集团</w:t>
            </w:r>
            <w:r>
              <w:rPr>
                <w:rFonts w:hint="eastAsia" w:ascii="宋体" w:hAnsi="宋体" w:eastAsia="宋体" w:cs="宋体"/>
                <w:bCs/>
                <w:sz w:val="24"/>
                <w:szCs w:val="24"/>
                <w:lang w:eastAsia="zh-CN"/>
              </w:rPr>
              <w:t>公司</w:t>
            </w:r>
            <w:r>
              <w:rPr>
                <w:rFonts w:hint="eastAsia" w:ascii="宋体" w:hAnsi="宋体" w:eastAsia="宋体" w:cs="宋体"/>
                <w:bCs/>
                <w:sz w:val="24"/>
                <w:szCs w:val="24"/>
              </w:rPr>
              <w:t>上海浦东开发中心</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航天科工基于协同共享智造平台的装备产品全寿命周期综合保障工业互联网APP应用解决方案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74</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江西洪都航空工业集团有限责任公司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lang w:eastAsia="zh-CN"/>
              </w:rPr>
            </w:pPr>
            <w:r>
              <w:rPr>
                <w:rFonts w:hint="eastAsia" w:ascii="宋体" w:hAnsi="宋体" w:eastAsia="宋体" w:cs="宋体"/>
                <w:bCs/>
                <w:sz w:val="24"/>
                <w:szCs w:val="24"/>
              </w:rPr>
              <w:t>中国航空工业集团</w:t>
            </w:r>
            <w:r>
              <w:rPr>
                <w:rFonts w:hint="eastAsia" w:ascii="宋体" w:hAnsi="宋体" w:eastAsia="宋体" w:cs="宋体"/>
                <w:bCs/>
                <w:sz w:val="24"/>
                <w:szCs w:val="24"/>
                <w:lang w:eastAsia="zh-CN"/>
              </w:rPr>
              <w:t>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基于MBD的数字化检验设计系统工业互联网APP应用解决方案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75</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金航数码科技有限责任公司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三维工艺设计与管理APP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76</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厦门天马微电子有限公司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掌上天马工业互联网APP应用解决方案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77</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西安飞机设计研究所</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航空紧固件装配智能设计系统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bCs/>
                <w:sz w:val="24"/>
                <w:szCs w:val="24"/>
                <w:lang w:val="en-US" w:eastAsia="zh-CN"/>
              </w:rPr>
              <w:t>78</w:t>
            </w:r>
          </w:p>
        </w:tc>
        <w:tc>
          <w:tcPr>
            <w:tcW w:w="3843" w:type="dxa"/>
            <w:noWrap w:val="0"/>
            <w:vAlign w:val="center"/>
          </w:tcPr>
          <w:p>
            <w:pPr>
              <w:widowControl/>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上海申博信息系统工程有限公司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lang w:eastAsia="zh-CN"/>
              </w:rPr>
            </w:pPr>
            <w:r>
              <w:rPr>
                <w:rFonts w:hint="eastAsia" w:ascii="宋体" w:hAnsi="宋体" w:eastAsia="宋体" w:cs="宋体"/>
                <w:bCs/>
                <w:sz w:val="24"/>
                <w:szCs w:val="24"/>
              </w:rPr>
              <w:t>中国船舶工业集团</w:t>
            </w:r>
            <w:r>
              <w:rPr>
                <w:rFonts w:hint="eastAsia" w:ascii="宋体" w:hAnsi="宋体" w:eastAsia="宋体" w:cs="宋体"/>
                <w:bCs/>
                <w:sz w:val="24"/>
                <w:szCs w:val="24"/>
                <w:lang w:eastAsia="zh-CN"/>
              </w:rPr>
              <w:t>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上海申博5S安全管理工业互联网APP应用解决方案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79</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上海外高桥造船有限公司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上海外高桥造船有限公司/精细派工APP+工业互联网APP应用解决方案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中船黄埔文冲船舶有限公司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中船黄埔文冲船舶有限公司面向船舶全生命周期的知识驱动型维修保障工业互联网APP应用解决方案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81</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北京中油瑞飞信息技术有限责任公司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lang w:eastAsia="zh-CN"/>
              </w:rPr>
            </w:pPr>
            <w:r>
              <w:rPr>
                <w:rFonts w:hint="eastAsia" w:ascii="宋体" w:hAnsi="宋体" w:eastAsia="宋体" w:cs="宋体"/>
                <w:bCs/>
                <w:sz w:val="24"/>
                <w:szCs w:val="24"/>
              </w:rPr>
              <w:t>中国石油天然气集团</w:t>
            </w:r>
            <w:r>
              <w:rPr>
                <w:rFonts w:hint="eastAsia" w:ascii="宋体" w:hAnsi="宋体" w:eastAsia="宋体" w:cs="宋体"/>
                <w:bCs/>
                <w:sz w:val="24"/>
                <w:szCs w:val="24"/>
                <w:lang w:eastAsia="zh-CN"/>
              </w:rPr>
              <w:t>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北京中油瑞飞信息技术有限责任公司工业互联网APP应用解决方案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rPr>
            </w:pPr>
            <w:r>
              <w:rPr>
                <w:rFonts w:hint="eastAsia" w:ascii="宋体" w:hAnsi="宋体" w:eastAsia="宋体" w:cs="宋体"/>
                <w:bCs/>
                <w:sz w:val="24"/>
                <w:szCs w:val="24"/>
                <w:lang w:val="en-US" w:eastAsia="zh-CN"/>
              </w:rPr>
              <w:t>82</w:t>
            </w:r>
          </w:p>
        </w:tc>
        <w:tc>
          <w:tcPr>
            <w:tcW w:w="3843" w:type="dxa"/>
            <w:noWrap w:val="0"/>
            <w:vAlign w:val="center"/>
          </w:tcPr>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中国石油集团安全环保技术研究院有限公司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海外风险预警平台工业互联网APP应用解决方案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83</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中国石油化工股份有限公司九江分公司</w:t>
            </w:r>
          </w:p>
        </w:tc>
        <w:tc>
          <w:tcPr>
            <w:tcW w:w="1324" w:type="dxa"/>
            <w:vMerge w:val="restart"/>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中国石油化工股份有限公司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基于工业移动物联网生产辅助管控应用解决方案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84</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lang w:eastAsia="zh-CN"/>
              </w:rPr>
              <w:t>中国石化</w:t>
            </w:r>
            <w:r>
              <w:rPr>
                <w:rFonts w:hint="eastAsia" w:ascii="宋体" w:hAnsi="宋体" w:eastAsia="宋体" w:cs="宋体"/>
                <w:bCs/>
                <w:sz w:val="24"/>
                <w:szCs w:val="24"/>
              </w:rPr>
              <w:t>镇海炼化分公司</w:t>
            </w:r>
          </w:p>
        </w:tc>
        <w:tc>
          <w:tcPr>
            <w:tcW w:w="1324" w:type="dxa"/>
            <w:vMerge w:val="continue"/>
            <w:noWrap w:val="0"/>
            <w:vAlign w:val="center"/>
          </w:tcPr>
          <w:p>
            <w:pPr>
              <w:spacing w:line="360" w:lineRule="auto"/>
              <w:jc w:val="both"/>
              <w:rPr>
                <w:rFonts w:hint="eastAsia" w:ascii="宋体" w:hAnsi="宋体" w:eastAsia="宋体" w:cs="宋体"/>
                <w:color w:val="000000"/>
                <w:kern w:val="0"/>
                <w:sz w:val="24"/>
                <w:szCs w:val="24"/>
              </w:rPr>
            </w:pP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中国石化镇海炼化智能工厂工业互联网APP应用解决方案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85</w:t>
            </w:r>
          </w:p>
        </w:tc>
        <w:tc>
          <w:tcPr>
            <w:tcW w:w="3843" w:type="dxa"/>
            <w:noWrap w:val="0"/>
            <w:vAlign w:val="center"/>
          </w:tcPr>
          <w:p>
            <w:pPr>
              <w:spacing w:line="360" w:lineRule="auto"/>
              <w:jc w:val="both"/>
              <w:rPr>
                <w:rFonts w:hint="eastAsia" w:ascii="宋体" w:hAnsi="宋体" w:eastAsia="宋体" w:cs="宋体"/>
                <w:bCs/>
                <w:sz w:val="24"/>
                <w:szCs w:val="24"/>
                <w:lang w:eastAsia="zh-CN"/>
              </w:rPr>
            </w:pPr>
            <w:r>
              <w:rPr>
                <w:rFonts w:hint="eastAsia" w:ascii="宋体" w:hAnsi="宋体" w:eastAsia="宋体" w:cs="宋体"/>
                <w:bCs/>
                <w:sz w:val="24"/>
                <w:szCs w:val="24"/>
              </w:rPr>
              <w:t>国网青海省电力公司</w:t>
            </w:r>
          </w:p>
        </w:tc>
        <w:tc>
          <w:tcPr>
            <w:tcW w:w="1324"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国家电网有限公司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基于青海新能源大数据创新平台电站集中监控工业互联网APP应用解决方案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86</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中国汽车工业工程有限公司</w:t>
            </w:r>
          </w:p>
        </w:tc>
        <w:tc>
          <w:tcPr>
            <w:tcW w:w="1324"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中国机械工业集团有限公司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中汽工程车间一体化智能管控移动端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87</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鞍钢集团矿业有限公司</w:t>
            </w:r>
          </w:p>
        </w:tc>
        <w:tc>
          <w:tcPr>
            <w:tcW w:w="1324" w:type="dxa"/>
            <w:noWrap w:val="0"/>
            <w:vAlign w:val="center"/>
          </w:tcPr>
          <w:p>
            <w:pPr>
              <w:spacing w:line="360" w:lineRule="auto"/>
              <w:jc w:val="both"/>
              <w:rPr>
                <w:rFonts w:hint="eastAsia" w:ascii="宋体" w:hAnsi="宋体" w:eastAsia="宋体" w:cs="宋体"/>
                <w:color w:val="000000"/>
                <w:kern w:val="0"/>
                <w:sz w:val="24"/>
                <w:szCs w:val="24"/>
                <w:lang w:eastAsia="zh-CN"/>
              </w:rPr>
            </w:pPr>
            <w:r>
              <w:rPr>
                <w:rFonts w:hint="eastAsia" w:ascii="宋体" w:hAnsi="宋体" w:eastAsia="宋体" w:cs="宋体"/>
                <w:bCs/>
                <w:sz w:val="24"/>
                <w:szCs w:val="24"/>
              </w:rPr>
              <w:t>鞍钢集团</w:t>
            </w:r>
            <w:r>
              <w:rPr>
                <w:rFonts w:hint="eastAsia" w:ascii="宋体" w:hAnsi="宋体" w:eastAsia="宋体" w:cs="宋体"/>
                <w:bCs/>
                <w:sz w:val="24"/>
                <w:szCs w:val="24"/>
                <w:lang w:eastAsia="zh-CN"/>
              </w:rPr>
              <w:t>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鞍钢矿业工业互联网移动应用平台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88</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中铝视拓智能科技有限公司</w:t>
            </w:r>
          </w:p>
        </w:tc>
        <w:tc>
          <w:tcPr>
            <w:tcW w:w="1324"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中国铝业集团有限公司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电解铝智能制造解决方案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widowControl/>
              <w:spacing w:line="360" w:lineRule="auto"/>
              <w:jc w:val="center"/>
              <w:textAlignment w:val="bottom"/>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89</w:t>
            </w:r>
          </w:p>
        </w:tc>
        <w:tc>
          <w:tcPr>
            <w:tcW w:w="3843"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中国广核集团有限公司</w:t>
            </w:r>
          </w:p>
        </w:tc>
        <w:tc>
          <w:tcPr>
            <w:tcW w:w="1324" w:type="dxa"/>
            <w:noWrap w:val="0"/>
            <w:vAlign w:val="center"/>
          </w:tcPr>
          <w:p>
            <w:pPr>
              <w:spacing w:line="360" w:lineRule="auto"/>
              <w:jc w:val="both"/>
              <w:rPr>
                <w:rFonts w:hint="eastAsia" w:ascii="宋体" w:hAnsi="宋体" w:eastAsia="宋体" w:cs="宋体"/>
                <w:color w:val="000000"/>
                <w:kern w:val="0"/>
                <w:sz w:val="24"/>
                <w:szCs w:val="24"/>
              </w:rPr>
            </w:pPr>
            <w:r>
              <w:rPr>
                <w:rFonts w:hint="eastAsia" w:ascii="宋体" w:hAnsi="宋体" w:eastAsia="宋体" w:cs="宋体"/>
                <w:bCs/>
                <w:sz w:val="24"/>
                <w:szCs w:val="24"/>
              </w:rPr>
              <w:t>中国广核集团有限公司</w:t>
            </w:r>
          </w:p>
        </w:tc>
        <w:tc>
          <w:tcPr>
            <w:tcW w:w="3208" w:type="dxa"/>
            <w:noWrap w:val="0"/>
            <w:vAlign w:val="center"/>
          </w:tcPr>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核电物联网系统APP应用方案</w:t>
            </w:r>
          </w:p>
        </w:tc>
      </w:tr>
    </w:tbl>
    <w:p>
      <w:pPr>
        <w:pStyle w:val="2"/>
        <w:keepNext w:val="0"/>
        <w:keepLines w:val="0"/>
        <w:widowControl/>
        <w:suppressLineNumbers w:val="0"/>
        <w:spacing w:line="360" w:lineRule="auto"/>
        <w:rPr>
          <w:rFonts w:hint="eastAsia" w:ascii="宋体" w:hAnsi="宋体" w:eastAsia="宋体" w:cs="宋体"/>
          <w:color w:val="auto"/>
          <w:sz w:val="24"/>
          <w:szCs w:val="24"/>
          <w:lang w:val="en-US" w:eastAsia="zh-CN"/>
        </w:rPr>
      </w:pPr>
    </w:p>
    <w:p>
      <w:pPr>
        <w:spacing w:line="360" w:lineRule="auto"/>
        <w:rPr>
          <w:rFonts w:hint="eastAsia" w:ascii="宋体" w:hAnsi="宋体" w:eastAsia="宋体" w:cs="宋体"/>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A6A02"/>
    <w:rsid w:val="52FA6A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2019-04-28T06:54:00Z</dcterms:created>
  <dc:creator>顾建萍</dc:creator>
  <cp:lastModifiedBy>顾建萍</cp:lastModifiedBy>
  <dcterms:modified xsi:type="dcterms:W3CDTF">2019-04-28T06:55:15Z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