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附件4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IGBT器件</w:t>
      </w:r>
      <w:r>
        <w:rPr>
          <w:rFonts w:hint="eastAsia" w:eastAsia="黑体"/>
          <w:sz w:val="36"/>
          <w:szCs w:val="36"/>
          <w:lang w:eastAsia="zh-CN"/>
        </w:rPr>
        <w:t>“一条龙”</w:t>
      </w:r>
      <w:r>
        <w:rPr>
          <w:rFonts w:eastAsia="黑体"/>
          <w:sz w:val="36"/>
          <w:szCs w:val="36"/>
        </w:rPr>
        <w:t>应用计划申报要求</w:t>
      </w:r>
    </w:p>
    <w:p>
      <w:pPr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eastAsia"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</w:rPr>
        <w:t>产业链构成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480" w:firstLineChars="200"/>
        <w:textAlignment w:val="auto"/>
        <w:rPr>
          <w:rFonts w:hint="eastAsia" w:eastAsia="仿宋_GB2312"/>
          <w:sz w:val="32"/>
          <w:szCs w:val="28"/>
        </w:rPr>
      </w:pP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eastAsia="仿宋_GB2312"/>
          <w:sz w:val="32"/>
          <w:szCs w:val="28"/>
        </w:rPr>
        <w:t>瞄准</w:t>
      </w:r>
      <w:r>
        <w:rPr>
          <w:rFonts w:eastAsia="仿宋_GB2312"/>
          <w:sz w:val="32"/>
          <w:szCs w:val="28"/>
        </w:rPr>
        <w:t>智能电网、轨道交通和新能源汽车行业</w:t>
      </w:r>
      <w:r>
        <w:rPr>
          <w:rFonts w:hint="eastAsia" w:eastAsia="仿宋_GB2312"/>
          <w:sz w:val="32"/>
          <w:szCs w:val="28"/>
        </w:rPr>
        <w:t>等终端用户</w:t>
      </w:r>
      <w:r>
        <w:rPr>
          <w:rFonts w:eastAsia="仿宋_GB2312"/>
          <w:sz w:val="32"/>
          <w:szCs w:val="28"/>
        </w:rPr>
        <w:t>，以</w:t>
      </w:r>
      <w:r>
        <w:rPr>
          <w:rFonts w:hint="eastAsia" w:eastAsia="仿宋_GB2312"/>
          <w:sz w:val="32"/>
          <w:szCs w:val="28"/>
        </w:rPr>
        <w:t>产业链</w:t>
      </w:r>
      <w:r>
        <w:rPr>
          <w:rFonts w:eastAsia="仿宋_GB2312"/>
          <w:sz w:val="32"/>
          <w:szCs w:val="28"/>
        </w:rPr>
        <w:t>上下游供</w:t>
      </w:r>
      <w:r>
        <w:rPr>
          <w:rFonts w:hint="eastAsia" w:eastAsia="仿宋_GB2312"/>
          <w:sz w:val="32"/>
          <w:szCs w:val="28"/>
        </w:rPr>
        <w:t>需</w:t>
      </w:r>
      <w:r>
        <w:rPr>
          <w:rFonts w:eastAsia="仿宋_GB2312"/>
          <w:sz w:val="32"/>
          <w:szCs w:val="28"/>
        </w:rPr>
        <w:t>能力为</w:t>
      </w:r>
      <w:r>
        <w:rPr>
          <w:rFonts w:hint="eastAsia" w:eastAsia="仿宋_GB2312"/>
          <w:sz w:val="32"/>
          <w:szCs w:val="28"/>
        </w:rPr>
        <w:t>基础</w:t>
      </w:r>
      <w:r>
        <w:rPr>
          <w:rFonts w:eastAsia="仿宋_GB2312"/>
          <w:sz w:val="32"/>
          <w:szCs w:val="28"/>
        </w:rPr>
        <w:t>，应用为导向，针对</w:t>
      </w:r>
      <w:r>
        <w:rPr>
          <w:rFonts w:hint="eastAsia" w:eastAsia="仿宋_GB2312"/>
          <w:sz w:val="32"/>
          <w:szCs w:val="28"/>
        </w:rPr>
        <w:t>关键</w:t>
      </w:r>
      <w:r>
        <w:rPr>
          <w:rFonts w:eastAsia="仿宋_GB2312"/>
          <w:sz w:val="32"/>
          <w:szCs w:val="28"/>
        </w:rPr>
        <w:t>环节重点基础产品、工艺，推动相关重点项目建设</w:t>
      </w:r>
      <w:r>
        <w:rPr>
          <w:rFonts w:hint="eastAsia" w:eastAsia="仿宋_GB2312"/>
          <w:sz w:val="32"/>
          <w:szCs w:val="28"/>
        </w:rPr>
        <w:t>和技术突破</w:t>
      </w:r>
      <w:r>
        <w:rPr>
          <w:rFonts w:eastAsia="仿宋_GB2312"/>
          <w:sz w:val="32"/>
          <w:szCs w:val="28"/>
        </w:rPr>
        <w:t>，形成上下游产业对接的</w:t>
      </w:r>
      <w:r>
        <w:rPr>
          <w:rFonts w:hint="eastAsia" w:eastAsia="仿宋_GB2312"/>
          <w:sz w:val="32"/>
          <w:szCs w:val="28"/>
          <w:lang w:eastAsia="zh-CN"/>
        </w:rPr>
        <w:t>“一条龙”</w:t>
      </w:r>
      <w:r>
        <w:rPr>
          <w:rFonts w:eastAsia="仿宋_GB2312"/>
          <w:sz w:val="32"/>
          <w:szCs w:val="28"/>
        </w:rPr>
        <w:t>应用示范链条，</w:t>
      </w:r>
      <w:r>
        <w:rPr>
          <w:rFonts w:hint="eastAsia" w:eastAsia="仿宋_GB2312"/>
          <w:sz w:val="32"/>
          <w:szCs w:val="28"/>
        </w:rPr>
        <w:t>解决我国能源交换与传输技术的瓶颈。</w:t>
      </w:r>
      <w:r>
        <w:rPr>
          <w:rFonts w:eastAsia="仿宋_GB2312"/>
          <w:sz w:val="32"/>
          <w:szCs w:val="28"/>
        </w:rPr>
        <w:t>同时</w:t>
      </w:r>
      <w:r>
        <w:rPr>
          <w:rFonts w:hint="eastAsia" w:eastAsia="仿宋_GB2312"/>
          <w:sz w:val="32"/>
          <w:szCs w:val="28"/>
        </w:rPr>
        <w:t>，按照</w:t>
      </w:r>
      <w:r>
        <w:rPr>
          <w:rFonts w:eastAsia="仿宋_GB2312"/>
          <w:sz w:val="32"/>
          <w:szCs w:val="28"/>
        </w:rPr>
        <w:t>“以我为主、兼收并蓄”</w:t>
      </w:r>
      <w:r>
        <w:rPr>
          <w:rFonts w:hint="eastAsia" w:eastAsia="仿宋_GB2312"/>
          <w:sz w:val="32"/>
          <w:szCs w:val="28"/>
        </w:rPr>
        <w:t>的</w:t>
      </w:r>
      <w:r>
        <w:rPr>
          <w:rFonts w:eastAsia="仿宋_GB2312"/>
          <w:sz w:val="32"/>
          <w:szCs w:val="28"/>
        </w:rPr>
        <w:t>原则</w:t>
      </w:r>
      <w:r>
        <w:rPr>
          <w:rFonts w:hint="eastAsia" w:eastAsia="仿宋_GB2312"/>
          <w:sz w:val="32"/>
          <w:szCs w:val="28"/>
        </w:rPr>
        <w:t>，推进</w:t>
      </w:r>
      <w:r>
        <w:rPr>
          <w:rFonts w:eastAsia="仿宋_GB2312"/>
          <w:sz w:val="32"/>
          <w:szCs w:val="28"/>
        </w:rPr>
        <w:t>产学研用国际化协同创新，</w:t>
      </w:r>
      <w:r>
        <w:rPr>
          <w:rFonts w:hint="eastAsia" w:eastAsia="仿宋_GB2312"/>
          <w:sz w:val="32"/>
          <w:szCs w:val="28"/>
        </w:rPr>
        <w:t>深化</w:t>
      </w:r>
      <w:r>
        <w:rPr>
          <w:rFonts w:eastAsia="仿宋_GB2312"/>
          <w:sz w:val="32"/>
          <w:szCs w:val="28"/>
        </w:rPr>
        <w:t>产业链协作。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center"/>
        <w:textAlignment w:val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关键产</w:t>
      </w:r>
      <w:r>
        <w:rPr>
          <w:rFonts w:hint="eastAsia" w:eastAsia="黑体"/>
          <w:sz w:val="28"/>
          <w:szCs w:val="28"/>
        </w:rPr>
        <w:t>业</w:t>
      </w:r>
      <w:r>
        <w:rPr>
          <w:rFonts w:eastAsia="黑体"/>
          <w:sz w:val="28"/>
          <w:szCs w:val="28"/>
        </w:rPr>
        <w:t>链条环节</w:t>
      </w:r>
    </w:p>
    <w:tbl>
      <w:tblPr>
        <w:tblStyle w:val="9"/>
        <w:tblW w:w="83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2673"/>
        <w:gridCol w:w="1741"/>
        <w:gridCol w:w="1705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产业链环节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新能源汽车用IGBT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智能电网用IGBT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轨道交通用IGBT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1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上游材料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华文仿宋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sz w:val="24"/>
                <w:szCs w:val="24"/>
              </w:rPr>
            </w:pPr>
            <w:r>
              <w:rPr>
                <w:rFonts w:hint="eastAsia" w:eastAsia="华文仿宋"/>
                <w:sz w:val="24"/>
                <w:szCs w:val="24"/>
              </w:rPr>
              <w:t>2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IGBT设计、芯片制造、模块生产及IDM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sz w:val="24"/>
                <w:szCs w:val="24"/>
              </w:rPr>
            </w:pPr>
            <w:r>
              <w:rPr>
                <w:rFonts w:hint="eastAsia" w:eastAsia="华文仿宋"/>
                <w:sz w:val="24"/>
                <w:szCs w:val="24"/>
              </w:rPr>
              <w:t>3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生产设备制造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sz w:val="24"/>
                <w:szCs w:val="24"/>
              </w:rPr>
            </w:pPr>
            <w:r>
              <w:rPr>
                <w:rFonts w:hint="eastAsia" w:eastAsia="华文仿宋"/>
                <w:sz w:val="24"/>
                <w:szCs w:val="24"/>
              </w:rPr>
              <w:t>4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下游应用的配套器件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●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华文仿宋"/>
                <w:b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华文仿宋"/>
                <w:b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eastAsia"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</w:rPr>
        <w:t>目标</w:t>
      </w:r>
      <w:r>
        <w:rPr>
          <w:rFonts w:eastAsia="黑体"/>
          <w:bCs/>
          <w:kern w:val="0"/>
          <w:sz w:val="32"/>
          <w:szCs w:val="32"/>
        </w:rPr>
        <w:t>和任务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eastAsia="楷体"/>
          <w:b/>
          <w:sz w:val="30"/>
          <w:szCs w:val="30"/>
        </w:rPr>
      </w:pPr>
      <w:r>
        <w:rPr>
          <w:rFonts w:hint="eastAsia" w:eastAsia="楷体"/>
          <w:b/>
          <w:sz w:val="30"/>
          <w:szCs w:val="30"/>
        </w:rPr>
        <w:t>上游材料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"/>
          <w:b/>
          <w:sz w:val="30"/>
          <w:szCs w:val="30"/>
        </w:rPr>
      </w:pPr>
      <w:r>
        <w:rPr>
          <w:rFonts w:hint="eastAsia" w:eastAsia="仿宋"/>
          <w:b/>
          <w:sz w:val="30"/>
          <w:szCs w:val="30"/>
        </w:rPr>
        <w:t>电力电子器件及功率模块（大功率IGBT）封装用DBC基板─高纯无氧铜箔。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eastAsia="楷体"/>
          <w:bCs/>
          <w:sz w:val="30"/>
          <w:szCs w:val="30"/>
        </w:rPr>
      </w:pPr>
      <w:r>
        <w:rPr>
          <w:rFonts w:hint="eastAsia" w:eastAsia="楷体"/>
          <w:b/>
          <w:bCs/>
          <w:sz w:val="30"/>
          <w:szCs w:val="30"/>
        </w:rPr>
        <w:t>（1）</w:t>
      </w:r>
      <w:r>
        <w:rPr>
          <w:rFonts w:eastAsia="楷体"/>
          <w:b/>
          <w:bCs/>
          <w:sz w:val="30"/>
          <w:szCs w:val="30"/>
        </w:rPr>
        <w:t>环节描述及任务。</w:t>
      </w:r>
      <w:r>
        <w:rPr>
          <w:rFonts w:hint="eastAsia" w:eastAsia="仿宋"/>
          <w:sz w:val="30"/>
          <w:szCs w:val="30"/>
        </w:rPr>
        <w:t>开发出符合使用要求的</w:t>
      </w:r>
      <w:r>
        <w:rPr>
          <w:rFonts w:eastAsia="仿宋"/>
          <w:sz w:val="30"/>
          <w:szCs w:val="30"/>
        </w:rPr>
        <w:t>DBC</w:t>
      </w:r>
      <w:r>
        <w:rPr>
          <w:rFonts w:hint="eastAsia" w:eastAsia="仿宋"/>
          <w:sz w:val="30"/>
          <w:szCs w:val="30"/>
        </w:rPr>
        <w:t>用高纯无氧铜箔产品，支撑我国功率集成电路与大功率器件产业发展。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eastAsia="楷体"/>
          <w:b/>
          <w:bCs/>
          <w:sz w:val="30"/>
          <w:szCs w:val="30"/>
        </w:rPr>
      </w:pPr>
      <w:r>
        <w:rPr>
          <w:rFonts w:eastAsia="楷体"/>
          <w:b/>
          <w:bCs/>
          <w:sz w:val="30"/>
          <w:szCs w:val="30"/>
        </w:rPr>
        <w:t>（2）具体目标。</w:t>
      </w:r>
      <w:r>
        <w:rPr>
          <w:rFonts w:eastAsia="仿宋"/>
          <w:sz w:val="30"/>
          <w:szCs w:val="30"/>
        </w:rPr>
        <w:t>电力电子器件及功率模块（大功率IGBT）封装用DBC基板─高纯无氧铜箔。化学成分：全元素分析（GDMS法）杂质元素（不含气体元素）≤10ppm，O含量≤5ppm；显微组织：平均晶粒尺寸≤70μm，960℃下10分钟退火平均晶粒尺寸≤100μm；抗拉强度：330～370MPa；硬度HV1：105～120；导电率（%IACS）：101；铜箔厚度：0.1～0.7mm；铜箔表面粗糙度：≤0.4μm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"/>
          <w:b/>
          <w:sz w:val="30"/>
          <w:szCs w:val="30"/>
        </w:rPr>
      </w:pPr>
      <w:r>
        <w:rPr>
          <w:rFonts w:hint="eastAsia" w:eastAsia="仿宋"/>
          <w:b/>
          <w:sz w:val="30"/>
          <w:szCs w:val="30"/>
        </w:rPr>
        <w:t>电力电子器件用平板全压接陶瓷结构件。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"/>
          <w:sz w:val="30"/>
          <w:szCs w:val="30"/>
        </w:rPr>
      </w:pPr>
      <w:r>
        <w:rPr>
          <w:rFonts w:hint="eastAsia" w:eastAsia="楷体"/>
          <w:b/>
          <w:bCs/>
          <w:sz w:val="30"/>
          <w:szCs w:val="30"/>
        </w:rPr>
        <w:t>（1）</w:t>
      </w:r>
      <w:r>
        <w:rPr>
          <w:rFonts w:eastAsia="楷体"/>
          <w:b/>
          <w:bCs/>
          <w:sz w:val="30"/>
          <w:szCs w:val="30"/>
        </w:rPr>
        <w:t>环节描述及任务。</w:t>
      </w:r>
      <w:r>
        <w:rPr>
          <w:rFonts w:hint="eastAsia" w:eastAsia="仿宋"/>
          <w:sz w:val="30"/>
          <w:szCs w:val="30"/>
        </w:rPr>
        <w:t>实现平板全压接多台架精密陶瓷结构件产业化生产能力，满足用于柔性高压直流输电、轨道交通IGBT的需求。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eastAsia="楷体"/>
          <w:bCs/>
          <w:sz w:val="30"/>
          <w:szCs w:val="30"/>
        </w:rPr>
      </w:pPr>
      <w:r>
        <w:rPr>
          <w:rFonts w:eastAsia="楷体"/>
          <w:b/>
          <w:bCs/>
          <w:sz w:val="30"/>
          <w:szCs w:val="30"/>
        </w:rPr>
        <w:t>（2）具体目标。</w:t>
      </w:r>
      <w:r>
        <w:rPr>
          <w:rFonts w:eastAsia="仿宋"/>
          <w:sz w:val="30"/>
          <w:szCs w:val="30"/>
        </w:rPr>
        <w:t>平板全压接多台架精密陶瓷结构件：直径≥125mm，耐压≥12kV，绝缘电阻≥15MΩ，平整度≤0.005mm，平行度≤0.03mm，粗糙度Ra≤0.5µm，漏率≤1×10-9Pam3/s，抗拉力≥12kN。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eastAsia="楷体"/>
          <w:b/>
          <w:sz w:val="30"/>
          <w:szCs w:val="30"/>
        </w:rPr>
      </w:pPr>
      <w:r>
        <w:rPr>
          <w:rFonts w:eastAsia="楷体"/>
          <w:b/>
          <w:sz w:val="30"/>
          <w:szCs w:val="30"/>
        </w:rPr>
        <w:t>IGBT设计、芯片制造、模块生产及IDM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"/>
          <w:b/>
          <w:sz w:val="30"/>
          <w:szCs w:val="30"/>
        </w:rPr>
      </w:pPr>
      <w:r>
        <w:rPr>
          <w:rFonts w:eastAsia="仿宋"/>
          <w:b/>
          <w:sz w:val="30"/>
          <w:szCs w:val="30"/>
        </w:rPr>
        <w:t>智能电网基础支撑技术用柔性高压直流输电高电压、大电流IGBT器件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"/>
          <w:sz w:val="30"/>
          <w:szCs w:val="30"/>
        </w:rPr>
      </w:pPr>
      <w:r>
        <w:rPr>
          <w:rFonts w:hint="eastAsia" w:eastAsia="楷体"/>
          <w:b/>
          <w:bCs/>
          <w:sz w:val="30"/>
          <w:szCs w:val="30"/>
        </w:rPr>
        <w:t>（1）</w:t>
      </w:r>
      <w:r>
        <w:rPr>
          <w:rFonts w:eastAsia="楷体"/>
          <w:b/>
          <w:bCs/>
          <w:sz w:val="30"/>
          <w:szCs w:val="30"/>
        </w:rPr>
        <w:t>环节描述及任务。</w:t>
      </w:r>
      <w:r>
        <w:rPr>
          <w:rFonts w:eastAsia="仿宋"/>
          <w:sz w:val="30"/>
          <w:szCs w:val="30"/>
        </w:rPr>
        <w:t>实现压接型定制化超大功率IGBT关键技术，并完成验证工作。具体包括：不同类型柔性直流输电装备与压接型定制化超大功率IGBT联合仿真与协同优化设计技术；超大功率IGBT封装并联均流控制及多物理场分析，高电压串联用驱动保护与封装一体化及电磁兼容技术，压接型封装绝缘体系；压接型定制化超大功率IGBT测试技术和可靠性技术；压接型定制化超大功率IGBT在直流断路器和柔性直流换流阀中应用验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"/>
          <w:sz w:val="30"/>
          <w:szCs w:val="30"/>
        </w:rPr>
      </w:pPr>
      <w:r>
        <w:rPr>
          <w:rFonts w:eastAsia="楷体"/>
          <w:b/>
          <w:bCs/>
          <w:sz w:val="30"/>
          <w:szCs w:val="30"/>
        </w:rPr>
        <w:t>（2）具体目标。</w:t>
      </w:r>
      <w:r>
        <w:rPr>
          <w:rFonts w:eastAsia="仿宋"/>
          <w:sz w:val="30"/>
          <w:szCs w:val="30"/>
        </w:rPr>
        <w:t>压接型定制化IGBT器件参数不低于3300V/3000A，低通态压降IGBT的通态压降低于2.8V，高关断能力IGBT的短路电流大于18000A。15kV碳化硅IGBT芯片电流不低于10A、器件电流不低于100A。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"/>
          <w:b/>
          <w:sz w:val="30"/>
          <w:szCs w:val="30"/>
        </w:rPr>
      </w:pPr>
      <w:r>
        <w:rPr>
          <w:rFonts w:eastAsia="仿宋"/>
          <w:b/>
          <w:sz w:val="30"/>
          <w:szCs w:val="30"/>
        </w:rPr>
        <w:t>轨道交通用高压大容量IGBT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"/>
          <w:sz w:val="30"/>
          <w:szCs w:val="30"/>
        </w:rPr>
      </w:pPr>
      <w:r>
        <w:rPr>
          <w:rFonts w:hint="eastAsia" w:eastAsia="楷体"/>
          <w:b/>
          <w:bCs/>
          <w:sz w:val="30"/>
          <w:szCs w:val="30"/>
        </w:rPr>
        <w:t>（1）</w:t>
      </w:r>
      <w:r>
        <w:rPr>
          <w:rFonts w:eastAsia="楷体"/>
          <w:b/>
          <w:bCs/>
          <w:sz w:val="30"/>
          <w:szCs w:val="30"/>
        </w:rPr>
        <w:t>环节描述及任务。</w:t>
      </w:r>
      <w:r>
        <w:rPr>
          <w:rFonts w:hint="eastAsia" w:eastAsia="仿宋"/>
          <w:sz w:val="30"/>
          <w:szCs w:val="30"/>
        </w:rPr>
        <w:t>IGBT器件作为轨道交通装备的“核芯”，被誉为轨道交通装备的“CPU”。IGBT作为电力电子技术的核心器件，其对变流装置及应用系统的产业拉动作用为1:10:100。以城市轨道交通应用为源头，实现3.3kV和6.5kV高频高压混合SiC IGBT及SiC MOSFET器件、驱动和变流装置的技术突破，推动轨道交通装备高频化、轻量化方向发展。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"/>
          <w:sz w:val="30"/>
          <w:szCs w:val="30"/>
        </w:rPr>
      </w:pPr>
      <w:r>
        <w:rPr>
          <w:rFonts w:eastAsia="楷体"/>
          <w:b/>
          <w:bCs/>
          <w:sz w:val="30"/>
          <w:szCs w:val="30"/>
        </w:rPr>
        <w:t>（2）具体目标。</w:t>
      </w:r>
      <w:r>
        <w:rPr>
          <w:rFonts w:eastAsia="仿宋"/>
          <w:sz w:val="30"/>
          <w:szCs w:val="30"/>
        </w:rPr>
        <w:t>3300V/50A SiC MOSFET器件及3300V/1500A SiC MOSFET功率模块；6500V/35A SiC IGBT类器件及6500V/400A SiC IGBT类功率模块；10kV/20A SiC IGBT类芯片。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仿宋"/>
          <w:b/>
          <w:sz w:val="30"/>
          <w:szCs w:val="30"/>
        </w:rPr>
      </w:pPr>
      <w:r>
        <w:rPr>
          <w:rFonts w:eastAsia="仿宋"/>
          <w:b/>
          <w:sz w:val="30"/>
          <w:szCs w:val="30"/>
        </w:rPr>
        <w:t>新能源汽车用IGBT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"/>
          <w:sz w:val="30"/>
          <w:szCs w:val="30"/>
        </w:rPr>
      </w:pPr>
      <w:r>
        <w:rPr>
          <w:rFonts w:hint="eastAsia" w:eastAsia="楷体"/>
          <w:b/>
          <w:bCs/>
          <w:sz w:val="30"/>
          <w:szCs w:val="30"/>
        </w:rPr>
        <w:t>（1）</w:t>
      </w:r>
      <w:r>
        <w:rPr>
          <w:rFonts w:eastAsia="楷体"/>
          <w:b/>
          <w:bCs/>
          <w:sz w:val="30"/>
          <w:szCs w:val="30"/>
        </w:rPr>
        <w:t>环节描述及任务。</w:t>
      </w:r>
      <w:r>
        <w:rPr>
          <w:rFonts w:hint="eastAsia" w:eastAsia="仿宋"/>
          <w:sz w:val="30"/>
          <w:szCs w:val="30"/>
        </w:rPr>
        <w:t>提高IGBT、FRD芯片和器件性能，满足电动汽车工作条件的严酷性和复杂性功能要求，降低成本，实现在电动汽车领域的规模应用。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"/>
          <w:sz w:val="30"/>
          <w:szCs w:val="30"/>
        </w:rPr>
      </w:pPr>
      <w:r>
        <w:rPr>
          <w:rFonts w:eastAsia="楷体"/>
          <w:b/>
          <w:bCs/>
          <w:sz w:val="30"/>
          <w:szCs w:val="30"/>
        </w:rPr>
        <w:t>（2）具体目标。</w:t>
      </w:r>
      <w:r>
        <w:rPr>
          <w:rFonts w:eastAsia="仿宋"/>
          <w:sz w:val="30"/>
          <w:szCs w:val="30"/>
        </w:rPr>
        <w:t>电动汽车用IGBT模块，集成热管理功能，电压等级600～800V，额定电流800A，导通压降≤1.55V。电动汽车用IGBT组件，集成热管理、驱动电路与传感器，电压等级600～800V，额定电流800A，导通压降≤1.55V。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楷体"/>
          <w:b/>
          <w:sz w:val="30"/>
          <w:szCs w:val="30"/>
        </w:rPr>
      </w:pPr>
      <w:r>
        <w:rPr>
          <w:rFonts w:eastAsia="楷体"/>
          <w:b/>
          <w:sz w:val="30"/>
          <w:szCs w:val="30"/>
        </w:rPr>
        <w:t>IGBT生产设备制造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楷体"/>
          <w:bCs/>
          <w:sz w:val="30"/>
          <w:szCs w:val="30"/>
        </w:rPr>
      </w:pPr>
      <w:r>
        <w:rPr>
          <w:rFonts w:hint="eastAsia" w:eastAsia="楷体"/>
          <w:b/>
          <w:bCs/>
          <w:sz w:val="30"/>
          <w:szCs w:val="30"/>
        </w:rPr>
        <w:t>（1）</w:t>
      </w:r>
      <w:r>
        <w:rPr>
          <w:rFonts w:eastAsia="楷体"/>
          <w:b/>
          <w:bCs/>
          <w:sz w:val="30"/>
          <w:szCs w:val="30"/>
        </w:rPr>
        <w:t>环节描述及任务。</w:t>
      </w:r>
      <w:r>
        <w:rPr>
          <w:rFonts w:hint="eastAsia" w:eastAsia="仿宋"/>
          <w:sz w:val="30"/>
          <w:szCs w:val="30"/>
        </w:rPr>
        <w:t>实现12英寸封装关键设备国产化。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"/>
          <w:sz w:val="30"/>
          <w:szCs w:val="30"/>
        </w:rPr>
      </w:pPr>
      <w:r>
        <w:rPr>
          <w:rFonts w:hint="eastAsia" w:eastAsia="楷体"/>
          <w:b/>
          <w:bCs/>
          <w:sz w:val="30"/>
          <w:szCs w:val="30"/>
        </w:rPr>
        <w:t>（2）具体目标。</w:t>
      </w:r>
      <w:r>
        <w:rPr>
          <w:rFonts w:hint="eastAsia" w:eastAsia="仿宋"/>
          <w:sz w:val="30"/>
          <w:szCs w:val="30"/>
        </w:rPr>
        <w:t>减薄机，300mm 超薄晶圆减薄抛光一体机。光刻机，可满足200 mm 及300 mm 硅片封装工艺要求。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楷体"/>
          <w:b/>
          <w:sz w:val="30"/>
          <w:szCs w:val="30"/>
        </w:rPr>
      </w:pPr>
      <w:r>
        <w:rPr>
          <w:rFonts w:hint="eastAsia" w:eastAsia="楷体"/>
          <w:b/>
          <w:sz w:val="30"/>
          <w:szCs w:val="30"/>
        </w:rPr>
        <w:t>下游应用的配套器件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"/>
          <w:sz w:val="30"/>
          <w:szCs w:val="30"/>
        </w:rPr>
      </w:pPr>
      <w:r>
        <w:rPr>
          <w:rFonts w:hint="eastAsia" w:eastAsia="楷体"/>
          <w:b/>
          <w:bCs/>
          <w:sz w:val="30"/>
          <w:szCs w:val="30"/>
        </w:rPr>
        <w:t>（1）</w:t>
      </w:r>
      <w:r>
        <w:rPr>
          <w:rFonts w:eastAsia="楷体"/>
          <w:b/>
          <w:bCs/>
          <w:sz w:val="30"/>
          <w:szCs w:val="30"/>
        </w:rPr>
        <w:t>环节描述及任务。</w:t>
      </w:r>
      <w:r>
        <w:rPr>
          <w:rFonts w:hint="eastAsia" w:eastAsia="仿宋"/>
          <w:sz w:val="30"/>
          <w:szCs w:val="30"/>
        </w:rPr>
        <w:t>开发高效率、高功率密度的功率半导体器件，低感、低热阻无源器件，高集成度的功率组件和高功率密度电机控制器。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"/>
          <w:sz w:val="30"/>
          <w:szCs w:val="30"/>
        </w:rPr>
      </w:pPr>
      <w:r>
        <w:rPr>
          <w:rFonts w:eastAsia="楷体"/>
          <w:b/>
          <w:bCs/>
          <w:sz w:val="30"/>
          <w:szCs w:val="30"/>
        </w:rPr>
        <w:t>（2）具体目标。</w:t>
      </w:r>
      <w:r>
        <w:rPr>
          <w:rFonts w:hint="eastAsia" w:eastAsia="仿宋"/>
          <w:sz w:val="30"/>
          <w:szCs w:val="30"/>
        </w:rPr>
        <w:t>电机控制器峰值功率密度≥17kW/L，最高效率≥98.5%，匹配电机额定功率20-60kW，功能安全满足ISO26262标准ASCIL C级的要求，设计寿命达到15年或40万公里。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咨询电话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中国企业联合会</w:t>
      </w:r>
      <w:r>
        <w:rPr>
          <w:rFonts w:hint="eastAsia" w:eastAsia="仿宋_GB2312"/>
          <w:sz w:val="32"/>
          <w:szCs w:val="28"/>
        </w:rPr>
        <w:t xml:space="preserve">  </w:t>
      </w:r>
      <w:r>
        <w:rPr>
          <w:rFonts w:eastAsia="仿宋_GB2312"/>
          <w:sz w:val="32"/>
          <w:szCs w:val="28"/>
        </w:rPr>
        <w:t>李</w:t>
      </w:r>
      <w:r>
        <w:rPr>
          <w:rFonts w:hint="eastAsia" w:eastAsia="仿宋_GB2312"/>
          <w:sz w:val="32"/>
          <w:szCs w:val="28"/>
        </w:rPr>
        <w:t xml:space="preserve">  </w:t>
      </w:r>
      <w:r>
        <w:rPr>
          <w:rFonts w:eastAsia="仿宋_GB2312"/>
          <w:sz w:val="32"/>
          <w:szCs w:val="28"/>
        </w:rPr>
        <w:t>红</w:t>
      </w:r>
      <w:r>
        <w:rPr>
          <w:rFonts w:hint="eastAsia" w:eastAsia="仿宋_GB2312"/>
          <w:sz w:val="32"/>
          <w:szCs w:val="28"/>
        </w:rPr>
        <w:t xml:space="preserve">  </w:t>
      </w:r>
      <w:r>
        <w:rPr>
          <w:rFonts w:eastAsia="仿宋_GB2312"/>
          <w:sz w:val="32"/>
          <w:szCs w:val="28"/>
        </w:rPr>
        <w:t xml:space="preserve"> 010-68418109</w:t>
      </w:r>
      <w:r>
        <w:rPr>
          <w:rFonts w:hint="eastAsia" w:eastAsia="仿宋_GB2312"/>
          <w:sz w:val="32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附：IGBT器件</w:t>
      </w:r>
      <w:r>
        <w:rPr>
          <w:rFonts w:hint="eastAsia" w:eastAsia="仿宋_GB2312"/>
          <w:sz w:val="32"/>
          <w:szCs w:val="28"/>
          <w:lang w:eastAsia="zh-CN"/>
        </w:rPr>
        <w:t>“一条龙”</w:t>
      </w:r>
      <w:r>
        <w:rPr>
          <w:rFonts w:eastAsia="仿宋_GB2312"/>
          <w:sz w:val="32"/>
          <w:szCs w:val="28"/>
        </w:rPr>
        <w:t>应用计划申报书</w:t>
      </w:r>
    </w:p>
    <w:p>
      <w:pPr>
        <w:pStyle w:val="13"/>
        <w:spacing w:line="54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28"/>
        </w:rPr>
        <w:br w:type="page"/>
      </w:r>
      <w:r>
        <w:rPr>
          <w:rFonts w:ascii="Times New Roman" w:hAnsi="Times New Roman" w:eastAsia="仿宋_GB2312"/>
          <w:sz w:val="32"/>
          <w:szCs w:val="32"/>
        </w:rPr>
        <w:t>附</w:t>
      </w:r>
    </w:p>
    <w:p>
      <w:pPr/>
    </w:p>
    <w:p>
      <w:pPr/>
    </w:p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</w:p>
    <w:p>
      <w:pPr>
        <w:snapToGrid w:val="0"/>
        <w:spacing w:line="300" w:lineRule="auto"/>
        <w:jc w:val="center"/>
        <w:rPr>
          <w:rFonts w:eastAsia="黑体"/>
          <w:b/>
          <w:bCs/>
          <w:sz w:val="44"/>
        </w:rPr>
      </w:pPr>
      <w:r>
        <w:rPr>
          <w:rFonts w:eastAsia="黑体"/>
          <w:b/>
          <w:bCs/>
          <w:sz w:val="44"/>
        </w:rPr>
        <w:t>IGBT器件</w:t>
      </w:r>
      <w:r>
        <w:rPr>
          <w:rFonts w:hint="eastAsia" w:eastAsia="黑体"/>
          <w:b/>
          <w:bCs/>
          <w:sz w:val="44"/>
          <w:lang w:eastAsia="zh-CN"/>
        </w:rPr>
        <w:t>“一条龙”</w:t>
      </w:r>
      <w:r>
        <w:rPr>
          <w:rFonts w:eastAsia="黑体"/>
          <w:b/>
          <w:bCs/>
          <w:sz w:val="44"/>
        </w:rPr>
        <w:t>应用计划申报书</w:t>
      </w:r>
    </w:p>
    <w:p>
      <w:pPr>
        <w:jc w:val="center"/>
        <w:outlineLvl w:val="0"/>
        <w:rPr>
          <w:rFonts w:eastAsia="仿宋_GB2312"/>
          <w:bCs/>
          <w:sz w:val="36"/>
        </w:rPr>
      </w:pPr>
    </w:p>
    <w:p>
      <w:pPr>
        <w:jc w:val="center"/>
        <w:outlineLvl w:val="0"/>
        <w:rPr>
          <w:rFonts w:eastAsia="仿宋_GB2312"/>
          <w:bCs/>
          <w:sz w:val="36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eastAsia="黑体"/>
          <w:sz w:val="32"/>
          <w:szCs w:val="32"/>
        </w:rPr>
      </w:pPr>
    </w:p>
    <w:p>
      <w:pPr>
        <w:spacing w:line="480" w:lineRule="auto"/>
        <w:ind w:firstLine="576" w:firstLineChars="192"/>
        <w:rPr>
          <w:rFonts w:eastAsia="黑体"/>
          <w:sz w:val="30"/>
          <w:szCs w:val="30"/>
          <w:lang w:val="zh-CN"/>
        </w:rPr>
      </w:pPr>
      <w:r>
        <w:rPr>
          <w:rFonts w:eastAsia="黑体"/>
          <w:sz w:val="30"/>
          <w:szCs w:val="30"/>
          <w:lang w:val="zh-CN"/>
        </w:rPr>
        <w:t>企业名称：</w:t>
      </w:r>
      <w:r>
        <w:rPr>
          <w:rFonts w:eastAsia="黑体"/>
          <w:sz w:val="30"/>
          <w:szCs w:val="30"/>
          <w:u w:val="single"/>
          <w:lang w:val="zh-CN"/>
        </w:rPr>
        <w:t xml:space="preserve">                                  </w:t>
      </w:r>
    </w:p>
    <w:p>
      <w:pPr>
        <w:spacing w:line="480" w:lineRule="auto"/>
        <w:ind w:firstLine="576" w:firstLineChars="192"/>
        <w:rPr>
          <w:rFonts w:eastAsia="黑体"/>
          <w:sz w:val="30"/>
          <w:szCs w:val="30"/>
          <w:lang w:val="zh-CN"/>
        </w:rPr>
      </w:pPr>
      <w:r>
        <w:rPr>
          <w:rFonts w:eastAsia="黑体"/>
          <w:sz w:val="30"/>
          <w:szCs w:val="30"/>
          <w:lang w:val="zh-CN"/>
        </w:rPr>
        <w:t>项目名称：</w:t>
      </w:r>
      <w:r>
        <w:rPr>
          <w:rFonts w:eastAsia="黑体"/>
          <w:sz w:val="30"/>
          <w:szCs w:val="30"/>
          <w:u w:val="single"/>
          <w:lang w:val="zh-CN"/>
        </w:rPr>
        <w:t xml:space="preserve">                                  </w:t>
      </w:r>
    </w:p>
    <w:p>
      <w:pPr>
        <w:spacing w:line="480" w:lineRule="auto"/>
        <w:ind w:firstLine="576" w:firstLineChars="192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责任人（法人代表）：</w:t>
      </w:r>
      <w:r>
        <w:rPr>
          <w:rFonts w:eastAsia="黑体"/>
          <w:sz w:val="30"/>
          <w:szCs w:val="30"/>
          <w:u w:val="single"/>
        </w:rPr>
        <w:t xml:space="preserve">                         </w:t>
      </w:r>
    </w:p>
    <w:p>
      <w:pPr>
        <w:spacing w:line="480" w:lineRule="auto"/>
        <w:ind w:firstLine="576" w:firstLineChars="192"/>
        <w:rPr>
          <w:rFonts w:eastAsia="黑体"/>
          <w:color w:val="FF0000"/>
          <w:sz w:val="30"/>
          <w:szCs w:val="30"/>
          <w:lang w:val="zh-CN"/>
        </w:rPr>
      </w:pPr>
      <w:r>
        <w:rPr>
          <w:rFonts w:eastAsia="黑体"/>
          <w:sz w:val="30"/>
          <w:szCs w:val="30"/>
          <w:lang w:val="zh-CN"/>
        </w:rPr>
        <w:t>项目技术负责人：</w:t>
      </w:r>
      <w:r>
        <w:rPr>
          <w:rFonts w:eastAsia="黑体"/>
          <w:sz w:val="30"/>
          <w:szCs w:val="30"/>
          <w:u w:val="single"/>
          <w:lang w:val="zh-CN"/>
        </w:rPr>
        <w:t xml:space="preserve">                            </w:t>
      </w:r>
    </w:p>
    <w:p>
      <w:pPr>
        <w:spacing w:line="480" w:lineRule="auto"/>
        <w:ind w:firstLine="576" w:firstLineChars="192"/>
        <w:rPr>
          <w:rFonts w:eastAsia="黑体"/>
          <w:sz w:val="30"/>
          <w:szCs w:val="30"/>
          <w:lang w:val="zh-CN"/>
        </w:rPr>
      </w:pPr>
      <w:r>
        <w:rPr>
          <w:rFonts w:eastAsia="黑体"/>
          <w:sz w:val="30"/>
          <w:szCs w:val="30"/>
          <w:lang w:val="zh-CN"/>
        </w:rPr>
        <w:t>实施年限：20</w:t>
      </w:r>
      <w:r>
        <w:rPr>
          <w:rFonts w:eastAsia="黑体"/>
          <w:sz w:val="30"/>
          <w:szCs w:val="30"/>
          <w:u w:val="single"/>
          <w:lang w:val="zh-CN"/>
        </w:rPr>
        <w:t xml:space="preserve">     </w:t>
      </w:r>
      <w:r>
        <w:rPr>
          <w:rFonts w:eastAsia="黑体"/>
          <w:sz w:val="30"/>
          <w:szCs w:val="30"/>
          <w:lang w:val="zh-CN"/>
        </w:rPr>
        <w:t>年</w:t>
      </w:r>
      <w:r>
        <w:rPr>
          <w:rFonts w:eastAsia="黑体"/>
          <w:sz w:val="30"/>
          <w:szCs w:val="30"/>
          <w:u w:val="single"/>
          <w:lang w:val="zh-CN"/>
        </w:rPr>
        <w:t xml:space="preserve">     </w:t>
      </w:r>
      <w:r>
        <w:rPr>
          <w:rFonts w:eastAsia="黑体"/>
          <w:sz w:val="30"/>
          <w:szCs w:val="30"/>
          <w:lang w:val="zh-CN"/>
        </w:rPr>
        <w:t>月至20</w:t>
      </w:r>
      <w:r>
        <w:rPr>
          <w:rFonts w:eastAsia="黑体"/>
          <w:sz w:val="30"/>
          <w:szCs w:val="30"/>
          <w:u w:val="single"/>
          <w:lang w:val="zh-CN"/>
        </w:rPr>
        <w:t xml:space="preserve">    </w:t>
      </w:r>
      <w:r>
        <w:rPr>
          <w:rFonts w:eastAsia="黑体"/>
          <w:sz w:val="30"/>
          <w:szCs w:val="30"/>
          <w:lang w:val="zh-CN"/>
        </w:rPr>
        <w:t>年</w:t>
      </w:r>
      <w:r>
        <w:rPr>
          <w:rFonts w:eastAsia="黑体"/>
          <w:sz w:val="30"/>
          <w:szCs w:val="30"/>
          <w:u w:val="single"/>
          <w:lang w:val="zh-CN"/>
        </w:rPr>
        <w:t xml:space="preserve">    </w:t>
      </w:r>
      <w:r>
        <w:rPr>
          <w:rFonts w:eastAsia="黑体"/>
          <w:sz w:val="30"/>
          <w:szCs w:val="30"/>
          <w:lang w:val="zh-CN"/>
        </w:rPr>
        <w:t>月</w:t>
      </w:r>
    </w:p>
    <w:p>
      <w:pPr>
        <w:spacing w:line="480" w:lineRule="auto"/>
        <w:ind w:firstLine="576" w:firstLineChars="192"/>
        <w:rPr>
          <w:rFonts w:eastAsia="黑体"/>
          <w:sz w:val="30"/>
          <w:szCs w:val="30"/>
          <w:lang w:val="zh-CN"/>
        </w:rPr>
      </w:pPr>
      <w:r>
        <w:rPr>
          <w:rFonts w:eastAsia="黑体"/>
          <w:sz w:val="30"/>
          <w:szCs w:val="30"/>
          <w:lang w:val="zh-CN"/>
        </w:rPr>
        <w:t>填报日期：20</w:t>
      </w:r>
      <w:r>
        <w:rPr>
          <w:rFonts w:eastAsia="黑体"/>
          <w:sz w:val="30"/>
          <w:szCs w:val="30"/>
          <w:u w:val="single"/>
          <w:lang w:val="zh-CN"/>
        </w:rPr>
        <w:t xml:space="preserve">  </w:t>
      </w:r>
      <w:r>
        <w:rPr>
          <w:rFonts w:eastAsia="黑体"/>
          <w:sz w:val="30"/>
          <w:szCs w:val="30"/>
          <w:u w:val="single"/>
        </w:rPr>
        <w:t xml:space="preserve">   </w:t>
      </w:r>
      <w:r>
        <w:rPr>
          <w:rFonts w:eastAsia="黑体"/>
          <w:sz w:val="30"/>
          <w:szCs w:val="30"/>
          <w:lang w:val="zh-CN"/>
        </w:rPr>
        <w:t>年</w:t>
      </w:r>
      <w:r>
        <w:rPr>
          <w:rFonts w:eastAsia="黑体"/>
          <w:sz w:val="30"/>
          <w:szCs w:val="30"/>
          <w:u w:val="single"/>
          <w:lang w:val="zh-CN"/>
        </w:rPr>
        <w:t xml:space="preserve">     </w:t>
      </w:r>
      <w:r>
        <w:rPr>
          <w:rFonts w:eastAsia="黑体"/>
          <w:sz w:val="30"/>
          <w:szCs w:val="30"/>
          <w:lang w:val="zh-CN"/>
        </w:rPr>
        <w:t>月</w:t>
      </w:r>
      <w:r>
        <w:rPr>
          <w:rFonts w:eastAsia="黑体"/>
          <w:sz w:val="30"/>
          <w:szCs w:val="30"/>
          <w:u w:val="single"/>
          <w:lang w:val="zh-CN"/>
        </w:rPr>
        <w:t xml:space="preserve">     </w:t>
      </w:r>
      <w:r>
        <w:rPr>
          <w:rFonts w:eastAsia="黑体"/>
          <w:sz w:val="30"/>
          <w:szCs w:val="30"/>
          <w:lang w:val="zh-CN"/>
        </w:rPr>
        <w:t>日</w:t>
      </w:r>
    </w:p>
    <w:p>
      <w:pPr>
        <w:adjustRightInd w:val="0"/>
        <w:snapToGrid w:val="0"/>
        <w:spacing w:line="480" w:lineRule="auto"/>
        <w:ind w:firstLine="640" w:firstLineChars="200"/>
        <w:rPr>
          <w:rFonts w:eastAsia="黑体"/>
          <w:sz w:val="32"/>
          <w:szCs w:val="32"/>
        </w:rPr>
      </w:pP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ab/>
      </w:r>
    </w:p>
    <w:p>
      <w:p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中华人民共和国工业和信息化部制</w:t>
      </w:r>
    </w:p>
    <w:p>
      <w:pPr>
        <w:spacing w:line="360" w:lineRule="auto"/>
        <w:jc w:val="center"/>
        <w:rPr>
          <w:rFonts w:eastAsia="黑体"/>
          <w:sz w:val="30"/>
          <w:szCs w:val="30"/>
        </w:rPr>
        <w:sectPr>
          <w:headerReference r:id="rId3" w:type="default"/>
          <w:footerReference r:id="rId4" w:type="default"/>
          <w:pgSz w:w="11850" w:h="16783"/>
          <w:pgMar w:top="1587" w:right="1474" w:bottom="1474" w:left="1587" w:header="851" w:footer="992" w:gutter="0"/>
          <w:cols w:space="720" w:num="1"/>
          <w:docGrid w:type="lines" w:linePitch="312" w:charSpace="0"/>
        </w:sectPr>
      </w:pPr>
      <w:r>
        <w:rPr>
          <w:rFonts w:eastAsia="黑体"/>
          <w:sz w:val="30"/>
          <w:szCs w:val="30"/>
        </w:rPr>
        <w:t>二〇    年    月</w:t>
      </w:r>
    </w:p>
    <w:tbl>
      <w:tblPr>
        <w:tblStyle w:val="9"/>
        <w:tblW w:w="92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2293"/>
        <w:gridCol w:w="345"/>
        <w:gridCol w:w="556"/>
        <w:gridCol w:w="516"/>
        <w:gridCol w:w="243"/>
        <w:gridCol w:w="88"/>
        <w:gridCol w:w="1094"/>
        <w:gridCol w:w="1059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521" w:type="dxa"/>
            <w:vAlign w:val="center"/>
          </w:tcPr>
          <w:p>
            <w:pPr>
              <w:pStyle w:val="12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单位名称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pStyle w:val="12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pStyle w:val="12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注册地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pStyle w:val="12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12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机构代码</w:t>
            </w:r>
          </w:p>
        </w:tc>
        <w:tc>
          <w:tcPr>
            <w:tcW w:w="1554" w:type="dxa"/>
            <w:vAlign w:val="center"/>
          </w:tcPr>
          <w:p>
            <w:pPr>
              <w:pStyle w:val="12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521" w:type="dxa"/>
            <w:vAlign w:val="center"/>
          </w:tcPr>
          <w:p>
            <w:pPr>
              <w:pStyle w:val="12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项目名称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pStyle w:val="12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pStyle w:val="12"/>
              <w:snapToGrid w:val="0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hint="eastAsia" w:ascii="Times New Roman" w:hAnsi="Times New Roman" w:eastAsia="黑体"/>
                <w:color w:val="auto"/>
                <w:sz w:val="21"/>
              </w:rPr>
              <w:t>项目</w:t>
            </w:r>
            <w:r>
              <w:rPr>
                <w:rFonts w:ascii="Times New Roman" w:hAnsi="Times New Roman" w:eastAsia="黑体"/>
                <w:color w:val="auto"/>
                <w:sz w:val="21"/>
              </w:rPr>
              <w:t>实施期</w:t>
            </w:r>
          </w:p>
        </w:tc>
        <w:tc>
          <w:tcPr>
            <w:tcW w:w="3795" w:type="dxa"/>
            <w:gridSpan w:val="4"/>
            <w:vAlign w:val="center"/>
          </w:tcPr>
          <w:p>
            <w:pPr>
              <w:pStyle w:val="12"/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</w:rPr>
              <w:t>年    月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 w:val="21"/>
              </w:rPr>
              <w:t>至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  <w:jc w:val="center"/>
        </w:trPr>
        <w:tc>
          <w:tcPr>
            <w:tcW w:w="1521" w:type="dxa"/>
            <w:vMerge w:val="restart"/>
            <w:vAlign w:val="center"/>
          </w:tcPr>
          <w:p>
            <w:pPr>
              <w:pStyle w:val="12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所属产业链</w:t>
            </w:r>
          </w:p>
        </w:tc>
        <w:tc>
          <w:tcPr>
            <w:tcW w:w="3194" w:type="dxa"/>
            <w:gridSpan w:val="3"/>
            <w:tcBorders>
              <w:bottom w:val="nil"/>
              <w:right w:val="nil"/>
            </w:tcBorders>
            <w:vAlign w:val="center"/>
          </w:tcPr>
          <w:p>
            <w:pPr>
              <w:pStyle w:val="12"/>
              <w:snapToGrid w:val="0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□新能源汽车用IGBT产业链</w:t>
            </w:r>
          </w:p>
        </w:tc>
        <w:tc>
          <w:tcPr>
            <w:tcW w:w="4554" w:type="dxa"/>
            <w:gridSpan w:val="6"/>
            <w:tcBorders>
              <w:left w:val="nil"/>
              <w:bottom w:val="nil"/>
            </w:tcBorders>
            <w:vAlign w:val="center"/>
          </w:tcPr>
          <w:p>
            <w:pPr>
              <w:pStyle w:val="12"/>
              <w:snapToGrid w:val="0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智能电网用IGBT产业链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1521" w:type="dxa"/>
            <w:vMerge w:val="continue"/>
            <w:vAlign w:val="center"/>
          </w:tcPr>
          <w:p>
            <w:pPr>
              <w:pStyle w:val="12"/>
              <w:snapToGrid w:val="0"/>
              <w:rPr>
                <w:rFonts w:ascii="Times New Roman" w:hAnsi="Times New Roman" w:eastAsia="黑体"/>
              </w:rPr>
            </w:pPr>
          </w:p>
        </w:tc>
        <w:tc>
          <w:tcPr>
            <w:tcW w:w="3194" w:type="dxa"/>
            <w:gridSpan w:val="3"/>
            <w:tcBorders>
              <w:top w:val="nil"/>
              <w:right w:val="nil"/>
            </w:tcBorders>
            <w:vAlign w:val="center"/>
          </w:tcPr>
          <w:p>
            <w:pPr>
              <w:pStyle w:val="12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□轨道交通用IGBT产业链</w:t>
            </w:r>
          </w:p>
        </w:tc>
        <w:tc>
          <w:tcPr>
            <w:tcW w:w="4554" w:type="dxa"/>
            <w:gridSpan w:val="6"/>
            <w:tcBorders>
              <w:top w:val="nil"/>
              <w:left w:val="nil"/>
            </w:tcBorders>
            <w:vAlign w:val="center"/>
          </w:tcPr>
          <w:p>
            <w:pPr>
              <w:pStyle w:val="12"/>
              <w:snapToGrid w:val="0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521" w:type="dxa"/>
            <w:vMerge w:val="restart"/>
            <w:vAlign w:val="center"/>
          </w:tcPr>
          <w:p>
            <w:pPr>
              <w:pStyle w:val="12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所属产业链</w:t>
            </w:r>
          </w:p>
          <w:p>
            <w:pPr>
              <w:pStyle w:val="12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关键环节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pStyle w:val="12"/>
              <w:snapToGrid w:val="0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 上游材料</w:t>
            </w:r>
          </w:p>
        </w:tc>
        <w:tc>
          <w:tcPr>
            <w:tcW w:w="5110" w:type="dxa"/>
            <w:gridSpan w:val="7"/>
            <w:vAlign w:val="center"/>
          </w:tcPr>
          <w:p>
            <w:pPr>
              <w:pStyle w:val="12"/>
              <w:snapToGrid w:val="0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□IGBT设计、芯片制造、模块生产及IDM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72" w:hRule="atLeast"/>
          <w:jc w:val="center"/>
        </w:trPr>
        <w:tc>
          <w:tcPr>
            <w:tcW w:w="1521" w:type="dxa"/>
            <w:vMerge w:val="continue"/>
            <w:vAlign w:val="center"/>
          </w:tcPr>
          <w:p>
            <w:pPr>
              <w:pStyle w:val="12"/>
              <w:snapToGrid w:val="0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pStyle w:val="12"/>
              <w:snapToGrid w:val="0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 生产设备</w:t>
            </w:r>
          </w:p>
        </w:tc>
        <w:tc>
          <w:tcPr>
            <w:tcW w:w="5110" w:type="dxa"/>
            <w:gridSpan w:val="7"/>
            <w:vAlign w:val="center"/>
          </w:tcPr>
          <w:p>
            <w:pPr>
              <w:pStyle w:val="12"/>
              <w:snapToGrid w:val="0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□下游配套器件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521" w:type="dxa"/>
            <w:vMerge w:val="restart"/>
            <w:vAlign w:val="center"/>
          </w:tcPr>
          <w:p>
            <w:pPr>
              <w:pStyle w:val="12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所属产品</w:t>
            </w:r>
          </w:p>
        </w:tc>
        <w:tc>
          <w:tcPr>
            <w:tcW w:w="3710" w:type="dxa"/>
            <w:gridSpan w:val="4"/>
            <w:tcBorders>
              <w:bottom w:val="nil"/>
              <w:right w:val="nil"/>
            </w:tcBorders>
            <w:vAlign w:val="center"/>
          </w:tcPr>
          <w:p>
            <w:pPr>
              <w:pStyle w:val="12"/>
              <w:snapToGrid w:val="0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□封装用铜箔</w:t>
            </w:r>
          </w:p>
        </w:tc>
        <w:tc>
          <w:tcPr>
            <w:tcW w:w="4038" w:type="dxa"/>
            <w:gridSpan w:val="5"/>
            <w:tcBorders>
              <w:left w:val="nil"/>
              <w:bottom w:val="nil"/>
            </w:tcBorders>
            <w:vAlign w:val="center"/>
          </w:tcPr>
          <w:p>
            <w:pPr>
              <w:pStyle w:val="12"/>
              <w:snapToGrid w:val="0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□陶瓷结构件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521" w:type="dxa"/>
            <w:vMerge w:val="continue"/>
            <w:vAlign w:val="center"/>
          </w:tcPr>
          <w:p>
            <w:pPr>
              <w:pStyle w:val="12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71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12"/>
              <w:snapToGrid w:val="0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□IGBT芯片／IGBT模块</w:t>
            </w:r>
          </w:p>
        </w:tc>
        <w:tc>
          <w:tcPr>
            <w:tcW w:w="403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12"/>
              <w:snapToGrid w:val="0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□IGBT模块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21" w:type="dxa"/>
            <w:vMerge w:val="continue"/>
            <w:vAlign w:val="center"/>
          </w:tcPr>
          <w:p>
            <w:pPr>
              <w:pStyle w:val="12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71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12"/>
              <w:snapToGrid w:val="0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□封装设备</w:t>
            </w:r>
          </w:p>
        </w:tc>
        <w:tc>
          <w:tcPr>
            <w:tcW w:w="403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12"/>
              <w:snapToGrid w:val="0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 新能源汽车</w:t>
            </w:r>
            <w:r>
              <w:rPr>
                <w:rFonts w:hint="eastAsia" w:ascii="Times New Roman" w:hAnsi="Times New Roman" w:eastAsia="仿宋"/>
                <w:color w:val="auto"/>
                <w:sz w:val="21"/>
              </w:rPr>
              <w:t>电机控制器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1" w:type="dxa"/>
            <w:vAlign w:val="center"/>
          </w:tcPr>
          <w:p>
            <w:pPr>
              <w:pStyle w:val="12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实  施  期</w:t>
            </w:r>
          </w:p>
        </w:tc>
        <w:tc>
          <w:tcPr>
            <w:tcW w:w="7748" w:type="dxa"/>
            <w:gridSpan w:val="9"/>
            <w:vAlign w:val="center"/>
          </w:tcPr>
          <w:p>
            <w:pPr>
              <w:pStyle w:val="12"/>
              <w:snapToGrid w:val="0"/>
              <w:ind w:firstLine="1260" w:firstLineChars="60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</w:rPr>
              <w:t>年    月 至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21" w:type="dxa"/>
            <w:vAlign w:val="center"/>
          </w:tcPr>
          <w:p>
            <w:pPr>
              <w:pStyle w:val="12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主要负责人</w:t>
            </w:r>
          </w:p>
        </w:tc>
        <w:tc>
          <w:tcPr>
            <w:tcW w:w="2293" w:type="dxa"/>
            <w:vAlign w:val="center"/>
          </w:tcPr>
          <w:p>
            <w:pPr>
              <w:pStyle w:val="12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  <w:tc>
          <w:tcPr>
            <w:tcW w:w="1748" w:type="dxa"/>
            <w:gridSpan w:val="5"/>
            <w:vAlign w:val="center"/>
          </w:tcPr>
          <w:p>
            <w:pPr>
              <w:pStyle w:val="12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联系电话（手机）</w:t>
            </w:r>
          </w:p>
        </w:tc>
        <w:tc>
          <w:tcPr>
            <w:tcW w:w="3707" w:type="dxa"/>
            <w:gridSpan w:val="3"/>
            <w:vAlign w:val="center"/>
          </w:tcPr>
          <w:p>
            <w:pPr>
              <w:pStyle w:val="12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4" w:hRule="atLeast"/>
          <w:jc w:val="center"/>
        </w:trPr>
        <w:tc>
          <w:tcPr>
            <w:tcW w:w="1521" w:type="dxa"/>
            <w:vAlign w:val="center"/>
          </w:tcPr>
          <w:p>
            <w:pPr>
              <w:pStyle w:val="12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电子邮箱</w:t>
            </w:r>
          </w:p>
        </w:tc>
        <w:tc>
          <w:tcPr>
            <w:tcW w:w="2293" w:type="dxa"/>
            <w:vAlign w:val="center"/>
          </w:tcPr>
          <w:p>
            <w:pPr>
              <w:pStyle w:val="12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  <w:tc>
          <w:tcPr>
            <w:tcW w:w="1748" w:type="dxa"/>
            <w:gridSpan w:val="5"/>
            <w:vAlign w:val="center"/>
          </w:tcPr>
          <w:p>
            <w:pPr>
              <w:pStyle w:val="12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传   真</w:t>
            </w:r>
          </w:p>
        </w:tc>
        <w:tc>
          <w:tcPr>
            <w:tcW w:w="3707" w:type="dxa"/>
            <w:gridSpan w:val="3"/>
            <w:vAlign w:val="center"/>
          </w:tcPr>
          <w:p>
            <w:pPr>
              <w:pStyle w:val="12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9269" w:type="dxa"/>
            <w:gridSpan w:val="10"/>
            <w:vAlign w:val="top"/>
          </w:tcPr>
          <w:p>
            <w:pPr>
              <w:pStyle w:val="12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参与单位满足所属</w:t>
            </w:r>
            <w:r>
              <w:rPr>
                <w:rFonts w:hint="eastAsia" w:ascii="Times New Roman" w:hAnsi="Times New Roman" w:eastAsia="黑体"/>
                <w:color w:val="auto"/>
                <w:sz w:val="21"/>
                <w:lang w:eastAsia="zh-CN"/>
              </w:rPr>
              <w:t>“一条龙”</w:t>
            </w:r>
            <w:r>
              <w:rPr>
                <w:rFonts w:ascii="Times New Roman" w:hAnsi="Times New Roman" w:eastAsia="黑体"/>
                <w:color w:val="auto"/>
                <w:sz w:val="21"/>
              </w:rPr>
              <w:t>环节</w:t>
            </w:r>
            <w:r>
              <w:rPr>
                <w:rFonts w:hint="eastAsia" w:ascii="Times New Roman" w:hAnsi="Times New Roman" w:eastAsia="黑体"/>
                <w:color w:val="auto"/>
                <w:sz w:val="21"/>
              </w:rPr>
              <w:t>供</w:t>
            </w:r>
            <w:r>
              <w:rPr>
                <w:rFonts w:ascii="Times New Roman" w:hAnsi="Times New Roman" w:eastAsia="黑体"/>
                <w:color w:val="auto"/>
                <w:sz w:val="21"/>
              </w:rPr>
              <w:t>需概述</w:t>
            </w:r>
            <w:r>
              <w:rPr>
                <w:rFonts w:ascii="Times New Roman" w:hAnsi="Times New Roman" w:eastAsia="仿宋_GB2312"/>
                <w:color w:val="auto"/>
                <w:sz w:val="21"/>
              </w:rPr>
              <w:t>（包括：</w:t>
            </w:r>
          </w:p>
          <w:p>
            <w:pPr>
              <w:pStyle w:val="12"/>
              <w:numPr>
                <w:ilvl w:val="0"/>
                <w:numId w:val="5"/>
              </w:numPr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>企业基本情况；</w:t>
            </w:r>
          </w:p>
          <w:p>
            <w:pPr>
              <w:pStyle w:val="12"/>
              <w:numPr>
                <w:ilvl w:val="0"/>
                <w:numId w:val="5"/>
              </w:numPr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</w:rPr>
              <w:t>重点产品、工艺符合性质，与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lang w:eastAsia="zh-CN"/>
              </w:rPr>
              <w:t>“一条龙”</w:t>
            </w:r>
            <w:r>
              <w:rPr>
                <w:rFonts w:ascii="Times New Roman" w:hAnsi="Times New Roman" w:eastAsia="仿宋_GB2312"/>
                <w:color w:val="auto"/>
                <w:sz w:val="21"/>
              </w:rPr>
              <w:t>其他环节在产品、工艺上的直接关联性；</w:t>
            </w:r>
          </w:p>
          <w:p>
            <w:pPr>
              <w:pStyle w:val="12"/>
              <w:numPr>
                <w:ilvl w:val="0"/>
                <w:numId w:val="5"/>
              </w:numPr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</w:rPr>
              <w:t>创新能力、产品技术和工艺水平领先情况；</w:t>
            </w:r>
          </w:p>
          <w:p>
            <w:pPr>
              <w:pStyle w:val="12"/>
              <w:numPr>
                <w:ilvl w:val="0"/>
                <w:numId w:val="5"/>
              </w:numPr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</w:rPr>
              <w:t>对产业链上游的需求，以及对下游可提供的产品或服务；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>近年来企业产品和技术实际使用和应用情况；</w:t>
            </w:r>
          </w:p>
          <w:p>
            <w:pPr>
              <w:pStyle w:val="12"/>
              <w:numPr>
                <w:ilvl w:val="0"/>
                <w:numId w:val="5"/>
              </w:numPr>
              <w:snapToGrid w:val="0"/>
              <w:ind w:firstLine="420" w:firstLineChars="200"/>
              <w:rPr>
                <w:rFonts w:hint="eastAsia" w:ascii="Times New Roman" w:hAnsi="Times New Roman" w:eastAsia="仿宋_GB2312"/>
                <w:color w:val="auto"/>
                <w:sz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</w:rPr>
              <w:t>近三年经营业绩，遵纪守法情况，管理制度建设情况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>，包括不限于以下内容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2014、2015、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2016年企业情况</w:t>
            </w:r>
          </w:p>
          <w:tbl>
            <w:tblPr>
              <w:tblStyle w:val="10"/>
              <w:tblW w:w="5669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3"/>
              <w:gridCol w:w="44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253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黑体" w:hAnsi="黑体" w:eastAsia="黑体" w:cs="黑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szCs w:val="21"/>
                      <w:vertAlign w:val="baseline"/>
                      <w:lang w:val="en-US" w:eastAsia="zh-CN"/>
                    </w:rPr>
                    <w:t>技术</w:t>
                  </w:r>
                </w:p>
              </w:tc>
              <w:tc>
                <w:tcPr>
                  <w:tcW w:w="4416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研发投入占营收比例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253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黑体" w:hAnsi="黑体" w:eastAsia="黑体" w:cs="黑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416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当年申请专利数，截至年底累计授权专利数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25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黑体" w:hAnsi="黑体" w:eastAsia="黑体" w:cs="黑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szCs w:val="21"/>
                      <w:vertAlign w:val="baseline"/>
                      <w:lang w:val="en-US" w:eastAsia="zh-CN"/>
                    </w:rPr>
                    <w:t>市场</w:t>
                  </w:r>
                </w:p>
              </w:tc>
              <w:tc>
                <w:tcPr>
                  <w:tcW w:w="4416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细分领域市场份额、市场排名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253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黑体" w:hAnsi="黑体" w:eastAsia="黑体" w:cs="黑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szCs w:val="21"/>
                      <w:vertAlign w:val="baseline"/>
                      <w:lang w:val="en-US" w:eastAsia="zh-CN"/>
                    </w:rPr>
                    <w:t>财务</w:t>
                  </w:r>
                </w:p>
              </w:tc>
              <w:tc>
                <w:tcPr>
                  <w:tcW w:w="4416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总资产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253" w:type="dxa"/>
                  <w:vMerge w:val="continue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416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资产负债率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0" w:hRule="atLeast"/>
                <w:jc w:val="center"/>
              </w:trPr>
              <w:tc>
                <w:tcPr>
                  <w:tcW w:w="1253" w:type="dxa"/>
                  <w:vMerge w:val="continue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416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年度营业收入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253" w:type="dxa"/>
                  <w:vMerge w:val="continue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416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年度净利润</w:t>
                  </w:r>
                </w:p>
              </w:tc>
            </w:tr>
          </w:tbl>
          <w:p>
            <w:pPr>
              <w:pStyle w:val="12"/>
              <w:numPr>
                <w:ilvl w:val="0"/>
                <w:numId w:val="0"/>
              </w:numPr>
              <w:snapToGrid w:val="0"/>
              <w:ind w:left="420" w:firstLine="420" w:firstLineChars="200"/>
              <w:rPr>
                <w:rFonts w:ascii="Times New Roman" w:hAnsi="Times New Roman" w:eastAsia="仿宋_GB2312"/>
                <w:color w:val="auto"/>
                <w:sz w:val="21"/>
              </w:rPr>
            </w:pPr>
          </w:p>
          <w:p>
            <w:pPr>
              <w:pStyle w:val="12"/>
              <w:numPr>
                <w:ilvl w:val="0"/>
                <w:numId w:val="5"/>
              </w:numPr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>企业参与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lang w:eastAsia="zh-CN"/>
              </w:rPr>
              <w:t>“一条龙”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>应用计划的运行工作机制及措施；</w:t>
            </w:r>
          </w:p>
          <w:p>
            <w:pPr>
              <w:pStyle w:val="12"/>
              <w:numPr>
                <w:ilvl w:val="0"/>
                <w:numId w:val="5"/>
              </w:numPr>
              <w:snapToGrid w:val="0"/>
              <w:ind w:firstLine="420" w:firstLineChars="200"/>
              <w:rPr>
                <w:rFonts w:hint="eastAsia" w:ascii="Times New Roman" w:hAnsi="Times New Roman" w:eastAsia="仿宋_GB2312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>推荐的龙头企业、参与单位和示范工程；</w:t>
            </w:r>
          </w:p>
          <w:p>
            <w:pPr>
              <w:pStyle w:val="12"/>
              <w:numPr>
                <w:ilvl w:val="0"/>
                <w:numId w:val="5"/>
              </w:numPr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>存在的问题和建议</w:t>
            </w:r>
            <w:r>
              <w:rPr>
                <w:rFonts w:ascii="Times New Roman" w:hAnsi="Times New Roman" w:eastAsia="仿宋_GB2312"/>
                <w:color w:val="auto"/>
                <w:sz w:val="21"/>
              </w:rPr>
              <w:t>等）。</w:t>
            </w:r>
          </w:p>
          <w:p>
            <w:pPr>
              <w:pStyle w:val="12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  <w:p>
            <w:pPr>
              <w:pStyle w:val="12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  <w:p>
            <w:pPr>
              <w:pStyle w:val="12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  <w:p>
            <w:pPr>
              <w:pStyle w:val="12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9269" w:type="dxa"/>
            <w:gridSpan w:val="10"/>
            <w:vAlign w:val="top"/>
          </w:tcPr>
          <w:p>
            <w:pPr>
              <w:pStyle w:val="12"/>
              <w:snapToGrid w:val="0"/>
              <w:rPr>
                <w:rFonts w:hint="eastAsia" w:ascii="Times New Roman" w:hAnsi="Times New Roman" w:eastAsia="仿宋_GB2312"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</w:rPr>
              <w:t>项目基本情况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>（总投资、主要建设内容、预期效果等），并填列下表：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项目目前情况</w:t>
            </w:r>
          </w:p>
          <w:tbl>
            <w:tblPr>
              <w:tblStyle w:val="10"/>
              <w:tblW w:w="5669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05"/>
              <w:gridCol w:w="40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60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黑体" w:hAnsi="黑体" w:eastAsia="黑体" w:cs="黑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szCs w:val="21"/>
                      <w:vertAlign w:val="baseline"/>
                      <w:lang w:val="en-US" w:eastAsia="zh-CN"/>
                    </w:rPr>
                    <w:t>项目成熟度</w:t>
                  </w:r>
                </w:p>
              </w:tc>
              <w:tc>
                <w:tcPr>
                  <w:tcW w:w="406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是否已经完成可研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60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黑体" w:hAnsi="黑体" w:eastAsia="黑体" w:cs="黑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szCs w:val="21"/>
                      <w:vertAlign w:val="baseline"/>
                      <w:lang w:val="en-US" w:eastAsia="zh-CN"/>
                    </w:rPr>
                    <w:t>项目总投资</w:t>
                  </w:r>
                </w:p>
              </w:tc>
              <w:tc>
                <w:tcPr>
                  <w:tcW w:w="406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总投资额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60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黑体" w:hAnsi="黑体" w:eastAsia="黑体" w:cs="黑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szCs w:val="21"/>
                      <w:vertAlign w:val="baseline"/>
                      <w:lang w:val="en-US" w:eastAsia="zh-CN"/>
                    </w:rPr>
                    <w:t>项目资本金</w:t>
                  </w:r>
                </w:p>
              </w:tc>
              <w:tc>
                <w:tcPr>
                  <w:tcW w:w="406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项目资本金额度</w:t>
                  </w:r>
                </w:p>
              </w:tc>
            </w:tr>
          </w:tbl>
          <w:p>
            <w:pPr>
              <w:pStyle w:val="12"/>
              <w:snapToGrid w:val="0"/>
              <w:rPr>
                <w:rFonts w:hint="eastAsia" w:ascii="Times New Roman" w:hAnsi="Times New Roman" w:eastAsia="仿宋_GB2312"/>
                <w:color w:val="auto"/>
                <w:sz w:val="21"/>
              </w:rPr>
            </w:pPr>
          </w:p>
          <w:p>
            <w:pPr>
              <w:pStyle w:val="12"/>
              <w:snapToGrid w:val="0"/>
              <w:rPr>
                <w:rFonts w:hint="eastAsia" w:ascii="Times New Roman" w:hAnsi="Times New Roman" w:eastAsia="仿宋_GB2312"/>
                <w:color w:val="auto"/>
                <w:sz w:val="21"/>
              </w:rPr>
            </w:pPr>
          </w:p>
          <w:p>
            <w:pPr>
              <w:pStyle w:val="12"/>
              <w:snapToGrid w:val="0"/>
              <w:rPr>
                <w:rFonts w:hint="eastAsia" w:ascii="Times New Roman" w:hAnsi="Times New Roman" w:eastAsia="仿宋_GB2312"/>
                <w:color w:val="auto"/>
                <w:sz w:val="21"/>
              </w:rPr>
            </w:pPr>
          </w:p>
          <w:p>
            <w:pPr>
              <w:pStyle w:val="12"/>
              <w:snapToGrid w:val="0"/>
              <w:rPr>
                <w:rFonts w:hint="eastAsia" w:ascii="Times New Roman" w:hAnsi="Times New Roman" w:eastAsia="仿宋_GB2312"/>
                <w:color w:val="auto"/>
                <w:sz w:val="21"/>
              </w:rPr>
            </w:pPr>
          </w:p>
          <w:p>
            <w:pPr>
              <w:pStyle w:val="12"/>
              <w:snapToGrid w:val="0"/>
              <w:rPr>
                <w:rFonts w:hint="eastAsia" w:ascii="Times New Roman" w:hAnsi="Times New Roman" w:eastAsia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参与单位</w:t>
            </w:r>
          </w:p>
          <w:p>
            <w:pPr>
              <w:pStyle w:val="12"/>
              <w:snapToGrid w:val="0"/>
              <w:jc w:val="center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自评意见</w:t>
            </w:r>
          </w:p>
        </w:tc>
        <w:tc>
          <w:tcPr>
            <w:tcW w:w="774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snapToGrid w:val="0"/>
              <w:rPr>
                <w:rFonts w:ascii="Times New Roman" w:hAnsi="Times New Roman"/>
                <w:color w:val="auto"/>
                <w:sz w:val="21"/>
              </w:rPr>
            </w:pPr>
          </w:p>
          <w:p>
            <w:pPr>
              <w:pStyle w:val="12"/>
              <w:snapToGrid w:val="0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</w:rPr>
              <w:t>本单位承诺申报内容真实有效。</w:t>
            </w:r>
          </w:p>
          <w:p>
            <w:pPr>
              <w:pStyle w:val="12"/>
              <w:snapToGrid w:val="0"/>
              <w:rPr>
                <w:rFonts w:ascii="Times New Roman" w:hAnsi="Times New Roman"/>
                <w:color w:val="auto"/>
                <w:sz w:val="21"/>
              </w:rPr>
            </w:pPr>
          </w:p>
          <w:p>
            <w:pPr>
              <w:pStyle w:val="12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</w:rPr>
              <w:t xml:space="preserve">                  法定代表人（签字）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>：</w:t>
            </w:r>
            <w:r>
              <w:rPr>
                <w:rFonts w:ascii="Times New Roman" w:hAnsi="Times New Roman" w:eastAsia="仿宋_GB2312"/>
                <w:color w:val="auto"/>
                <w:sz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sz w:val="21"/>
              </w:rPr>
              <w:t xml:space="preserve">   （盖章）</w:t>
            </w:r>
          </w:p>
          <w:p>
            <w:pPr>
              <w:pStyle w:val="12"/>
              <w:snapToGrid w:val="0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</w:rPr>
              <w:t xml:space="preserve">                                            年   月   日</w:t>
            </w:r>
          </w:p>
        </w:tc>
      </w:tr>
    </w:tbl>
    <w:p>
      <w:pPr>
        <w:spacing w:line="460" w:lineRule="exact"/>
        <w:ind w:left="420" w:leftChars="200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5" w:type="default"/>
      <w:pgSz w:w="11906" w:h="16838"/>
      <w:pgMar w:top="1417" w:right="1361" w:bottom="1417" w:left="1361" w:header="851" w:footer="992" w:gutter="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roman"/>
    <w:pitch w:val="default"/>
    <w:sig w:usb0="00000287" w:usb1="00000000" w:usb2="00000000" w:usb3="00000000" w:csb0="2000009F" w:csb1="DFD7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modern"/>
    <w:pitch w:val="default"/>
    <w:sig w:usb0="00000287" w:usb1="00000000" w:usb2="00000000" w:usb3="00000000" w:csb0="2000009F" w:csb1="DFD7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modern"/>
    <w:pitch w:val="default"/>
    <w:sig w:usb0="040006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Shruti">
    <w:panose1 w:val="02000500000000000000"/>
    <w:charset w:val="00"/>
    <w:family w:val="modern"/>
    <w:pitch w:val="default"/>
    <w:sig w:usb0="00040000" w:usb1="00000000" w:usb2="00000000" w:usb3="00000000" w:csb0="0000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swiss"/>
    <w:pitch w:val="default"/>
    <w:sig w:usb0="04000687" w:usb1="00000000" w:usb2="00000000" w:usb3="00000000" w:csb0="2000009F" w:csb1="00000000"/>
  </w:font>
  <w:font w:name="Shruti">
    <w:panose1 w:val="02000500000000000000"/>
    <w:charset w:val="00"/>
    <w:family w:val="swiss"/>
    <w:pitch w:val="default"/>
    <w:sig w:usb0="00040000" w:usb1="00000000" w:usb2="00000000" w:usb3="00000000" w:csb0="0000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decorative"/>
    <w:pitch w:val="default"/>
    <w:sig w:usb0="04000687" w:usb1="00000000" w:usb2="00000000" w:usb3="00000000" w:csb0="2000009F" w:csb1="00000000"/>
  </w:font>
  <w:font w:name="Shruti">
    <w:panose1 w:val="02000500000000000000"/>
    <w:charset w:val="00"/>
    <w:family w:val="decorative"/>
    <w:pitch w:val="default"/>
    <w:sig w:usb0="00040000" w:usb1="00000000" w:usb2="00000000" w:usb3="00000000" w:csb0="0000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Shruti">
    <w:panose1 w:val="02000500000000000000"/>
    <w:charset w:val="00"/>
    <w:family w:val="roman"/>
    <w:pitch w:val="default"/>
    <w:sig w:usb0="0004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楷体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LNJWO7QAAAABQEAAA8AAAAAAAAA&#10;AQAgAAAAIgAAAGRycy9kb3ducmV2LnhtbFBLAQIUABQAAAAIAIdO4kAJOjfIxAIAANYFAAAOAAAA&#10;AAAAAAEAIAAAAB8BAABkcnMvZTJvRG9jLnhtbFBLBQYAAAAABgAGAFkBAABV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  <w:lang w:val="zh-CN" w:eastAsia="zh-CN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LNJWO7QAAAABQEAAA8AAAAAAAAA&#10;AQAgAAAAIgAAAGRycy9kb3ducmV2LnhtbFBLAQIUABQAAAAIAIdO4kBr6tZRxAIAANYFAAAOAAAA&#10;AAAAAAEAIAAAAB8BAABkcnMvZTJvRG9jLnhtbFBLBQYAAAAABgAGAFkBAABV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  <w:lang w:val="zh-CN" w:eastAsia="zh-CN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52213931">
    <w:nsid w:val="1AF43CAB"/>
    <w:multiLevelType w:val="singleLevel"/>
    <w:tmpl w:val="1AF43CAB"/>
    <w:lvl w:ilvl="0" w:tentative="1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01598347">
    <w:nsid w:val="5980928B"/>
    <w:multiLevelType w:val="singleLevel"/>
    <w:tmpl w:val="5980928B"/>
    <w:lvl w:ilvl="0" w:tentative="1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501599566">
    <w:nsid w:val="5980974E"/>
    <w:multiLevelType w:val="singleLevel"/>
    <w:tmpl w:val="5980974E"/>
    <w:lvl w:ilvl="0" w:tentative="1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01515486">
    <w:nsid w:val="597F4EDE"/>
    <w:multiLevelType w:val="singleLevel"/>
    <w:tmpl w:val="597F4EDE"/>
    <w:lvl w:ilvl="0" w:tentative="1">
      <w:start w:val="1"/>
      <w:numFmt w:val="decimal"/>
      <w:suff w:val="nothing"/>
      <w:lvlText w:val="%1."/>
      <w:lvlJc w:val="left"/>
    </w:lvl>
  </w:abstractNum>
  <w:abstractNum w:abstractNumId="10">
    <w:nsid w:val="0000000A"/>
    <w:multiLevelType w:val="singleLevel"/>
    <w:tmpl w:val="0000000A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0"/>
  </w:num>
  <w:num w:numId="2">
    <w:abstractNumId w:val="1501598347"/>
  </w:num>
  <w:num w:numId="3">
    <w:abstractNumId w:val="1501599566"/>
  </w:num>
  <w:num w:numId="4">
    <w:abstractNumId w:val="452213931"/>
  </w:num>
  <w:num w:numId="5">
    <w:abstractNumId w:val="15015154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trackedChanges" w:enforcement="0"/>
  <w:defaultTabStop w:val="420"/>
  <w:hyphenationZone w:val="360"/>
  <w:drawingGridVerticalSpacing w:val="164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4A8"/>
    <w:rsid w:val="00025109"/>
    <w:rsid w:val="00032641"/>
    <w:rsid w:val="00035FB1"/>
    <w:rsid w:val="00044E95"/>
    <w:rsid w:val="00050BF3"/>
    <w:rsid w:val="00064209"/>
    <w:rsid w:val="00074711"/>
    <w:rsid w:val="000A59A4"/>
    <w:rsid w:val="000E2917"/>
    <w:rsid w:val="000E6BF6"/>
    <w:rsid w:val="00100956"/>
    <w:rsid w:val="00113720"/>
    <w:rsid w:val="00127279"/>
    <w:rsid w:val="00133CBD"/>
    <w:rsid w:val="001534D9"/>
    <w:rsid w:val="001552AE"/>
    <w:rsid w:val="001901CF"/>
    <w:rsid w:val="001B4BD6"/>
    <w:rsid w:val="001C4A56"/>
    <w:rsid w:val="001E69E0"/>
    <w:rsid w:val="001F27CC"/>
    <w:rsid w:val="0021775E"/>
    <w:rsid w:val="0022665E"/>
    <w:rsid w:val="00247DB8"/>
    <w:rsid w:val="002547B5"/>
    <w:rsid w:val="0026087F"/>
    <w:rsid w:val="00262147"/>
    <w:rsid w:val="00272E62"/>
    <w:rsid w:val="00273C44"/>
    <w:rsid w:val="00273E1B"/>
    <w:rsid w:val="002850F1"/>
    <w:rsid w:val="002D136F"/>
    <w:rsid w:val="002D1CEA"/>
    <w:rsid w:val="002D64CB"/>
    <w:rsid w:val="002F0E1F"/>
    <w:rsid w:val="00314832"/>
    <w:rsid w:val="00341340"/>
    <w:rsid w:val="003559D8"/>
    <w:rsid w:val="00362520"/>
    <w:rsid w:val="00362D54"/>
    <w:rsid w:val="003A391C"/>
    <w:rsid w:val="003A47FB"/>
    <w:rsid w:val="003B3792"/>
    <w:rsid w:val="003C2582"/>
    <w:rsid w:val="003E6B42"/>
    <w:rsid w:val="004122F4"/>
    <w:rsid w:val="0041490E"/>
    <w:rsid w:val="0041769C"/>
    <w:rsid w:val="00423EE7"/>
    <w:rsid w:val="0045395E"/>
    <w:rsid w:val="004732B7"/>
    <w:rsid w:val="00482423"/>
    <w:rsid w:val="004A1C02"/>
    <w:rsid w:val="004C084F"/>
    <w:rsid w:val="004C73A5"/>
    <w:rsid w:val="004D4776"/>
    <w:rsid w:val="004E48D9"/>
    <w:rsid w:val="004F6EF4"/>
    <w:rsid w:val="00504B55"/>
    <w:rsid w:val="00504FCB"/>
    <w:rsid w:val="00512160"/>
    <w:rsid w:val="0052245E"/>
    <w:rsid w:val="00522B8F"/>
    <w:rsid w:val="00524D96"/>
    <w:rsid w:val="00526724"/>
    <w:rsid w:val="0053342B"/>
    <w:rsid w:val="00537567"/>
    <w:rsid w:val="005467F8"/>
    <w:rsid w:val="00551FC9"/>
    <w:rsid w:val="00582612"/>
    <w:rsid w:val="00583BEC"/>
    <w:rsid w:val="00585E14"/>
    <w:rsid w:val="0059229B"/>
    <w:rsid w:val="005B4972"/>
    <w:rsid w:val="005C78D8"/>
    <w:rsid w:val="005D7600"/>
    <w:rsid w:val="006151D7"/>
    <w:rsid w:val="00620FC9"/>
    <w:rsid w:val="0067315E"/>
    <w:rsid w:val="0067736D"/>
    <w:rsid w:val="006E2A2F"/>
    <w:rsid w:val="006F08D0"/>
    <w:rsid w:val="006F3059"/>
    <w:rsid w:val="006F60E5"/>
    <w:rsid w:val="00702D62"/>
    <w:rsid w:val="00731CD7"/>
    <w:rsid w:val="00733471"/>
    <w:rsid w:val="00753827"/>
    <w:rsid w:val="0076187B"/>
    <w:rsid w:val="00765B87"/>
    <w:rsid w:val="0079188A"/>
    <w:rsid w:val="00792564"/>
    <w:rsid w:val="007950D4"/>
    <w:rsid w:val="00796150"/>
    <w:rsid w:val="007C725F"/>
    <w:rsid w:val="007E3F52"/>
    <w:rsid w:val="00801EF5"/>
    <w:rsid w:val="00802B37"/>
    <w:rsid w:val="008306C7"/>
    <w:rsid w:val="00847A67"/>
    <w:rsid w:val="0085585F"/>
    <w:rsid w:val="00873C74"/>
    <w:rsid w:val="00886281"/>
    <w:rsid w:val="008B4FDB"/>
    <w:rsid w:val="008F4F74"/>
    <w:rsid w:val="00955655"/>
    <w:rsid w:val="009750FF"/>
    <w:rsid w:val="009D244A"/>
    <w:rsid w:val="009E1EE2"/>
    <w:rsid w:val="00A40793"/>
    <w:rsid w:val="00A55C0A"/>
    <w:rsid w:val="00A66958"/>
    <w:rsid w:val="00A732BA"/>
    <w:rsid w:val="00A81A55"/>
    <w:rsid w:val="00A82376"/>
    <w:rsid w:val="00A94C5A"/>
    <w:rsid w:val="00AA351A"/>
    <w:rsid w:val="00B57B36"/>
    <w:rsid w:val="00BA2AD1"/>
    <w:rsid w:val="00BC3668"/>
    <w:rsid w:val="00BE6D2F"/>
    <w:rsid w:val="00C0145B"/>
    <w:rsid w:val="00C070AA"/>
    <w:rsid w:val="00C26CB5"/>
    <w:rsid w:val="00C43A03"/>
    <w:rsid w:val="00C75792"/>
    <w:rsid w:val="00C76147"/>
    <w:rsid w:val="00CA5CA0"/>
    <w:rsid w:val="00CA65BF"/>
    <w:rsid w:val="00CA6884"/>
    <w:rsid w:val="00CB3D0C"/>
    <w:rsid w:val="00CC5BBA"/>
    <w:rsid w:val="00D307E5"/>
    <w:rsid w:val="00D319ED"/>
    <w:rsid w:val="00D52918"/>
    <w:rsid w:val="00D71758"/>
    <w:rsid w:val="00D816B7"/>
    <w:rsid w:val="00DB0617"/>
    <w:rsid w:val="00DE0B2C"/>
    <w:rsid w:val="00DF4F45"/>
    <w:rsid w:val="00E30FD9"/>
    <w:rsid w:val="00E41663"/>
    <w:rsid w:val="00E52467"/>
    <w:rsid w:val="00EB2E16"/>
    <w:rsid w:val="00EC23C5"/>
    <w:rsid w:val="00ED190E"/>
    <w:rsid w:val="00ED5AE3"/>
    <w:rsid w:val="00ED6DAA"/>
    <w:rsid w:val="00EE3F8D"/>
    <w:rsid w:val="00F00F40"/>
    <w:rsid w:val="00F07E3E"/>
    <w:rsid w:val="00F30615"/>
    <w:rsid w:val="00F5103D"/>
    <w:rsid w:val="00F76EC3"/>
    <w:rsid w:val="00F86E66"/>
    <w:rsid w:val="00FA4307"/>
    <w:rsid w:val="00FA44CB"/>
    <w:rsid w:val="00FA586D"/>
    <w:rsid w:val="00FB19E1"/>
    <w:rsid w:val="00FC379E"/>
    <w:rsid w:val="00FC53A1"/>
    <w:rsid w:val="00FE6E64"/>
    <w:rsid w:val="010121B4"/>
    <w:rsid w:val="014C132E"/>
    <w:rsid w:val="015064FA"/>
    <w:rsid w:val="02063FE0"/>
    <w:rsid w:val="026929FF"/>
    <w:rsid w:val="032B053F"/>
    <w:rsid w:val="03564C06"/>
    <w:rsid w:val="0361681B"/>
    <w:rsid w:val="0379612C"/>
    <w:rsid w:val="03D07BCF"/>
    <w:rsid w:val="03EC6E29"/>
    <w:rsid w:val="04743480"/>
    <w:rsid w:val="04846952"/>
    <w:rsid w:val="049C2D1F"/>
    <w:rsid w:val="04AD7E25"/>
    <w:rsid w:val="04B270C1"/>
    <w:rsid w:val="04C32BDF"/>
    <w:rsid w:val="04EA7426"/>
    <w:rsid w:val="05806815"/>
    <w:rsid w:val="058A4BA6"/>
    <w:rsid w:val="05965E3C"/>
    <w:rsid w:val="05C15818"/>
    <w:rsid w:val="05EB6B95"/>
    <w:rsid w:val="06A67C21"/>
    <w:rsid w:val="0709089A"/>
    <w:rsid w:val="07485E01"/>
    <w:rsid w:val="075E1997"/>
    <w:rsid w:val="075F590D"/>
    <w:rsid w:val="07B11FAD"/>
    <w:rsid w:val="07E53700"/>
    <w:rsid w:val="08055F53"/>
    <w:rsid w:val="086C26E0"/>
    <w:rsid w:val="087D2EC1"/>
    <w:rsid w:val="08FA104A"/>
    <w:rsid w:val="099D0853"/>
    <w:rsid w:val="0A2F7140"/>
    <w:rsid w:val="0A414C66"/>
    <w:rsid w:val="0A470CEC"/>
    <w:rsid w:val="0A476A44"/>
    <w:rsid w:val="0ABA568F"/>
    <w:rsid w:val="0B380B43"/>
    <w:rsid w:val="0B39050A"/>
    <w:rsid w:val="0B4A17EA"/>
    <w:rsid w:val="0B724FCA"/>
    <w:rsid w:val="0C3D5924"/>
    <w:rsid w:val="0CA04344"/>
    <w:rsid w:val="0CEB55C3"/>
    <w:rsid w:val="0D0F50D2"/>
    <w:rsid w:val="0D177805"/>
    <w:rsid w:val="0D631E83"/>
    <w:rsid w:val="0D6B5995"/>
    <w:rsid w:val="0DB51C8D"/>
    <w:rsid w:val="0E495C94"/>
    <w:rsid w:val="0F5A4EC3"/>
    <w:rsid w:val="10655CF3"/>
    <w:rsid w:val="10811DA0"/>
    <w:rsid w:val="11146D91"/>
    <w:rsid w:val="11723444"/>
    <w:rsid w:val="11D70154"/>
    <w:rsid w:val="11F62C07"/>
    <w:rsid w:val="120C3155"/>
    <w:rsid w:val="121C6FC0"/>
    <w:rsid w:val="1222607D"/>
    <w:rsid w:val="12711FAC"/>
    <w:rsid w:val="128072E8"/>
    <w:rsid w:val="129C0241"/>
    <w:rsid w:val="12B02035"/>
    <w:rsid w:val="12B620EE"/>
    <w:rsid w:val="12BC3045"/>
    <w:rsid w:val="12D83B22"/>
    <w:rsid w:val="12F066A2"/>
    <w:rsid w:val="14BD6892"/>
    <w:rsid w:val="14BE2452"/>
    <w:rsid w:val="150F669C"/>
    <w:rsid w:val="15D43E5C"/>
    <w:rsid w:val="15DC09C2"/>
    <w:rsid w:val="162E2DC7"/>
    <w:rsid w:val="163D7BDE"/>
    <w:rsid w:val="16F83FBE"/>
    <w:rsid w:val="17065C2D"/>
    <w:rsid w:val="172C5712"/>
    <w:rsid w:val="17527AB4"/>
    <w:rsid w:val="17A42783"/>
    <w:rsid w:val="17D96B2F"/>
    <w:rsid w:val="18126C7A"/>
    <w:rsid w:val="183304C3"/>
    <w:rsid w:val="184665F3"/>
    <w:rsid w:val="186A300B"/>
    <w:rsid w:val="18A93985"/>
    <w:rsid w:val="18AA2CBF"/>
    <w:rsid w:val="18BC5A90"/>
    <w:rsid w:val="18F61B8D"/>
    <w:rsid w:val="199003FF"/>
    <w:rsid w:val="19A37420"/>
    <w:rsid w:val="19CA019A"/>
    <w:rsid w:val="19D55493"/>
    <w:rsid w:val="1A1B2562"/>
    <w:rsid w:val="1A491DAC"/>
    <w:rsid w:val="1A736F59"/>
    <w:rsid w:val="1AA354A0"/>
    <w:rsid w:val="1AC9039E"/>
    <w:rsid w:val="1B142779"/>
    <w:rsid w:val="1B2A271F"/>
    <w:rsid w:val="1B6C0836"/>
    <w:rsid w:val="1BB81089"/>
    <w:rsid w:val="1BBF7DBD"/>
    <w:rsid w:val="1BEF11E3"/>
    <w:rsid w:val="1C197E29"/>
    <w:rsid w:val="1C29379F"/>
    <w:rsid w:val="1C387CCD"/>
    <w:rsid w:val="1C4508ED"/>
    <w:rsid w:val="1C860B15"/>
    <w:rsid w:val="1CA6768D"/>
    <w:rsid w:val="1CB96E84"/>
    <w:rsid w:val="1CF91663"/>
    <w:rsid w:val="1D3C0E85"/>
    <w:rsid w:val="1D3E4388"/>
    <w:rsid w:val="1D6229EC"/>
    <w:rsid w:val="1D804DF1"/>
    <w:rsid w:val="1D954D97"/>
    <w:rsid w:val="1DAA7367"/>
    <w:rsid w:val="1E422931"/>
    <w:rsid w:val="1E6C3269"/>
    <w:rsid w:val="1E8F4FAF"/>
    <w:rsid w:val="1EB63906"/>
    <w:rsid w:val="1EE802F9"/>
    <w:rsid w:val="1F073974"/>
    <w:rsid w:val="1F1E2EEA"/>
    <w:rsid w:val="1F523DF3"/>
    <w:rsid w:val="1F5C488F"/>
    <w:rsid w:val="1FD430C8"/>
    <w:rsid w:val="2074194C"/>
    <w:rsid w:val="208244E5"/>
    <w:rsid w:val="20AE2044"/>
    <w:rsid w:val="20CE32DF"/>
    <w:rsid w:val="20F364CC"/>
    <w:rsid w:val="21253A8B"/>
    <w:rsid w:val="21430D20"/>
    <w:rsid w:val="215B0CC1"/>
    <w:rsid w:val="21DB7AB1"/>
    <w:rsid w:val="220457E0"/>
    <w:rsid w:val="220F598B"/>
    <w:rsid w:val="22135B75"/>
    <w:rsid w:val="22AF37F5"/>
    <w:rsid w:val="22C9621E"/>
    <w:rsid w:val="230F137F"/>
    <w:rsid w:val="23443CE8"/>
    <w:rsid w:val="239E0EFF"/>
    <w:rsid w:val="23E634F2"/>
    <w:rsid w:val="240750AB"/>
    <w:rsid w:val="24267B5E"/>
    <w:rsid w:val="245B5A29"/>
    <w:rsid w:val="24683E4B"/>
    <w:rsid w:val="25193532"/>
    <w:rsid w:val="252C2F32"/>
    <w:rsid w:val="26097CF4"/>
    <w:rsid w:val="263B66D9"/>
    <w:rsid w:val="269221D6"/>
    <w:rsid w:val="26AF439D"/>
    <w:rsid w:val="26C46F2B"/>
    <w:rsid w:val="26F95079"/>
    <w:rsid w:val="275E3E37"/>
    <w:rsid w:val="27615D27"/>
    <w:rsid w:val="277203C0"/>
    <w:rsid w:val="27827792"/>
    <w:rsid w:val="27C2034A"/>
    <w:rsid w:val="282E547B"/>
    <w:rsid w:val="28BE739A"/>
    <w:rsid w:val="28E23068"/>
    <w:rsid w:val="28E95BAE"/>
    <w:rsid w:val="2949391E"/>
    <w:rsid w:val="295E35EE"/>
    <w:rsid w:val="29B5077A"/>
    <w:rsid w:val="29B53FFD"/>
    <w:rsid w:val="29B73B64"/>
    <w:rsid w:val="29CA071F"/>
    <w:rsid w:val="2AD93650"/>
    <w:rsid w:val="2B1B3C78"/>
    <w:rsid w:val="2B412ABD"/>
    <w:rsid w:val="2B971F94"/>
    <w:rsid w:val="2B9D609C"/>
    <w:rsid w:val="2C1A3467"/>
    <w:rsid w:val="2D254C1E"/>
    <w:rsid w:val="2DB64F3B"/>
    <w:rsid w:val="2DBE3E92"/>
    <w:rsid w:val="2DE20B27"/>
    <w:rsid w:val="2DE7275E"/>
    <w:rsid w:val="2E1E4E36"/>
    <w:rsid w:val="2E2831C7"/>
    <w:rsid w:val="2E8A57EA"/>
    <w:rsid w:val="2EA81517"/>
    <w:rsid w:val="2EAB7F1D"/>
    <w:rsid w:val="2ECB6253"/>
    <w:rsid w:val="2F4E2FA9"/>
    <w:rsid w:val="2FD77F1A"/>
    <w:rsid w:val="30D63385"/>
    <w:rsid w:val="30EF4FC4"/>
    <w:rsid w:val="3130160D"/>
    <w:rsid w:val="315F620C"/>
    <w:rsid w:val="319C6CC0"/>
    <w:rsid w:val="31AD3D8D"/>
    <w:rsid w:val="31CF1D43"/>
    <w:rsid w:val="32506E1A"/>
    <w:rsid w:val="326D1252"/>
    <w:rsid w:val="329A2711"/>
    <w:rsid w:val="32A77828"/>
    <w:rsid w:val="32CC41E5"/>
    <w:rsid w:val="32DB0F7C"/>
    <w:rsid w:val="32E62B90"/>
    <w:rsid w:val="32E72F1D"/>
    <w:rsid w:val="33471C40"/>
    <w:rsid w:val="33964F33"/>
    <w:rsid w:val="339A00B5"/>
    <w:rsid w:val="33E23D2D"/>
    <w:rsid w:val="34010FAF"/>
    <w:rsid w:val="340E0074"/>
    <w:rsid w:val="3439473C"/>
    <w:rsid w:val="346E1259"/>
    <w:rsid w:val="34894D07"/>
    <w:rsid w:val="349F7963"/>
    <w:rsid w:val="34F3588E"/>
    <w:rsid w:val="3507028C"/>
    <w:rsid w:val="357B6134"/>
    <w:rsid w:val="35A5112D"/>
    <w:rsid w:val="36612E47"/>
    <w:rsid w:val="368058A1"/>
    <w:rsid w:val="368D718F"/>
    <w:rsid w:val="36A02664"/>
    <w:rsid w:val="36C450EA"/>
    <w:rsid w:val="37265BF2"/>
    <w:rsid w:val="374A7542"/>
    <w:rsid w:val="37930C3B"/>
    <w:rsid w:val="37C83693"/>
    <w:rsid w:val="380A7980"/>
    <w:rsid w:val="38C3221A"/>
    <w:rsid w:val="39312C65"/>
    <w:rsid w:val="395D15F8"/>
    <w:rsid w:val="399D0AD7"/>
    <w:rsid w:val="39D236E8"/>
    <w:rsid w:val="3A1E5D66"/>
    <w:rsid w:val="3A7F50F5"/>
    <w:rsid w:val="3AA64522"/>
    <w:rsid w:val="3B9968D7"/>
    <w:rsid w:val="3BBD1F8F"/>
    <w:rsid w:val="3BD00FAF"/>
    <w:rsid w:val="3C8059F6"/>
    <w:rsid w:val="3C9C283F"/>
    <w:rsid w:val="3CA56827"/>
    <w:rsid w:val="3CB37024"/>
    <w:rsid w:val="3CDF116D"/>
    <w:rsid w:val="3D125C3D"/>
    <w:rsid w:val="3D201BD6"/>
    <w:rsid w:val="3D407F0C"/>
    <w:rsid w:val="3DE63431"/>
    <w:rsid w:val="3E1A786F"/>
    <w:rsid w:val="3EC76A8F"/>
    <w:rsid w:val="3F756C1D"/>
    <w:rsid w:val="3F7F2A16"/>
    <w:rsid w:val="3F985AE2"/>
    <w:rsid w:val="3FBB6842"/>
    <w:rsid w:val="3FED46EE"/>
    <w:rsid w:val="3FF25B50"/>
    <w:rsid w:val="40042C13"/>
    <w:rsid w:val="402908DD"/>
    <w:rsid w:val="403F4FF6"/>
    <w:rsid w:val="408F607A"/>
    <w:rsid w:val="413E4F19"/>
    <w:rsid w:val="414B33D0"/>
    <w:rsid w:val="41CA6CFC"/>
    <w:rsid w:val="42165B70"/>
    <w:rsid w:val="423676B0"/>
    <w:rsid w:val="426A27D7"/>
    <w:rsid w:val="428D00BE"/>
    <w:rsid w:val="431A0C6C"/>
    <w:rsid w:val="43C76B41"/>
    <w:rsid w:val="443A2A10"/>
    <w:rsid w:val="44C37CDE"/>
    <w:rsid w:val="44D84400"/>
    <w:rsid w:val="450B5ED4"/>
    <w:rsid w:val="45441531"/>
    <w:rsid w:val="45C66607"/>
    <w:rsid w:val="461E2519"/>
    <w:rsid w:val="464F2CE8"/>
    <w:rsid w:val="46AB31D7"/>
    <w:rsid w:val="46BF20A2"/>
    <w:rsid w:val="474C0C12"/>
    <w:rsid w:val="487D32FD"/>
    <w:rsid w:val="48F12A52"/>
    <w:rsid w:val="4A7B5341"/>
    <w:rsid w:val="4A964400"/>
    <w:rsid w:val="4ADE3D60"/>
    <w:rsid w:val="4B812670"/>
    <w:rsid w:val="4BB61845"/>
    <w:rsid w:val="4C0975B5"/>
    <w:rsid w:val="4C3020F9"/>
    <w:rsid w:val="4D06246C"/>
    <w:rsid w:val="4D262E99"/>
    <w:rsid w:val="4D784ECF"/>
    <w:rsid w:val="4D940DD6"/>
    <w:rsid w:val="4DAA7E2E"/>
    <w:rsid w:val="4DF542F3"/>
    <w:rsid w:val="4DF57B76"/>
    <w:rsid w:val="4DFF8C59"/>
    <w:rsid w:val="4E634927"/>
    <w:rsid w:val="4F7C2E75"/>
    <w:rsid w:val="4F874A89"/>
    <w:rsid w:val="50294293"/>
    <w:rsid w:val="50465DC1"/>
    <w:rsid w:val="50AB1369"/>
    <w:rsid w:val="50BE2588"/>
    <w:rsid w:val="50C14255"/>
    <w:rsid w:val="50D756B0"/>
    <w:rsid w:val="5106297C"/>
    <w:rsid w:val="510E7CCF"/>
    <w:rsid w:val="514B0DD5"/>
    <w:rsid w:val="51517578"/>
    <w:rsid w:val="51770CCB"/>
    <w:rsid w:val="52073823"/>
    <w:rsid w:val="5249428D"/>
    <w:rsid w:val="52F61E27"/>
    <w:rsid w:val="535534C5"/>
    <w:rsid w:val="537D4F67"/>
    <w:rsid w:val="53AC1956"/>
    <w:rsid w:val="53CE218A"/>
    <w:rsid w:val="53F058C2"/>
    <w:rsid w:val="543C7F40"/>
    <w:rsid w:val="5495093F"/>
    <w:rsid w:val="549A277B"/>
    <w:rsid w:val="54DB64C4"/>
    <w:rsid w:val="55145A25"/>
    <w:rsid w:val="551556A5"/>
    <w:rsid w:val="55401D6C"/>
    <w:rsid w:val="55951476"/>
    <w:rsid w:val="55B6522E"/>
    <w:rsid w:val="5604752C"/>
    <w:rsid w:val="561505C4"/>
    <w:rsid w:val="57327F9E"/>
    <w:rsid w:val="577C3895"/>
    <w:rsid w:val="579E2363"/>
    <w:rsid w:val="57E71AF9"/>
    <w:rsid w:val="57F731DF"/>
    <w:rsid w:val="584E3BED"/>
    <w:rsid w:val="584F38FE"/>
    <w:rsid w:val="58501AF8"/>
    <w:rsid w:val="589368E0"/>
    <w:rsid w:val="58F133F6"/>
    <w:rsid w:val="58F16C7A"/>
    <w:rsid w:val="591A6434"/>
    <w:rsid w:val="592616D2"/>
    <w:rsid w:val="59303784"/>
    <w:rsid w:val="59874F42"/>
    <w:rsid w:val="5A40498B"/>
    <w:rsid w:val="5AA26640"/>
    <w:rsid w:val="5AD90D18"/>
    <w:rsid w:val="5AEE70CD"/>
    <w:rsid w:val="5AF63606"/>
    <w:rsid w:val="5B03747B"/>
    <w:rsid w:val="5B147A98"/>
    <w:rsid w:val="5B9104C7"/>
    <w:rsid w:val="5BA7266B"/>
    <w:rsid w:val="5BCE032C"/>
    <w:rsid w:val="5C056287"/>
    <w:rsid w:val="5C391303"/>
    <w:rsid w:val="5C5F7C1B"/>
    <w:rsid w:val="5D0900B4"/>
    <w:rsid w:val="5D1D4986"/>
    <w:rsid w:val="5D212457"/>
    <w:rsid w:val="5D6B2979"/>
    <w:rsid w:val="5DFD2B3F"/>
    <w:rsid w:val="5E566712"/>
    <w:rsid w:val="5E885FA6"/>
    <w:rsid w:val="5ED63F07"/>
    <w:rsid w:val="5F4D6FE9"/>
    <w:rsid w:val="5FBE05A1"/>
    <w:rsid w:val="5FC8439F"/>
    <w:rsid w:val="5FE79A87"/>
    <w:rsid w:val="5FFA0406"/>
    <w:rsid w:val="5FFA2561"/>
    <w:rsid w:val="60104B28"/>
    <w:rsid w:val="607600AC"/>
    <w:rsid w:val="608F2E78"/>
    <w:rsid w:val="611E4CE6"/>
    <w:rsid w:val="61521A9B"/>
    <w:rsid w:val="62395E08"/>
    <w:rsid w:val="62441245"/>
    <w:rsid w:val="625649E2"/>
    <w:rsid w:val="626207F5"/>
    <w:rsid w:val="6279458A"/>
    <w:rsid w:val="62C303C6"/>
    <w:rsid w:val="62C75F9B"/>
    <w:rsid w:val="62E47AC9"/>
    <w:rsid w:val="631D1A9E"/>
    <w:rsid w:val="63632697"/>
    <w:rsid w:val="63D4675D"/>
    <w:rsid w:val="640766E0"/>
    <w:rsid w:val="64613B3E"/>
    <w:rsid w:val="649B787D"/>
    <w:rsid w:val="64D811FE"/>
    <w:rsid w:val="64F03067"/>
    <w:rsid w:val="64FE1F12"/>
    <w:rsid w:val="650877CF"/>
    <w:rsid w:val="65691C60"/>
    <w:rsid w:val="657213FC"/>
    <w:rsid w:val="66444FD8"/>
    <w:rsid w:val="668200F8"/>
    <w:rsid w:val="66A27570"/>
    <w:rsid w:val="67242611"/>
    <w:rsid w:val="67BA4306"/>
    <w:rsid w:val="67CA53C1"/>
    <w:rsid w:val="67F3572F"/>
    <w:rsid w:val="682A60F2"/>
    <w:rsid w:val="684A4429"/>
    <w:rsid w:val="68A72D08"/>
    <w:rsid w:val="68D61CF4"/>
    <w:rsid w:val="68EC3C32"/>
    <w:rsid w:val="68F13558"/>
    <w:rsid w:val="69EB69FB"/>
    <w:rsid w:val="6A0431B2"/>
    <w:rsid w:val="6A6FCAD9"/>
    <w:rsid w:val="6AAA0710"/>
    <w:rsid w:val="6AB33C11"/>
    <w:rsid w:val="6BBC40A7"/>
    <w:rsid w:val="6BE9361A"/>
    <w:rsid w:val="6BF36128"/>
    <w:rsid w:val="6C0E4FDF"/>
    <w:rsid w:val="6C1033C1"/>
    <w:rsid w:val="6C460131"/>
    <w:rsid w:val="6C5F32E0"/>
    <w:rsid w:val="6CA47EC7"/>
    <w:rsid w:val="6CBD6E76"/>
    <w:rsid w:val="6CDE15A9"/>
    <w:rsid w:val="6D3867BF"/>
    <w:rsid w:val="6D4E6AC7"/>
    <w:rsid w:val="6DDC72CD"/>
    <w:rsid w:val="6DF90DFC"/>
    <w:rsid w:val="6E713F3E"/>
    <w:rsid w:val="6E9047F2"/>
    <w:rsid w:val="6EB267BC"/>
    <w:rsid w:val="6EF23592"/>
    <w:rsid w:val="6EFD04AC"/>
    <w:rsid w:val="6F1D062A"/>
    <w:rsid w:val="6F532332"/>
    <w:rsid w:val="6F94661F"/>
    <w:rsid w:val="6FAB29C1"/>
    <w:rsid w:val="6FE078CD"/>
    <w:rsid w:val="702D5518"/>
    <w:rsid w:val="703716AB"/>
    <w:rsid w:val="70C714FF"/>
    <w:rsid w:val="71147139"/>
    <w:rsid w:val="72001D46"/>
    <w:rsid w:val="7251380D"/>
    <w:rsid w:val="72652BB9"/>
    <w:rsid w:val="7266063B"/>
    <w:rsid w:val="726C5DC7"/>
    <w:rsid w:val="72C16391"/>
    <w:rsid w:val="7379A13A"/>
    <w:rsid w:val="73F35B49"/>
    <w:rsid w:val="74427F4C"/>
    <w:rsid w:val="74BF0B98"/>
    <w:rsid w:val="750C2E98"/>
    <w:rsid w:val="755C3F1C"/>
    <w:rsid w:val="75A44310"/>
    <w:rsid w:val="75D4341F"/>
    <w:rsid w:val="75F0310B"/>
    <w:rsid w:val="766C2CF7"/>
    <w:rsid w:val="767D4F50"/>
    <w:rsid w:val="7721127E"/>
    <w:rsid w:val="7732281D"/>
    <w:rsid w:val="77A26354"/>
    <w:rsid w:val="7852624C"/>
    <w:rsid w:val="78CE71FA"/>
    <w:rsid w:val="79294ED6"/>
    <w:rsid w:val="792A522E"/>
    <w:rsid w:val="792B03DA"/>
    <w:rsid w:val="796075AF"/>
    <w:rsid w:val="79820DE8"/>
    <w:rsid w:val="79C11BD2"/>
    <w:rsid w:val="79C1634F"/>
    <w:rsid w:val="7A03263B"/>
    <w:rsid w:val="7A6C7BF1"/>
    <w:rsid w:val="7A795AFD"/>
    <w:rsid w:val="7C0A434D"/>
    <w:rsid w:val="7C63309F"/>
    <w:rsid w:val="7CD66238"/>
    <w:rsid w:val="7D2128BA"/>
    <w:rsid w:val="7D8D3BBE"/>
    <w:rsid w:val="7DD78119"/>
    <w:rsid w:val="7DD86484"/>
    <w:rsid w:val="7DEF60A9"/>
    <w:rsid w:val="7DF30332"/>
    <w:rsid w:val="7E5725D5"/>
    <w:rsid w:val="7E9633BF"/>
    <w:rsid w:val="7EED6BC1"/>
    <w:rsid w:val="7F194892"/>
    <w:rsid w:val="7F224A84"/>
    <w:rsid w:val="7F766255"/>
    <w:rsid w:val="7F769ED9"/>
    <w:rsid w:val="7F787928"/>
    <w:rsid w:val="7FAE0608"/>
    <w:rsid w:val="7FBE3468"/>
    <w:rsid w:val="7FF01827"/>
    <w:rsid w:val="9E23A5AC"/>
    <w:rsid w:val="AFD3B32C"/>
    <w:rsid w:val="AFEF5FC4"/>
    <w:rsid w:val="B7FC1E88"/>
    <w:rsid w:val="BD52CCA5"/>
    <w:rsid w:val="BDE5558A"/>
    <w:rsid w:val="D9E71D7B"/>
    <w:rsid w:val="DBB7D1FF"/>
    <w:rsid w:val="DDE324CC"/>
    <w:rsid w:val="E7B4CB6A"/>
    <w:rsid w:val="EE5E10E3"/>
    <w:rsid w:val="EEF7CE66"/>
    <w:rsid w:val="F2E7ACE2"/>
    <w:rsid w:val="FB993BF6"/>
    <w:rsid w:val="FBEF2BE3"/>
    <w:rsid w:val="FD6E5B48"/>
    <w:rsid w:val="FE5B5013"/>
    <w:rsid w:val="FEFF1422"/>
    <w:rsid w:val="FEFFF220"/>
    <w:rsid w:val="FFCF94A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iPriority="99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Balloon Text"/>
    <w:basedOn w:val="1"/>
    <w:link w:val="19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rFonts w:cs="Times New Roman"/>
      <w:color w:val="0000FF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table" w:styleId="11">
    <w:name w:val="Colorful Shading Accent 1"/>
    <w:unhideWhenUsed/>
    <w:uiPriority w:val="99"/>
    <w:rPr>
      <w:kern w:val="2"/>
      <w:sz w:val="21"/>
      <w:lang w:val="en-US" w:eastAsia="zh-CN" w:bidi="ar-SA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  <w:tblLayout w:type="fixed"/>
    </w:tblPr>
    <w:tcPr>
      <w:shd w:val="clear" w:color="auto" w:fill="EDF2F8"/>
      <w:textDirection w:val="lrTb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  <w:textDirection w:val="lrTb"/>
      </w:tcPr>
    </w:tblStylePr>
    <w:tblStylePr w:type="lastRow">
      <w:rPr>
        <w:b/>
        <w:bCs/>
        <w:color w:val="FFFFFF"/>
      </w:rPr>
      <w:tblPr>
        <w:tblLayout w:type="fixed"/>
      </w:tbl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  <w:textDirection w:val="lrTb"/>
      </w:tcPr>
    </w:tblStylePr>
    <w:tblStylePr w:type="firstCol">
      <w:rPr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C4C74"/>
        <w:textDirection w:val="lrTb"/>
      </w:tcPr>
    </w:tblStylePr>
    <w:tblStylePr w:type="lastCol">
      <w:rPr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  <w:textDirection w:val="lrTb"/>
      </w:tcPr>
    </w:tblStylePr>
    <w:tblStylePr w:type="band1Vert">
      <w:tblPr>
        <w:tblLayout w:type="fixed"/>
      </w:tblPr>
      <w:tcPr>
        <w:shd w:val="clear" w:color="auto" w:fill="B8CCE4"/>
        <w:textDirection w:val="lrTb"/>
      </w:tcPr>
    </w:tblStylePr>
    <w:tblStylePr w:type="band1Horz">
      <w:tblPr>
        <w:tblLayout w:type="fixed"/>
      </w:tblPr>
      <w:tcPr>
        <w:shd w:val="clear" w:color="auto" w:fill="A7BFDE"/>
        <w:textDirection w:val="lrTb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12">
    <w:name w:val="表格"/>
    <w:basedOn w:val="1"/>
    <w:qFormat/>
    <w:uiPriority w:val="0"/>
    <w:pPr>
      <w:widowControl/>
    </w:pPr>
    <w:rPr>
      <w:rFonts w:ascii="宋体" w:hAnsi="宋体" w:eastAsia="等线"/>
      <w:color w:val="000000"/>
      <w:kern w:val="0"/>
      <w:sz w:val="18"/>
      <w:szCs w:val="22"/>
    </w:rPr>
  </w:style>
  <w:style w:type="paragraph" w:customStyle="1" w:styleId="13">
    <w:name w:val="Title1"/>
    <w:qFormat/>
    <w:uiPriority w:val="0"/>
    <w:pPr>
      <w:jc w:val="center"/>
    </w:pPr>
    <w:rPr>
      <w:rFonts w:ascii="Calibri" w:hAnsi="Calibri" w:eastAsia="黑体" w:cs="Times New Roman"/>
      <w:kern w:val="2"/>
      <w:sz w:val="44"/>
      <w:szCs w:val="22"/>
      <w:lang w:val="en-US" w:eastAsia="zh-CN" w:bidi="ar-SA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普通(网站)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text"/>
    <w:basedOn w:val="1"/>
    <w:qFormat/>
    <w:uiPriority w:val="0"/>
    <w:pPr>
      <w:spacing w:line="360" w:lineRule="auto"/>
      <w:ind w:firstLine="420"/>
    </w:pPr>
    <w:rPr>
      <w:rFonts w:ascii="Times New Roman" w:hAnsi="Times New Roman" w:eastAsia="仿宋_GB2312"/>
      <w:sz w:val="24"/>
      <w:szCs w:val="20"/>
    </w:rPr>
  </w:style>
  <w:style w:type="paragraph" w:customStyle="1" w:styleId="1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1 Char"/>
    <w:basedOn w:val="1"/>
    <w:qFormat/>
    <w:uiPriority w:val="0"/>
  </w:style>
  <w:style w:type="character" w:customStyle="1" w:styleId="19">
    <w:name w:val="批注框文本 Char"/>
    <w:link w:val="3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449</Words>
  <Characters>2563</Characters>
  <Lines>21</Lines>
  <Paragraphs>6</Paragraphs>
  <ScaleCrop>false</ScaleCrop>
  <LinksUpToDate>false</LinksUpToDate>
  <CharactersWithSpaces>3006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2017-08-04T01:56:00Z</dcterms:created>
  <dc:creator>LXY</dc:creator>
  <cp:lastModifiedBy>冉亮</cp:lastModifiedBy>
  <cp:lastPrinted>2017-05-25T14:41:00Z</cp:lastPrinted>
  <dcterms:modified xsi:type="dcterms:W3CDTF">2017-08-24T14:01:01Z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