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eastAsia="仿宋_GB2312"/>
          <w:sz w:val="32"/>
          <w:szCs w:val="32"/>
        </w:rPr>
      </w:pPr>
      <w:r>
        <w:rPr>
          <w:rFonts w:eastAsia="仿宋_GB2312"/>
          <w:sz w:val="32"/>
          <w:szCs w:val="32"/>
        </w:rPr>
        <w:t>附件2</w:t>
      </w:r>
    </w:p>
    <w:p>
      <w:pPr>
        <w:rPr>
          <w:rFonts w:eastAsia="仿宋"/>
          <w:sz w:val="32"/>
          <w:szCs w:val="32"/>
        </w:rPr>
      </w:pPr>
    </w:p>
    <w:p>
      <w:pPr>
        <w:jc w:val="center"/>
        <w:rPr>
          <w:rFonts w:eastAsia="黑体"/>
          <w:sz w:val="36"/>
          <w:szCs w:val="36"/>
        </w:rPr>
      </w:pPr>
      <w:bookmarkStart w:id="0" w:name="_Hlk488955194"/>
      <w:r>
        <w:rPr>
          <w:rFonts w:eastAsia="黑体"/>
          <w:sz w:val="36"/>
          <w:szCs w:val="36"/>
        </w:rPr>
        <w:t>超大型构件先进成形、焊接及加工制造工艺</w:t>
      </w:r>
    </w:p>
    <w:p>
      <w:pPr>
        <w:jc w:val="center"/>
        <w:rPr>
          <w:rFonts w:eastAsia="黑体"/>
          <w:sz w:val="36"/>
          <w:szCs w:val="36"/>
        </w:rPr>
      </w:pPr>
      <w:r>
        <w:rPr>
          <w:rFonts w:hint="eastAsia" w:eastAsia="黑体"/>
          <w:sz w:val="36"/>
          <w:szCs w:val="36"/>
          <w:lang w:eastAsia="zh-CN"/>
        </w:rPr>
        <w:t>“一条龙”</w:t>
      </w:r>
      <w:r>
        <w:rPr>
          <w:rFonts w:eastAsia="黑体"/>
          <w:sz w:val="36"/>
          <w:szCs w:val="36"/>
        </w:rPr>
        <w:t>应用计划</w:t>
      </w:r>
      <w:bookmarkEnd w:id="0"/>
      <w:r>
        <w:rPr>
          <w:rFonts w:eastAsia="黑体"/>
          <w:sz w:val="36"/>
          <w:szCs w:val="36"/>
        </w:rPr>
        <w:t>申报要求</w:t>
      </w:r>
    </w:p>
    <w:p>
      <w:pPr>
        <w:jc w:val="center"/>
        <w:rPr>
          <w:rFonts w:eastAsia="黑体"/>
          <w:sz w:val="36"/>
          <w:szCs w:val="36"/>
        </w:rPr>
      </w:pPr>
    </w:p>
    <w:p>
      <w:pPr>
        <w:widowControl/>
        <w:numPr>
          <w:ilvl w:val="0"/>
          <w:numId w:val="1"/>
        </w:numPr>
        <w:autoSpaceDE w:val="0"/>
        <w:autoSpaceDN w:val="0"/>
        <w:spacing w:beforeLines="0" w:afterLines="0" w:line="560" w:lineRule="exact"/>
        <w:ind w:firstLine="640" w:firstLineChars="200"/>
        <w:jc w:val="left"/>
        <w:outlineLvl w:val="0"/>
        <w:rPr>
          <w:rFonts w:eastAsia="黑体"/>
          <w:bCs/>
          <w:kern w:val="0"/>
          <w:sz w:val="32"/>
          <w:szCs w:val="32"/>
        </w:rPr>
      </w:pPr>
      <w:r>
        <w:rPr>
          <w:rFonts w:eastAsia="黑体"/>
          <w:bCs/>
          <w:kern w:val="0"/>
          <w:sz w:val="32"/>
          <w:szCs w:val="32"/>
        </w:rPr>
        <w:t>产业链构成</w:t>
      </w:r>
    </w:p>
    <w:p>
      <w:pPr>
        <w:widowControl/>
        <w:autoSpaceDE w:val="0"/>
        <w:autoSpaceDN w:val="0"/>
        <w:adjustRightInd w:val="0"/>
        <w:spacing w:beforeLines="0" w:afterLines="0" w:line="560" w:lineRule="exact"/>
        <w:ind w:firstLine="640" w:firstLineChars="200"/>
        <w:rPr>
          <w:rFonts w:eastAsia="仿宋_GB2312"/>
          <w:sz w:val="32"/>
          <w:szCs w:val="32"/>
        </w:rPr>
      </w:pPr>
      <w:r>
        <w:rPr>
          <w:rFonts w:eastAsia="仿宋_GB2312"/>
          <w:sz w:val="32"/>
          <w:szCs w:val="32"/>
        </w:rPr>
        <w:t>联合核电超大型转子重点产品锻件供应商、核电成套供货商、核电示范工程建设单位、标准制定单位，形成上下游产业对接的核电机组（CAP1400、华龙一号等）的超大型转子整体锻件、分段焊接转子</w:t>
      </w:r>
      <w:r>
        <w:rPr>
          <w:rFonts w:hint="eastAsia" w:eastAsia="仿宋_GB2312"/>
          <w:sz w:val="32"/>
          <w:szCs w:val="32"/>
        </w:rPr>
        <w:t>锻件</w:t>
      </w:r>
      <w:r>
        <w:rPr>
          <w:rFonts w:hint="eastAsia" w:eastAsia="仿宋_GB2312"/>
          <w:sz w:val="32"/>
          <w:szCs w:val="32"/>
          <w:lang w:eastAsia="zh-CN"/>
        </w:rPr>
        <w:t>“一条龙”</w:t>
      </w:r>
      <w:r>
        <w:rPr>
          <w:rFonts w:eastAsia="仿宋_GB2312"/>
          <w:sz w:val="32"/>
          <w:szCs w:val="32"/>
        </w:rPr>
        <w:t>应用链条，促进核电机组整机（系统）和超大型转子锻件制造基础技术互动发展，建立上中下游互融共生、分工合作、利益共享的一体化组织新模式，形成稳定的制造能力，满足我国高端装备制造领域的发展需求，</w:t>
      </w:r>
      <w:r>
        <w:rPr>
          <w:rFonts w:hint="eastAsia" w:eastAsia="仿宋_GB2312"/>
          <w:sz w:val="32"/>
          <w:szCs w:val="32"/>
        </w:rPr>
        <w:t>打破行业瓶颈，</w:t>
      </w:r>
      <w:r>
        <w:rPr>
          <w:rFonts w:eastAsia="仿宋_GB2312"/>
          <w:sz w:val="32"/>
          <w:szCs w:val="32"/>
        </w:rPr>
        <w:t>带动核电装备制造行业整体水平提升。</w:t>
      </w:r>
    </w:p>
    <w:p>
      <w:pPr>
        <w:widowControl/>
        <w:autoSpaceDE w:val="0"/>
        <w:autoSpaceDN w:val="0"/>
        <w:adjustRightInd w:val="0"/>
        <w:spacing w:beforeLines="0" w:afterLines="0" w:line="560" w:lineRule="exact"/>
        <w:jc w:val="center"/>
        <w:rPr>
          <w:rFonts w:eastAsia="仿宋_GB2312"/>
          <w:sz w:val="32"/>
          <w:szCs w:val="32"/>
        </w:rPr>
      </w:pPr>
      <w:r>
        <w:rPr>
          <w:rFonts w:hint="eastAsia" w:ascii="黑体" w:hAnsi="黑体" w:eastAsia="黑体" w:cs="黑体"/>
          <w:sz w:val="28"/>
          <w:szCs w:val="28"/>
        </w:rPr>
        <w:t>关键产业链条环节</w:t>
      </w:r>
    </w:p>
    <w:tbl>
      <w:tblPr>
        <w:tblStyle w:val="9"/>
        <w:tblW w:w="8817" w:type="dxa"/>
        <w:jc w:val="center"/>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542"/>
        <w:gridCol w:w="2385"/>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黑体"/>
                <w:sz w:val="24"/>
                <w:szCs w:val="24"/>
              </w:rPr>
            </w:pPr>
            <w:r>
              <w:rPr>
                <w:rFonts w:eastAsia="黑体"/>
                <w:sz w:val="24"/>
                <w:szCs w:val="24"/>
              </w:rPr>
              <w:t>序号</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黑体"/>
                <w:sz w:val="24"/>
                <w:szCs w:val="24"/>
              </w:rPr>
            </w:pPr>
            <w:r>
              <w:rPr>
                <w:rFonts w:eastAsia="黑体"/>
                <w:sz w:val="24"/>
                <w:szCs w:val="24"/>
              </w:rPr>
              <w:t>产业链环节</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黑体"/>
                <w:sz w:val="24"/>
                <w:szCs w:val="24"/>
              </w:rPr>
            </w:pPr>
            <w:r>
              <w:rPr>
                <w:rFonts w:hint="eastAsia" w:eastAsia="黑体"/>
                <w:sz w:val="24"/>
                <w:szCs w:val="24"/>
              </w:rPr>
              <w:t>超大型转子整体锻件</w:t>
            </w: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黑体"/>
                <w:sz w:val="24"/>
                <w:szCs w:val="24"/>
              </w:rPr>
            </w:pPr>
            <w:r>
              <w:rPr>
                <w:rFonts w:hint="eastAsia" w:eastAsia="黑体"/>
                <w:sz w:val="24"/>
                <w:szCs w:val="24"/>
              </w:rPr>
              <w:t>分段焊接转子锻件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1</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大型锻坯冶炼浇铸工艺</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2</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大型锻件精密锻造工艺</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3</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大型铸锻件热处理工艺</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4</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焊接转子焊接工艺及应力</w:t>
            </w:r>
            <w:r>
              <w:rPr>
                <w:rFonts w:hint="eastAsia" w:eastAsia="仿宋_GB2312"/>
                <w:sz w:val="24"/>
                <w:szCs w:val="24"/>
              </w:rPr>
              <w:t>与变形</w:t>
            </w:r>
            <w:r>
              <w:rPr>
                <w:rFonts w:eastAsia="仿宋_GB2312"/>
                <w:sz w:val="24"/>
                <w:szCs w:val="24"/>
              </w:rPr>
              <w:t>控制工艺</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b/>
                <w:sz w:val="24"/>
                <w:szCs w:val="24"/>
              </w:rPr>
            </w:pP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5</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焊后热处理工艺</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b/>
                <w:sz w:val="24"/>
                <w:szCs w:val="24"/>
              </w:rPr>
            </w:pP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6</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无损检测工艺</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b/>
                <w:sz w:val="24"/>
                <w:szCs w:val="24"/>
              </w:rPr>
            </w:pP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7</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关键工序加工技术</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b/>
                <w:sz w:val="24"/>
                <w:szCs w:val="24"/>
              </w:rPr>
            </w:pPr>
            <w:r>
              <w:rPr>
                <w:rFonts w:eastAsia="华文仿宋"/>
                <w:sz w:val="24"/>
                <w:szCs w:val="24"/>
              </w:rPr>
              <w:t>●</w:t>
            </w: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8</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超大型转子、分段焊接转子性能评价体系</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b/>
                <w:sz w:val="24"/>
                <w:szCs w:val="24"/>
              </w:rPr>
            </w:pPr>
            <w:r>
              <w:rPr>
                <w:rFonts w:eastAsia="华文仿宋"/>
                <w:sz w:val="24"/>
                <w:szCs w:val="24"/>
              </w:rPr>
              <w:t>●</w:t>
            </w: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9</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超大型转子、分段焊接转子标准体系</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b/>
                <w:sz w:val="24"/>
                <w:szCs w:val="24"/>
              </w:rPr>
            </w:pPr>
            <w:r>
              <w:rPr>
                <w:rFonts w:eastAsia="华文仿宋"/>
                <w:sz w:val="24"/>
                <w:szCs w:val="24"/>
              </w:rPr>
              <w:t>●</w:t>
            </w: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69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10</w:t>
            </w:r>
          </w:p>
        </w:tc>
        <w:tc>
          <w:tcPr>
            <w:tcW w:w="3542"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textAlignment w:val="auto"/>
              <w:outlineLvl w:val="9"/>
              <w:rPr>
                <w:rFonts w:eastAsia="华文仿宋"/>
                <w:sz w:val="24"/>
                <w:szCs w:val="24"/>
              </w:rPr>
            </w:pPr>
            <w:r>
              <w:rPr>
                <w:rFonts w:eastAsia="仿宋_GB2312"/>
                <w:sz w:val="24"/>
                <w:szCs w:val="24"/>
              </w:rPr>
              <w:t>试验检测技术、评估方法及设备</w:t>
            </w:r>
          </w:p>
        </w:tc>
        <w:tc>
          <w:tcPr>
            <w:tcW w:w="2385"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c>
          <w:tcPr>
            <w:tcW w:w="219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eastAsia="华文仿宋"/>
                <w:sz w:val="24"/>
                <w:szCs w:val="24"/>
              </w:rPr>
            </w:pPr>
            <w:r>
              <w:rPr>
                <w:rFonts w:eastAsia="华文仿宋"/>
                <w:sz w:val="24"/>
                <w:szCs w:val="24"/>
              </w:rPr>
              <w:t>●</w:t>
            </w:r>
          </w:p>
        </w:tc>
      </w:tr>
    </w:tbl>
    <w:p>
      <w:pPr>
        <w:widowControl/>
        <w:numPr>
          <w:ilvl w:val="0"/>
          <w:numId w:val="1"/>
        </w:numPr>
        <w:autoSpaceDE w:val="0"/>
        <w:autoSpaceDN w:val="0"/>
        <w:spacing w:beforeLines="0" w:afterLines="0" w:line="560" w:lineRule="exact"/>
        <w:ind w:firstLine="643" w:firstLineChars="200"/>
        <w:jc w:val="left"/>
        <w:outlineLvl w:val="0"/>
        <w:rPr>
          <w:rFonts w:eastAsia="黑体"/>
          <w:bCs/>
          <w:kern w:val="0"/>
          <w:sz w:val="32"/>
          <w:szCs w:val="32"/>
        </w:rPr>
      </w:pPr>
      <w:r>
        <w:rPr>
          <w:rFonts w:eastAsia="黑体"/>
          <w:b/>
          <w:sz w:val="32"/>
          <w:szCs w:val="32"/>
        </w:rPr>
        <w:t>目标和任务</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大型锻坯冶炼浇铸工艺环节</w:t>
      </w:r>
    </w:p>
    <w:p>
      <w:pPr>
        <w:widowControl/>
        <w:autoSpaceDE w:val="0"/>
        <w:autoSpaceDN w:val="0"/>
        <w:adjustRightInd w:val="0"/>
        <w:spacing w:beforeLines="0" w:afterLines="0" w:line="560" w:lineRule="exact"/>
        <w:ind w:firstLine="600" w:firstLineChars="200"/>
        <w:rPr>
          <w:rFonts w:eastAsia="仿宋_GB2312"/>
          <w:sz w:val="32"/>
          <w:szCs w:val="32"/>
        </w:rPr>
      </w:pPr>
      <w:r>
        <w:rPr>
          <w:rFonts w:eastAsia="仿宋"/>
          <w:sz w:val="30"/>
          <w:szCs w:val="30"/>
        </w:rPr>
        <w:t>（1）</w:t>
      </w:r>
      <w:r>
        <w:rPr>
          <w:rFonts w:eastAsia="楷体"/>
          <w:b/>
          <w:bCs/>
          <w:sz w:val="30"/>
          <w:szCs w:val="30"/>
        </w:rPr>
        <w:t>环节描述及任务</w:t>
      </w:r>
      <w:r>
        <w:rPr>
          <w:rFonts w:eastAsia="仿宋"/>
          <w:b/>
          <w:bCs/>
          <w:sz w:val="30"/>
          <w:szCs w:val="30"/>
        </w:rPr>
        <w:t>。</w:t>
      </w:r>
      <w:r>
        <w:rPr>
          <w:rFonts w:eastAsia="仿宋_GB2312"/>
          <w:sz w:val="32"/>
          <w:szCs w:val="32"/>
        </w:rPr>
        <w:t>超大钢锭的锭型优化技术，超纯净钢冶炼、超大吨位多包合浇，钢锭凝固及偏析控制技术。掌握超大型钢锭铸造缺陷分布规律和控制等技术，达到国际先进水平。满足用户制造标准要求，探伤水平达到国际先进水平。</w:t>
      </w:r>
    </w:p>
    <w:p>
      <w:pPr>
        <w:widowControl/>
        <w:autoSpaceDE w:val="0"/>
        <w:autoSpaceDN w:val="0"/>
        <w:adjustRightInd w:val="0"/>
        <w:spacing w:beforeLines="0" w:afterLines="0" w:line="560" w:lineRule="exact"/>
        <w:ind w:firstLine="600" w:firstLineChars="200"/>
        <w:rPr>
          <w:rFonts w:eastAsia="仿宋_GB2312"/>
          <w:sz w:val="32"/>
          <w:szCs w:val="32"/>
        </w:rPr>
      </w:pPr>
      <w:r>
        <w:rPr>
          <w:rFonts w:eastAsia="仿宋"/>
          <w:sz w:val="30"/>
          <w:szCs w:val="30"/>
        </w:rPr>
        <w:t>（2）</w:t>
      </w:r>
      <w:r>
        <w:rPr>
          <w:rFonts w:eastAsia="楷体"/>
          <w:b/>
          <w:bCs/>
          <w:sz w:val="30"/>
          <w:szCs w:val="30"/>
        </w:rPr>
        <w:t>具体目标。</w:t>
      </w:r>
      <w:r>
        <w:rPr>
          <w:rFonts w:eastAsia="仿宋_GB2312"/>
          <w:sz w:val="32"/>
          <w:szCs w:val="32"/>
        </w:rPr>
        <w:t>具备批量生产超纯净低压转子钢锭、核电发电机半速转子用500t～700t级巨型钢锭的能力</w:t>
      </w:r>
      <w:r>
        <w:rPr>
          <w:rFonts w:hint="eastAsia" w:eastAsia="仿宋_GB2312"/>
          <w:sz w:val="32"/>
          <w:szCs w:val="32"/>
        </w:rPr>
        <w:t>，冶金质量达到世界先进水平。</w:t>
      </w:r>
      <w:r>
        <w:rPr>
          <w:rFonts w:eastAsia="仿宋_GB2312"/>
          <w:sz w:val="32"/>
          <w:szCs w:val="32"/>
        </w:rPr>
        <w:t>核电、火电等锻件实现化学成分的精确控制，锻件中有害元素控制达到P≤0.00</w:t>
      </w:r>
      <w:r>
        <w:rPr>
          <w:rFonts w:hint="eastAsia" w:eastAsia="仿宋_GB2312"/>
          <w:sz w:val="32"/>
          <w:szCs w:val="32"/>
        </w:rPr>
        <w:t>8</w:t>
      </w:r>
      <w:r>
        <w:rPr>
          <w:rFonts w:eastAsia="仿宋_GB2312"/>
          <w:sz w:val="32"/>
          <w:szCs w:val="32"/>
        </w:rPr>
        <w:t>%、S≤0.00</w:t>
      </w:r>
      <w:r>
        <w:rPr>
          <w:rFonts w:hint="eastAsia" w:eastAsia="仿宋_GB2312"/>
          <w:sz w:val="32"/>
          <w:szCs w:val="32"/>
        </w:rPr>
        <w:t>5</w:t>
      </w:r>
      <w:r>
        <w:rPr>
          <w:rFonts w:eastAsia="仿宋_GB2312"/>
          <w:sz w:val="32"/>
          <w:szCs w:val="32"/>
        </w:rPr>
        <w:t>%、O≤</w:t>
      </w:r>
      <w:r>
        <w:rPr>
          <w:rFonts w:hint="eastAsia" w:eastAsia="仿宋_GB2312"/>
          <w:sz w:val="32"/>
          <w:szCs w:val="32"/>
        </w:rPr>
        <w:t>25</w:t>
      </w:r>
      <w:r>
        <w:rPr>
          <w:rFonts w:eastAsia="仿宋_GB2312"/>
          <w:sz w:val="32"/>
          <w:szCs w:val="32"/>
        </w:rPr>
        <w:t>ppm的水平。</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大型锻件精密锻造工艺环节</w:t>
      </w:r>
    </w:p>
    <w:p>
      <w:pPr>
        <w:widowControl/>
        <w:numPr>
          <w:ilvl w:val="0"/>
          <w:numId w:val="3"/>
        </w:numPr>
        <w:autoSpaceDE w:val="0"/>
        <w:autoSpaceDN w:val="0"/>
        <w:adjustRightInd w:val="0"/>
        <w:spacing w:beforeLines="0" w:afterLines="0" w:line="560" w:lineRule="exact"/>
        <w:ind w:firstLine="630"/>
        <w:rPr>
          <w:rFonts w:eastAsia="仿宋_GB2312"/>
          <w:sz w:val="32"/>
          <w:szCs w:val="32"/>
        </w:rPr>
      </w:pPr>
      <w:r>
        <w:rPr>
          <w:rFonts w:eastAsia="楷体"/>
          <w:b/>
          <w:bCs/>
          <w:sz w:val="30"/>
          <w:szCs w:val="30"/>
        </w:rPr>
        <w:t>环节描述及任务</w:t>
      </w:r>
      <w:r>
        <w:rPr>
          <w:rFonts w:eastAsia="仿宋"/>
          <w:b/>
          <w:bCs/>
          <w:sz w:val="30"/>
          <w:szCs w:val="30"/>
        </w:rPr>
        <w:t>。</w:t>
      </w:r>
      <w:r>
        <w:rPr>
          <w:rFonts w:hint="eastAsia" w:eastAsia="仿宋_GB2312"/>
          <w:sz w:val="32"/>
          <w:szCs w:val="32"/>
        </w:rPr>
        <w:t>掌握</w:t>
      </w:r>
      <w:r>
        <w:rPr>
          <w:rFonts w:eastAsia="仿宋_GB2312"/>
          <w:sz w:val="32"/>
          <w:szCs w:val="32"/>
        </w:rPr>
        <w:t>超大型截面锻件高效锻透压实技术及多火次锻造工艺特性，结合冶炼铸锭技术制订合理的水冒口切除参数。掌握超大型截面锻件压合内部疏松类缺陷、改善原始组织、减轻和分散偏析、细化晶粒、控制组织性能的工艺方法，达到国际先进水平。满足用户制造标准要求，探伤水平达到国际先进水平。</w:t>
      </w:r>
    </w:p>
    <w:p>
      <w:pPr>
        <w:widowControl/>
        <w:numPr>
          <w:ilvl w:val="0"/>
          <w:numId w:val="3"/>
        </w:numPr>
        <w:autoSpaceDE w:val="0"/>
        <w:autoSpaceDN w:val="0"/>
        <w:adjustRightInd w:val="0"/>
        <w:spacing w:beforeLines="0" w:afterLines="0" w:line="560" w:lineRule="exact"/>
        <w:ind w:firstLine="630"/>
        <w:rPr>
          <w:rFonts w:eastAsia="仿宋_GB2312"/>
          <w:sz w:val="32"/>
          <w:szCs w:val="32"/>
        </w:rPr>
      </w:pPr>
      <w:r>
        <w:rPr>
          <w:rFonts w:eastAsia="楷体"/>
          <w:b/>
          <w:bCs/>
          <w:sz w:val="30"/>
          <w:szCs w:val="30"/>
        </w:rPr>
        <w:t>具体目标。</w:t>
      </w:r>
      <w:r>
        <w:rPr>
          <w:rFonts w:hint="eastAsia" w:eastAsia="仿宋_GB2312"/>
          <w:sz w:val="32"/>
          <w:szCs w:val="32"/>
        </w:rPr>
        <w:t>具备300t/</w:t>
      </w:r>
      <w:r>
        <w:rPr>
          <w:rFonts w:eastAsia="仿宋_GB2312"/>
          <w:sz w:val="32"/>
          <w:szCs w:val="32"/>
        </w:rPr>
        <w:t>750TM</w:t>
      </w:r>
      <w:r>
        <w:rPr>
          <w:rFonts w:hint="eastAsia" w:eastAsia="仿宋_GB2312"/>
          <w:sz w:val="32"/>
          <w:szCs w:val="32"/>
        </w:rPr>
        <w:t>锻造操作机生产能力，实现对超大型转子整体锻件产品制造全过程的关键技术突破、质量控制和效率提升，最终缩短工程化周期（整体转子锻件15%、分段焊接转子3</w:t>
      </w:r>
      <w:r>
        <w:rPr>
          <w:rFonts w:eastAsia="仿宋_GB2312"/>
          <w:sz w:val="32"/>
          <w:szCs w:val="32"/>
        </w:rPr>
        <w:t>0%</w:t>
      </w:r>
      <w:r>
        <w:rPr>
          <w:rFonts w:hint="eastAsia" w:eastAsia="仿宋_GB2312"/>
          <w:sz w:val="32"/>
          <w:szCs w:val="32"/>
        </w:rPr>
        <w:t>），降低成本2</w:t>
      </w:r>
      <w:r>
        <w:rPr>
          <w:rFonts w:eastAsia="仿宋_GB2312"/>
          <w:sz w:val="32"/>
          <w:szCs w:val="32"/>
        </w:rPr>
        <w:t>0%</w:t>
      </w:r>
      <w:r>
        <w:rPr>
          <w:rFonts w:hint="eastAsia" w:eastAsia="仿宋_GB2312"/>
          <w:sz w:val="32"/>
          <w:szCs w:val="32"/>
        </w:rPr>
        <w:t>。</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大型铸锻件热处理工艺环节</w:t>
      </w:r>
    </w:p>
    <w:p>
      <w:pPr>
        <w:widowControl/>
        <w:autoSpaceDE w:val="0"/>
        <w:autoSpaceDN w:val="0"/>
        <w:adjustRightInd w:val="0"/>
        <w:spacing w:beforeLines="0" w:afterLines="0" w:line="560" w:lineRule="exact"/>
        <w:ind w:firstLine="600" w:firstLineChars="200"/>
        <w:rPr>
          <w:rFonts w:eastAsia="仿宋_GB2312"/>
          <w:sz w:val="32"/>
          <w:szCs w:val="32"/>
        </w:rPr>
      </w:pPr>
      <w:r>
        <w:rPr>
          <w:rFonts w:eastAsia="仿宋"/>
          <w:sz w:val="30"/>
          <w:szCs w:val="30"/>
        </w:rPr>
        <w:t>（1）</w:t>
      </w:r>
      <w:r>
        <w:rPr>
          <w:rFonts w:eastAsia="楷体"/>
          <w:b/>
          <w:bCs/>
          <w:sz w:val="30"/>
          <w:szCs w:val="30"/>
        </w:rPr>
        <w:t>环节描述及任务。</w:t>
      </w:r>
      <w:r>
        <w:rPr>
          <w:rFonts w:eastAsia="仿宋_GB2312"/>
          <w:sz w:val="32"/>
          <w:szCs w:val="32"/>
        </w:rPr>
        <w:t>超大型转子整体锻件热处理过程中组织演化规律、细化晶粒和分区热处理与性能控制技术。解决超大型转子整体锻件细化晶粒难题和不同区段不同温度差温控制分区热处理难题，保证锻件各部位力学性能和组织，达到国际先进水平。满足用户制造标准要求，性能指标达到国际先进水平。</w:t>
      </w:r>
    </w:p>
    <w:p>
      <w:pPr>
        <w:widowControl/>
        <w:autoSpaceDE w:val="0"/>
        <w:autoSpaceDN w:val="0"/>
        <w:adjustRightInd w:val="0"/>
        <w:spacing w:beforeLines="0" w:afterLines="0" w:line="560" w:lineRule="exact"/>
        <w:ind w:firstLine="600" w:firstLineChars="200"/>
        <w:rPr>
          <w:rFonts w:eastAsia="仿宋_GB2312"/>
          <w:sz w:val="32"/>
          <w:szCs w:val="32"/>
        </w:rPr>
      </w:pPr>
      <w:r>
        <w:rPr>
          <w:rFonts w:eastAsia="仿宋"/>
          <w:sz w:val="30"/>
          <w:szCs w:val="30"/>
        </w:rPr>
        <w:t>（2）</w:t>
      </w:r>
      <w:r>
        <w:rPr>
          <w:rFonts w:eastAsia="楷体"/>
          <w:b/>
          <w:bCs/>
          <w:sz w:val="30"/>
          <w:szCs w:val="30"/>
        </w:rPr>
        <w:t>具体目标。</w:t>
      </w:r>
      <w:r>
        <w:rPr>
          <w:rFonts w:hint="eastAsia" w:eastAsia="仿宋_GB2312"/>
          <w:sz w:val="32"/>
          <w:szCs w:val="32"/>
        </w:rPr>
        <w:t>具备大截面锻件深冷淬火和分区控温热处理工艺技术、水-空淬火热处理工艺技术能力。具备350t级特大型轴类锻件和100t级以上特大型饼类锻件的热处理能力。</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焊接转子焊接工艺及应力与变形控制工艺环节</w:t>
      </w:r>
    </w:p>
    <w:p>
      <w:pPr>
        <w:widowControl/>
        <w:numPr>
          <w:ilvl w:val="0"/>
          <w:numId w:val="4"/>
        </w:numPr>
        <w:autoSpaceDE w:val="0"/>
        <w:autoSpaceDN w:val="0"/>
        <w:adjustRightInd w:val="0"/>
        <w:spacing w:beforeLines="0" w:afterLines="0" w:line="560" w:lineRule="exact"/>
        <w:ind w:firstLine="602" w:firstLineChars="200"/>
        <w:rPr>
          <w:rFonts w:eastAsia="仿宋_GB2312"/>
          <w:sz w:val="32"/>
          <w:szCs w:val="32"/>
        </w:rPr>
      </w:pPr>
      <w:r>
        <w:rPr>
          <w:rFonts w:eastAsia="楷体"/>
          <w:b/>
          <w:bCs/>
          <w:sz w:val="30"/>
          <w:szCs w:val="30"/>
        </w:rPr>
        <w:t>环节描述及任务。</w:t>
      </w:r>
      <w:r>
        <w:rPr>
          <w:rFonts w:eastAsia="仿宋_GB2312"/>
          <w:sz w:val="32"/>
          <w:szCs w:val="32"/>
        </w:rPr>
        <w:t>转子焊接采用大厚壁、深坡口，窄间隙氩弧焊及埋弧焊，</w:t>
      </w:r>
      <w:r>
        <w:rPr>
          <w:rFonts w:hint="eastAsia" w:eastAsia="仿宋_GB2312"/>
          <w:sz w:val="32"/>
          <w:szCs w:val="32"/>
        </w:rPr>
        <w:t>打底焊、</w:t>
      </w:r>
      <w:r>
        <w:rPr>
          <w:rFonts w:eastAsia="仿宋_GB2312"/>
          <w:sz w:val="32"/>
          <w:szCs w:val="32"/>
        </w:rPr>
        <w:t>单面焊双面成型的焊接技术工艺。</w:t>
      </w:r>
    </w:p>
    <w:p>
      <w:pPr>
        <w:widowControl/>
        <w:numPr>
          <w:ilvl w:val="0"/>
          <w:numId w:val="4"/>
        </w:numPr>
        <w:autoSpaceDE w:val="0"/>
        <w:autoSpaceDN w:val="0"/>
        <w:adjustRightInd w:val="0"/>
        <w:spacing w:beforeLines="0" w:afterLines="0" w:line="560" w:lineRule="exact"/>
        <w:ind w:firstLine="602" w:firstLineChars="200"/>
        <w:rPr>
          <w:rFonts w:eastAsia="仿宋_GB2312"/>
          <w:sz w:val="32"/>
          <w:szCs w:val="32"/>
        </w:rPr>
      </w:pPr>
      <w:r>
        <w:rPr>
          <w:rFonts w:eastAsia="楷体"/>
          <w:b/>
          <w:bCs/>
          <w:sz w:val="30"/>
          <w:szCs w:val="30"/>
        </w:rPr>
        <w:t>具体目标。</w:t>
      </w:r>
      <w:r>
        <w:rPr>
          <w:rFonts w:hint="eastAsia" w:eastAsia="仿宋_GB2312"/>
          <w:sz w:val="32"/>
          <w:szCs w:val="32"/>
        </w:rPr>
        <w:t>开发国产焊接装备，实现高中压焊接转子性能指标，抗拉强度Rm：800~950MPa；屈服强度Rp</w:t>
      </w:r>
      <w:r>
        <w:rPr>
          <w:rFonts w:hint="eastAsia" w:eastAsia="仿宋_GB2312"/>
          <w:sz w:val="32"/>
          <w:szCs w:val="32"/>
          <w:vertAlign w:val="subscript"/>
        </w:rPr>
        <w:t>0.2</w:t>
      </w:r>
      <w:r>
        <w:rPr>
          <w:rFonts w:hint="eastAsia" w:eastAsia="仿宋_GB2312"/>
          <w:sz w:val="32"/>
          <w:szCs w:val="32"/>
        </w:rPr>
        <w:t>≥680MPa；断面收缩率≥56%。实现低</w:t>
      </w:r>
      <w:r>
        <w:rPr>
          <w:rFonts w:eastAsia="仿宋_GB2312"/>
          <w:sz w:val="32"/>
          <w:szCs w:val="32"/>
        </w:rPr>
        <w:t>压焊接转子性能指标</w:t>
      </w:r>
      <w:r>
        <w:rPr>
          <w:rFonts w:hint="eastAsia" w:eastAsia="仿宋_GB2312"/>
          <w:sz w:val="32"/>
          <w:szCs w:val="32"/>
        </w:rPr>
        <w:t>，抗拉强度Rm≥735MPa；屈服强度Rp</w:t>
      </w:r>
      <w:r>
        <w:rPr>
          <w:rFonts w:hint="eastAsia" w:eastAsia="仿宋_GB2312"/>
          <w:sz w:val="32"/>
          <w:szCs w:val="32"/>
          <w:vertAlign w:val="subscript"/>
        </w:rPr>
        <w:t>0.2</w:t>
      </w:r>
      <w:r>
        <w:rPr>
          <w:rFonts w:hint="eastAsia" w:eastAsia="仿宋_GB2312"/>
          <w:sz w:val="32"/>
          <w:szCs w:val="32"/>
        </w:rPr>
        <w:t>：635~735MPa；断面收缩率≥56%。</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焊后热处理工艺环节</w:t>
      </w:r>
    </w:p>
    <w:p>
      <w:pPr>
        <w:widowControl/>
        <w:numPr>
          <w:ilvl w:val="0"/>
          <w:numId w:val="5"/>
        </w:numPr>
        <w:autoSpaceDE w:val="0"/>
        <w:autoSpaceDN w:val="0"/>
        <w:adjustRightInd w:val="0"/>
        <w:spacing w:beforeLines="0" w:afterLines="0" w:line="560" w:lineRule="exact"/>
        <w:ind w:firstLine="602" w:firstLineChars="200"/>
        <w:rPr>
          <w:rFonts w:eastAsia="仿宋_GB2312"/>
          <w:sz w:val="32"/>
          <w:szCs w:val="32"/>
        </w:rPr>
      </w:pPr>
      <w:r>
        <w:rPr>
          <w:rFonts w:eastAsia="楷体"/>
          <w:b/>
          <w:bCs/>
          <w:sz w:val="30"/>
          <w:szCs w:val="30"/>
        </w:rPr>
        <w:t>环节描述及任务。</w:t>
      </w:r>
      <w:r>
        <w:rPr>
          <w:rFonts w:eastAsia="仿宋_GB2312"/>
          <w:sz w:val="32"/>
          <w:szCs w:val="32"/>
        </w:rPr>
        <w:t>大型预抽真空保护气氛井式电阻炉，转子整体入炉热处理工艺。</w:t>
      </w:r>
    </w:p>
    <w:p>
      <w:pPr>
        <w:widowControl/>
        <w:numPr>
          <w:ilvl w:val="0"/>
          <w:numId w:val="5"/>
        </w:numPr>
        <w:autoSpaceDE w:val="0"/>
        <w:autoSpaceDN w:val="0"/>
        <w:adjustRightInd w:val="0"/>
        <w:spacing w:beforeLines="0" w:afterLines="0" w:line="560" w:lineRule="exact"/>
        <w:ind w:firstLine="602" w:firstLineChars="200"/>
        <w:rPr>
          <w:rFonts w:eastAsia="仿宋_GB2312"/>
          <w:sz w:val="32"/>
          <w:szCs w:val="32"/>
        </w:rPr>
      </w:pPr>
      <w:r>
        <w:rPr>
          <w:rFonts w:hint="eastAsia" w:ascii="楷体" w:hAnsi="楷体" w:eastAsia="楷体" w:cs="楷体"/>
          <w:b/>
          <w:bCs/>
          <w:sz w:val="30"/>
          <w:szCs w:val="30"/>
        </w:rPr>
        <w:t>具体目标。</w:t>
      </w:r>
      <w:r>
        <w:rPr>
          <w:rFonts w:hint="eastAsia" w:eastAsia="仿宋_GB2312"/>
          <w:sz w:val="32"/>
          <w:szCs w:val="32"/>
        </w:rPr>
        <w:t>具备大型井式热处理炉或开合式热处理炉，具备大型焊接转子焊后热处理技术能力。</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无损检测工艺环节</w:t>
      </w:r>
    </w:p>
    <w:p>
      <w:pPr>
        <w:widowControl/>
        <w:autoSpaceDE w:val="0"/>
        <w:autoSpaceDN w:val="0"/>
        <w:adjustRightInd w:val="0"/>
        <w:spacing w:beforeLines="0" w:afterLines="0" w:line="560" w:lineRule="exact"/>
        <w:ind w:firstLine="600" w:firstLineChars="200"/>
        <w:rPr>
          <w:rFonts w:eastAsia="仿宋_GB2312"/>
          <w:sz w:val="32"/>
          <w:szCs w:val="32"/>
        </w:rPr>
      </w:pPr>
      <w:r>
        <w:rPr>
          <w:rFonts w:eastAsia="仿宋"/>
          <w:sz w:val="30"/>
          <w:szCs w:val="30"/>
        </w:rPr>
        <w:t>（1）</w:t>
      </w:r>
      <w:r>
        <w:rPr>
          <w:rFonts w:eastAsia="楷体"/>
          <w:b/>
          <w:bCs/>
          <w:sz w:val="30"/>
          <w:szCs w:val="30"/>
        </w:rPr>
        <w:t>环节描述及任务。</w:t>
      </w:r>
      <w:r>
        <w:rPr>
          <w:rFonts w:eastAsia="仿宋_GB2312"/>
          <w:sz w:val="32"/>
          <w:szCs w:val="32"/>
        </w:rPr>
        <w:t>针对超大型焊接转子接头形式，采用射线、超声波、</w:t>
      </w:r>
      <w:r>
        <w:rPr>
          <w:rFonts w:hint="eastAsia" w:eastAsia="仿宋_GB2312"/>
          <w:sz w:val="32"/>
          <w:szCs w:val="32"/>
        </w:rPr>
        <w:t>相控阵</w:t>
      </w:r>
      <w:r>
        <w:rPr>
          <w:rFonts w:eastAsia="仿宋_GB2312"/>
          <w:sz w:val="32"/>
          <w:szCs w:val="32"/>
        </w:rPr>
        <w:t>、磁粉等多种类的无损检测方法，形成一套系统完整的汽轮机焊接转子无损检测技术规范。</w:t>
      </w:r>
    </w:p>
    <w:p>
      <w:pPr>
        <w:widowControl/>
        <w:autoSpaceDE w:val="0"/>
        <w:autoSpaceDN w:val="0"/>
        <w:adjustRightInd w:val="0"/>
        <w:spacing w:beforeLines="0" w:afterLines="0" w:line="560" w:lineRule="exact"/>
        <w:ind w:firstLine="600" w:firstLineChars="200"/>
        <w:rPr>
          <w:rFonts w:eastAsia="仿宋_GB2312"/>
          <w:sz w:val="32"/>
          <w:szCs w:val="32"/>
        </w:rPr>
      </w:pPr>
      <w:r>
        <w:rPr>
          <w:rFonts w:eastAsia="仿宋"/>
          <w:sz w:val="30"/>
          <w:szCs w:val="30"/>
        </w:rPr>
        <w:t>（2）</w:t>
      </w:r>
      <w:r>
        <w:rPr>
          <w:rFonts w:eastAsia="楷体"/>
          <w:b/>
          <w:bCs/>
          <w:sz w:val="30"/>
          <w:szCs w:val="30"/>
        </w:rPr>
        <w:t>具体目标。</w:t>
      </w:r>
      <w:r>
        <w:rPr>
          <w:rFonts w:hint="eastAsia" w:eastAsia="仿宋_GB2312"/>
          <w:sz w:val="32"/>
          <w:szCs w:val="32"/>
        </w:rPr>
        <w:t>采取</w:t>
      </w:r>
      <w:r>
        <w:rPr>
          <w:rFonts w:eastAsia="仿宋_GB2312"/>
          <w:sz w:val="32"/>
          <w:szCs w:val="32"/>
        </w:rPr>
        <w:t>超声波探伤</w:t>
      </w:r>
      <w:r>
        <w:rPr>
          <w:rFonts w:hint="eastAsia" w:eastAsia="仿宋_GB2312"/>
          <w:sz w:val="32"/>
          <w:szCs w:val="32"/>
        </w:rPr>
        <w:t>检测：锻件焊接面坡口30mm深度区域成组缺陷直径≤0.6mm；叶片装配区域成组缺陷直径≤1.2mm；其他所有区域成组缺陷直径≤2mm。</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关键工序加工技术环节</w:t>
      </w:r>
    </w:p>
    <w:p>
      <w:pPr>
        <w:widowControl/>
        <w:numPr>
          <w:ilvl w:val="0"/>
          <w:numId w:val="6"/>
        </w:numPr>
        <w:autoSpaceDE w:val="0"/>
        <w:autoSpaceDN w:val="0"/>
        <w:adjustRightInd w:val="0"/>
        <w:spacing w:beforeLines="0" w:afterLines="0" w:line="560" w:lineRule="exact"/>
        <w:ind w:firstLine="602" w:firstLineChars="200"/>
        <w:rPr>
          <w:rFonts w:eastAsia="仿宋_GB2312"/>
          <w:sz w:val="32"/>
          <w:szCs w:val="32"/>
        </w:rPr>
      </w:pPr>
      <w:r>
        <w:rPr>
          <w:rFonts w:eastAsia="楷体"/>
          <w:b/>
          <w:bCs/>
          <w:sz w:val="30"/>
          <w:szCs w:val="30"/>
        </w:rPr>
        <w:t>环节描述及任务。</w:t>
      </w:r>
      <w:r>
        <w:rPr>
          <w:rFonts w:eastAsia="仿宋_GB2312"/>
          <w:sz w:val="32"/>
          <w:szCs w:val="32"/>
        </w:rPr>
        <w:t>超大型转子整体锻件超长中心孔套料及高精度加工技术。超大型转子整体锻件加工效率和加工精度，达到国际先进水平。</w:t>
      </w:r>
    </w:p>
    <w:p>
      <w:pPr>
        <w:widowControl/>
        <w:numPr>
          <w:ilvl w:val="0"/>
          <w:numId w:val="6"/>
        </w:numPr>
        <w:autoSpaceDE w:val="0"/>
        <w:autoSpaceDN w:val="0"/>
        <w:adjustRightInd w:val="0"/>
        <w:spacing w:beforeLines="0" w:afterLines="0" w:line="560" w:lineRule="exact"/>
        <w:ind w:firstLine="602" w:firstLineChars="200"/>
        <w:rPr>
          <w:rFonts w:eastAsia="仿宋_GB2312"/>
          <w:sz w:val="32"/>
          <w:szCs w:val="32"/>
        </w:rPr>
      </w:pPr>
      <w:r>
        <w:rPr>
          <w:rFonts w:hint="eastAsia" w:eastAsia="楷体"/>
          <w:b/>
          <w:bCs/>
          <w:sz w:val="30"/>
          <w:szCs w:val="30"/>
        </w:rPr>
        <w:t>具体目标。</w:t>
      </w:r>
      <w:r>
        <w:rPr>
          <w:rFonts w:hint="eastAsia" w:eastAsia="仿宋_GB2312"/>
          <w:b w:val="0"/>
          <w:bCs w:val="0"/>
          <w:sz w:val="32"/>
          <w:szCs w:val="32"/>
        </w:rPr>
        <w:t>具有</w:t>
      </w:r>
      <w:r>
        <w:rPr>
          <w:rFonts w:hint="eastAsia" w:eastAsia="仿宋_GB2312"/>
          <w:sz w:val="32"/>
          <w:szCs w:val="32"/>
        </w:rPr>
        <w:t>生产制造</w:t>
      </w:r>
      <w:r>
        <w:rPr>
          <w:rFonts w:eastAsia="仿宋_GB2312"/>
          <w:sz w:val="32"/>
          <w:szCs w:val="32"/>
        </w:rPr>
        <w:t>5m*20m</w:t>
      </w:r>
      <w:r>
        <w:rPr>
          <w:rFonts w:hint="eastAsia" w:eastAsia="仿宋_GB2312"/>
          <w:sz w:val="32"/>
          <w:szCs w:val="32"/>
        </w:rPr>
        <w:t>重型数控机床，以及大型深孔设备，具有发电机转子全序加工能力。</w:t>
      </w:r>
      <w:r>
        <w:rPr>
          <w:rFonts w:eastAsia="仿宋_GB2312"/>
          <w:sz w:val="32"/>
          <w:szCs w:val="32"/>
        </w:rPr>
        <w:t xml:space="preserve"> </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超大型转子、分段焊接转子性能评价体系环节</w:t>
      </w:r>
    </w:p>
    <w:p>
      <w:pPr>
        <w:widowControl/>
        <w:numPr>
          <w:ilvl w:val="0"/>
          <w:numId w:val="7"/>
        </w:numPr>
        <w:autoSpaceDE w:val="0"/>
        <w:autoSpaceDN w:val="0"/>
        <w:adjustRightInd w:val="0"/>
        <w:spacing w:beforeLines="0" w:afterLines="0" w:line="560" w:lineRule="exact"/>
        <w:ind w:firstLine="602" w:firstLineChars="200"/>
        <w:rPr>
          <w:rFonts w:eastAsia="仿宋_GB2312"/>
          <w:sz w:val="32"/>
          <w:szCs w:val="32"/>
        </w:rPr>
      </w:pPr>
      <w:r>
        <w:rPr>
          <w:rFonts w:eastAsia="楷体"/>
          <w:b/>
          <w:bCs/>
          <w:sz w:val="30"/>
          <w:szCs w:val="30"/>
        </w:rPr>
        <w:t>环节描述及任务。</w:t>
      </w:r>
      <w:r>
        <w:rPr>
          <w:rFonts w:eastAsia="仿宋_GB2312"/>
          <w:sz w:val="32"/>
          <w:szCs w:val="32"/>
        </w:rPr>
        <w:t>建立超大型汽轮机焊接转子材料、焊接接头综合性能数据库及焊接接头寿命、安全性评估体系和准则。</w:t>
      </w:r>
    </w:p>
    <w:p>
      <w:pPr>
        <w:widowControl/>
        <w:numPr>
          <w:ilvl w:val="0"/>
          <w:numId w:val="7"/>
        </w:numPr>
        <w:autoSpaceDE w:val="0"/>
        <w:autoSpaceDN w:val="0"/>
        <w:adjustRightInd w:val="0"/>
        <w:spacing w:beforeLines="0" w:afterLines="0" w:line="560" w:lineRule="exact"/>
        <w:ind w:firstLine="602" w:firstLineChars="200"/>
        <w:rPr>
          <w:rFonts w:eastAsia="仿宋_GB2312"/>
          <w:sz w:val="32"/>
          <w:szCs w:val="32"/>
        </w:rPr>
      </w:pPr>
      <w:r>
        <w:rPr>
          <w:rFonts w:eastAsia="楷体"/>
          <w:b/>
          <w:bCs/>
          <w:sz w:val="30"/>
          <w:szCs w:val="30"/>
        </w:rPr>
        <w:t>具体目标。</w:t>
      </w:r>
      <w:r>
        <w:rPr>
          <w:rFonts w:hint="eastAsia" w:eastAsia="仿宋_GB2312"/>
          <w:sz w:val="32"/>
          <w:szCs w:val="32"/>
        </w:rPr>
        <w:t>针对核电低压转子，对其材料进行完整系统的试验试验，获得完成的基础材料及工艺数据；联合搭建满足铸造、锻造及热处理全过程数值模拟要求的仿真平台，实现全过程数值模拟仿真；对核电低压转子生产进行全过程模拟，发现工艺存在的问题进行重点分析，以确定问题原因并消除缺陷。</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超大型转子、分段焊接转子标准体系环节</w:t>
      </w:r>
    </w:p>
    <w:p>
      <w:pPr>
        <w:widowControl/>
        <w:autoSpaceDE w:val="0"/>
        <w:autoSpaceDN w:val="0"/>
        <w:adjustRightInd w:val="0"/>
        <w:spacing w:beforeLines="0" w:afterLines="0" w:line="560" w:lineRule="exact"/>
        <w:ind w:firstLine="600" w:firstLineChars="200"/>
        <w:rPr>
          <w:rFonts w:eastAsia="仿宋_GB2312"/>
          <w:sz w:val="32"/>
          <w:szCs w:val="32"/>
        </w:rPr>
      </w:pPr>
      <w:r>
        <w:rPr>
          <w:rFonts w:eastAsia="仿宋"/>
          <w:sz w:val="30"/>
          <w:szCs w:val="30"/>
        </w:rPr>
        <w:t>（1）</w:t>
      </w:r>
      <w:r>
        <w:rPr>
          <w:rFonts w:eastAsia="楷体"/>
          <w:b/>
          <w:bCs/>
          <w:sz w:val="30"/>
          <w:szCs w:val="30"/>
        </w:rPr>
        <w:t>环节描述及任务。</w:t>
      </w:r>
      <w:r>
        <w:rPr>
          <w:rFonts w:hint="eastAsia" w:eastAsia="仿宋_GB2312"/>
          <w:sz w:val="32"/>
          <w:szCs w:val="32"/>
        </w:rPr>
        <w:t>建立公共试验平台，满足</w:t>
      </w:r>
      <w:r>
        <w:rPr>
          <w:rFonts w:eastAsia="仿宋_GB2312"/>
          <w:sz w:val="32"/>
          <w:szCs w:val="32"/>
        </w:rPr>
        <w:t>超大型转子、分段焊接转子</w:t>
      </w:r>
      <w:r>
        <w:rPr>
          <w:rFonts w:hint="eastAsia" w:eastAsia="仿宋_GB2312"/>
          <w:sz w:val="32"/>
          <w:szCs w:val="32"/>
        </w:rPr>
        <w:t>产品的检验检测和试验验证，并形成技术标准及规范。</w:t>
      </w:r>
    </w:p>
    <w:p>
      <w:pPr>
        <w:widowControl/>
        <w:autoSpaceDE w:val="0"/>
        <w:autoSpaceDN w:val="0"/>
        <w:adjustRightInd w:val="0"/>
        <w:spacing w:beforeLines="0" w:afterLines="0" w:line="560" w:lineRule="exact"/>
        <w:ind w:firstLine="600" w:firstLineChars="200"/>
        <w:rPr>
          <w:rFonts w:eastAsia="仿宋_GB2312"/>
          <w:sz w:val="32"/>
          <w:szCs w:val="32"/>
        </w:rPr>
      </w:pPr>
      <w:r>
        <w:rPr>
          <w:rFonts w:eastAsia="仿宋"/>
          <w:sz w:val="30"/>
          <w:szCs w:val="30"/>
        </w:rPr>
        <w:t>（2）</w:t>
      </w:r>
      <w:r>
        <w:rPr>
          <w:rFonts w:eastAsia="楷体"/>
          <w:b/>
          <w:bCs/>
          <w:sz w:val="30"/>
          <w:szCs w:val="30"/>
        </w:rPr>
        <w:t>具体目标。</w:t>
      </w:r>
      <w:r>
        <w:rPr>
          <w:rFonts w:eastAsia="仿宋_GB2312"/>
          <w:sz w:val="32"/>
          <w:szCs w:val="32"/>
        </w:rPr>
        <w:t>形成一整套从锻件采购、焊接、热处理、加工以及无损检测等方面完善的焊接转子标准规范，参与焊接转子国家标准。</w:t>
      </w:r>
    </w:p>
    <w:p>
      <w:pPr>
        <w:numPr>
          <w:ilvl w:val="0"/>
          <w:numId w:val="2"/>
        </w:numPr>
        <w:spacing w:beforeLines="0" w:afterLines="0" w:line="560" w:lineRule="exact"/>
        <w:ind w:firstLine="643" w:firstLineChars="200"/>
        <w:outlineLvl w:val="1"/>
        <w:rPr>
          <w:rFonts w:ascii="楷体" w:hAnsi="楷体" w:eastAsia="楷体" w:cs="楷体"/>
          <w:b/>
          <w:sz w:val="32"/>
          <w:szCs w:val="32"/>
        </w:rPr>
      </w:pPr>
      <w:r>
        <w:rPr>
          <w:rFonts w:hint="eastAsia" w:ascii="楷体" w:hAnsi="楷体" w:eastAsia="楷体" w:cs="楷体"/>
          <w:b/>
          <w:sz w:val="32"/>
          <w:szCs w:val="32"/>
        </w:rPr>
        <w:t>试验检测技术、评估方法及设备</w:t>
      </w:r>
    </w:p>
    <w:p>
      <w:pPr>
        <w:widowControl/>
        <w:numPr>
          <w:ilvl w:val="0"/>
          <w:numId w:val="8"/>
        </w:numPr>
        <w:autoSpaceDE w:val="0"/>
        <w:autoSpaceDN w:val="0"/>
        <w:adjustRightInd w:val="0"/>
        <w:spacing w:beforeLines="0" w:afterLines="0" w:line="560" w:lineRule="exact"/>
        <w:ind w:firstLine="602" w:firstLineChars="200"/>
        <w:rPr>
          <w:rFonts w:eastAsia="仿宋_GB2312"/>
          <w:sz w:val="32"/>
          <w:szCs w:val="32"/>
        </w:rPr>
      </w:pPr>
      <w:r>
        <w:rPr>
          <w:rFonts w:eastAsia="楷体"/>
          <w:b/>
          <w:bCs/>
          <w:sz w:val="30"/>
          <w:szCs w:val="30"/>
        </w:rPr>
        <w:t>环节描述及任务。</w:t>
      </w:r>
      <w:r>
        <w:rPr>
          <w:rFonts w:eastAsia="仿宋_GB2312"/>
          <w:sz w:val="32"/>
          <w:szCs w:val="32"/>
        </w:rPr>
        <w:t>制定超大型转子整体锻件、分段焊接转子锻件供货标准；焊接转子焊接工艺及应力</w:t>
      </w:r>
      <w:r>
        <w:rPr>
          <w:rFonts w:hint="eastAsia" w:eastAsia="仿宋_GB2312"/>
          <w:sz w:val="32"/>
          <w:szCs w:val="32"/>
        </w:rPr>
        <w:t>与变形</w:t>
      </w:r>
      <w:r>
        <w:rPr>
          <w:rFonts w:eastAsia="仿宋_GB2312"/>
          <w:sz w:val="32"/>
          <w:szCs w:val="32"/>
        </w:rPr>
        <w:t>控制工艺规范；形成国产化焊接转子焊接验证试验评估报告</w:t>
      </w:r>
      <w:r>
        <w:rPr>
          <w:rFonts w:hint="eastAsia" w:eastAsia="仿宋_GB2312"/>
          <w:sz w:val="32"/>
          <w:szCs w:val="32"/>
        </w:rPr>
        <w:t>；</w:t>
      </w:r>
      <w:r>
        <w:rPr>
          <w:rFonts w:eastAsia="仿宋_GB2312"/>
          <w:sz w:val="32"/>
          <w:szCs w:val="32"/>
        </w:rPr>
        <w:t>形成超大型转子整体锻件、分段焊接转子锻件验收规范。</w:t>
      </w:r>
    </w:p>
    <w:p>
      <w:pPr>
        <w:widowControl/>
        <w:numPr>
          <w:ilvl w:val="0"/>
          <w:numId w:val="8"/>
        </w:numPr>
        <w:autoSpaceDE w:val="0"/>
        <w:autoSpaceDN w:val="0"/>
        <w:adjustRightInd w:val="0"/>
        <w:spacing w:beforeLines="0" w:afterLines="0" w:line="560" w:lineRule="exact"/>
        <w:ind w:firstLine="602" w:firstLineChars="200"/>
        <w:rPr>
          <w:rFonts w:eastAsia="仿宋_GB2312"/>
          <w:sz w:val="32"/>
          <w:szCs w:val="32"/>
        </w:rPr>
      </w:pPr>
      <w:r>
        <w:rPr>
          <w:rFonts w:eastAsia="楷体"/>
          <w:b/>
          <w:bCs/>
          <w:sz w:val="30"/>
          <w:szCs w:val="30"/>
        </w:rPr>
        <w:t>具体目标。</w:t>
      </w:r>
      <w:r>
        <w:rPr>
          <w:rFonts w:hint="eastAsia" w:eastAsia="仿宋_GB2312"/>
          <w:sz w:val="32"/>
          <w:szCs w:val="32"/>
        </w:rPr>
        <w:t>完成锻件的焊接技术理论分析和论证工作，确定锻件的焊接技术方案；完成核电转子锻件的焊接技术评估工作。主要包括焊材优选、材料焊接工艺参数试验、模拟焊缝试板焊接和试验解剖。根据试板焊接定型的焊接工艺，开展转子锻件模拟件焊接，并就模拟件焊接件开展性能试验解剖，形成转子锻件模拟件焊接工艺报告及安全性综合评价。</w:t>
      </w:r>
    </w:p>
    <w:p>
      <w:pPr>
        <w:widowControl/>
        <w:numPr>
          <w:ilvl w:val="0"/>
          <w:numId w:val="1"/>
        </w:numPr>
        <w:autoSpaceDE w:val="0"/>
        <w:autoSpaceDN w:val="0"/>
        <w:spacing w:beforeLines="0" w:afterLines="0" w:line="560" w:lineRule="exact"/>
        <w:ind w:firstLine="640" w:firstLineChars="200"/>
        <w:jc w:val="left"/>
        <w:outlineLvl w:val="0"/>
        <w:rPr>
          <w:rFonts w:eastAsia="黑体"/>
          <w:bCs/>
          <w:kern w:val="0"/>
          <w:sz w:val="32"/>
          <w:szCs w:val="32"/>
        </w:rPr>
      </w:pPr>
      <w:r>
        <w:rPr>
          <w:rFonts w:hint="eastAsia" w:eastAsia="黑体"/>
          <w:bCs/>
          <w:kern w:val="0"/>
          <w:sz w:val="32"/>
          <w:szCs w:val="32"/>
        </w:rPr>
        <w:t>咨询电话</w:t>
      </w:r>
    </w:p>
    <w:p>
      <w:pPr>
        <w:widowControl/>
        <w:autoSpaceDE w:val="0"/>
        <w:autoSpaceDN w:val="0"/>
        <w:spacing w:beforeLines="0" w:afterLines="0" w:line="560" w:lineRule="exact"/>
        <w:ind w:firstLine="640" w:firstLineChars="200"/>
        <w:rPr>
          <w:rFonts w:eastAsia="仿宋_GB2312"/>
          <w:sz w:val="32"/>
          <w:szCs w:val="32"/>
        </w:rPr>
      </w:pPr>
      <w:r>
        <w:rPr>
          <w:rFonts w:eastAsia="仿宋_GB2312"/>
          <w:sz w:val="32"/>
          <w:szCs w:val="32"/>
        </w:rPr>
        <w:t>机械工业规划研究院   王</w:t>
      </w:r>
      <w:r>
        <w:rPr>
          <w:rFonts w:hint="eastAsia" w:eastAsia="仿宋_GB2312"/>
          <w:sz w:val="32"/>
          <w:szCs w:val="32"/>
        </w:rPr>
        <w:t xml:space="preserve"> 万</w:t>
      </w:r>
      <w:r>
        <w:rPr>
          <w:rFonts w:eastAsia="仿宋_GB2312"/>
          <w:sz w:val="32"/>
          <w:szCs w:val="32"/>
        </w:rPr>
        <w:t xml:space="preserve">  010-68732009</w:t>
      </w:r>
    </w:p>
    <w:p>
      <w:pPr>
        <w:widowControl/>
        <w:autoSpaceDE w:val="0"/>
        <w:autoSpaceDN w:val="0"/>
        <w:adjustRightInd w:val="0"/>
        <w:spacing w:beforeLines="0" w:afterLines="0" w:line="560" w:lineRule="exact"/>
        <w:ind w:firstLine="600" w:firstLineChars="200"/>
        <w:rPr>
          <w:rFonts w:eastAsia="仿宋"/>
          <w:sz w:val="30"/>
          <w:szCs w:val="30"/>
        </w:rPr>
      </w:pPr>
    </w:p>
    <w:p>
      <w:pPr>
        <w:widowControl/>
        <w:autoSpaceDE w:val="0"/>
        <w:autoSpaceDN w:val="0"/>
        <w:adjustRightInd w:val="0"/>
        <w:spacing w:beforeLines="0" w:afterLines="0" w:line="560" w:lineRule="exact"/>
        <w:ind w:firstLine="600" w:firstLineChars="200"/>
        <w:rPr>
          <w:rFonts w:eastAsia="仿宋"/>
          <w:sz w:val="30"/>
          <w:szCs w:val="30"/>
        </w:rPr>
      </w:pPr>
    </w:p>
    <w:p>
      <w:pPr>
        <w:widowControl/>
        <w:autoSpaceDE w:val="0"/>
        <w:autoSpaceDN w:val="0"/>
        <w:adjustRightInd w:val="0"/>
        <w:spacing w:beforeLines="0" w:afterLines="0" w:line="560" w:lineRule="exact"/>
        <w:ind w:firstLine="600" w:firstLineChars="200"/>
        <w:rPr>
          <w:rFonts w:eastAsia="仿宋_GB2312"/>
          <w:sz w:val="32"/>
          <w:szCs w:val="32"/>
        </w:rPr>
      </w:pPr>
      <w:r>
        <w:rPr>
          <w:rFonts w:eastAsia="仿宋"/>
          <w:sz w:val="30"/>
          <w:szCs w:val="30"/>
        </w:rPr>
        <w:t>附：</w:t>
      </w:r>
      <w:r>
        <w:rPr>
          <w:rFonts w:eastAsia="仿宋_GB2312"/>
          <w:sz w:val="32"/>
          <w:szCs w:val="32"/>
        </w:rPr>
        <w:t>超大型构件先进成形、焊接及加工制造工艺</w:t>
      </w:r>
      <w:r>
        <w:rPr>
          <w:rFonts w:hint="eastAsia" w:eastAsia="仿宋_GB2312"/>
          <w:sz w:val="32"/>
          <w:szCs w:val="32"/>
          <w:lang w:eastAsia="zh-CN"/>
        </w:rPr>
        <w:t>“一条龙”</w:t>
      </w:r>
    </w:p>
    <w:p>
      <w:pPr>
        <w:widowControl/>
        <w:autoSpaceDE w:val="0"/>
        <w:autoSpaceDN w:val="0"/>
        <w:adjustRightInd w:val="0"/>
        <w:spacing w:beforeLines="0" w:afterLines="0" w:line="560" w:lineRule="exact"/>
        <w:ind w:left="525" w:leftChars="250" w:firstLine="640" w:firstLineChars="200"/>
        <w:rPr>
          <w:rFonts w:eastAsia="仿宋_GB2312"/>
          <w:sz w:val="32"/>
          <w:szCs w:val="32"/>
        </w:rPr>
      </w:pPr>
      <w:r>
        <w:rPr>
          <w:rFonts w:eastAsia="仿宋_GB2312"/>
          <w:sz w:val="32"/>
          <w:szCs w:val="32"/>
        </w:rPr>
        <w:t>应用计划申报书</w:t>
      </w:r>
    </w:p>
    <w:p>
      <w:pPr>
        <w:pStyle w:val="14"/>
        <w:spacing w:beforeLines="0" w:afterLines="0" w:line="560" w:lineRule="exact"/>
        <w:jc w:val="both"/>
        <w:rPr>
          <w:rFonts w:ascii="Times New Roman" w:hAnsi="Times New Roman" w:eastAsia="仿宋_GB2312"/>
          <w:sz w:val="32"/>
          <w:szCs w:val="28"/>
        </w:rPr>
        <w:sectPr>
          <w:footerReference r:id="rId3" w:type="default"/>
          <w:pgSz w:w="11850" w:h="16783"/>
          <w:pgMar w:top="1587" w:right="1474" w:bottom="1474" w:left="1587" w:header="851" w:footer="992" w:gutter="0"/>
          <w:cols w:space="720" w:num="1"/>
          <w:docGrid w:type="lines" w:linePitch="317" w:charSpace="0"/>
        </w:sectPr>
      </w:pPr>
    </w:p>
    <w:p>
      <w:pPr>
        <w:pStyle w:val="14"/>
        <w:spacing w:line="540" w:lineRule="exact"/>
        <w:jc w:val="both"/>
        <w:rPr>
          <w:rFonts w:ascii="仿宋" w:hAnsi="仿宋" w:eastAsia="仿宋"/>
          <w:sz w:val="32"/>
          <w:szCs w:val="32"/>
        </w:rPr>
      </w:pPr>
      <w:r>
        <w:rPr>
          <w:rFonts w:hint="eastAsia" w:ascii="仿宋_GB2312" w:hAnsi="仿宋_GB2312" w:eastAsia="仿宋_GB2312" w:cs="仿宋_GB2312"/>
          <w:sz w:val="32"/>
          <w:szCs w:val="32"/>
        </w:rPr>
        <w:t>附</w:t>
      </w:r>
    </w:p>
    <w:p>
      <w:pPr/>
    </w:p>
    <w:p>
      <w:pPr/>
    </w:p>
    <w:p>
      <w:pPr>
        <w:jc w:val="center"/>
        <w:rPr>
          <w:rFonts w:eastAsia="黑体"/>
          <w:sz w:val="44"/>
        </w:rPr>
      </w:pPr>
    </w:p>
    <w:p>
      <w:pPr>
        <w:jc w:val="center"/>
        <w:rPr>
          <w:rFonts w:eastAsia="黑体"/>
          <w:sz w:val="44"/>
        </w:rPr>
      </w:pPr>
    </w:p>
    <w:p>
      <w:pPr>
        <w:snapToGrid w:val="0"/>
        <w:spacing w:line="300" w:lineRule="auto"/>
        <w:jc w:val="center"/>
        <w:rPr>
          <w:rFonts w:eastAsia="黑体"/>
          <w:b/>
          <w:bCs/>
          <w:sz w:val="36"/>
          <w:szCs w:val="36"/>
        </w:rPr>
      </w:pPr>
      <w:r>
        <w:rPr>
          <w:rFonts w:eastAsia="黑体"/>
          <w:b/>
          <w:bCs/>
          <w:sz w:val="36"/>
          <w:szCs w:val="36"/>
        </w:rPr>
        <w:t>超大型构件先进成形、焊接及加工制造工艺</w:t>
      </w:r>
    </w:p>
    <w:p>
      <w:pPr>
        <w:snapToGrid w:val="0"/>
        <w:spacing w:line="300" w:lineRule="auto"/>
        <w:jc w:val="center"/>
        <w:rPr>
          <w:rFonts w:eastAsia="黑体"/>
          <w:b/>
          <w:bCs/>
          <w:sz w:val="44"/>
        </w:rPr>
      </w:pPr>
      <w:r>
        <w:rPr>
          <w:rFonts w:hint="eastAsia" w:eastAsia="黑体"/>
          <w:b/>
          <w:bCs/>
          <w:sz w:val="36"/>
          <w:szCs w:val="36"/>
          <w:lang w:eastAsia="zh-CN"/>
        </w:rPr>
        <w:t>“一条龙”</w:t>
      </w:r>
      <w:r>
        <w:rPr>
          <w:rFonts w:eastAsia="黑体"/>
          <w:b/>
          <w:bCs/>
          <w:sz w:val="36"/>
          <w:szCs w:val="36"/>
        </w:rPr>
        <w:t>应用计划申报书</w:t>
      </w:r>
    </w:p>
    <w:p>
      <w:pPr>
        <w:jc w:val="center"/>
        <w:outlineLvl w:val="0"/>
        <w:rPr>
          <w:rFonts w:eastAsia="仿宋_GB2312"/>
          <w:bCs/>
          <w:sz w:val="36"/>
        </w:rPr>
      </w:pPr>
    </w:p>
    <w:p>
      <w:pPr>
        <w:jc w:val="center"/>
        <w:outlineLvl w:val="0"/>
        <w:rPr>
          <w:rFonts w:eastAsia="仿宋_GB2312"/>
          <w:bCs/>
          <w:sz w:val="36"/>
        </w:rPr>
      </w:pPr>
    </w:p>
    <w:p>
      <w:pPr>
        <w:adjustRightInd w:val="0"/>
        <w:snapToGrid w:val="0"/>
        <w:spacing w:line="360" w:lineRule="auto"/>
        <w:ind w:firstLine="640" w:firstLineChars="200"/>
        <w:rPr>
          <w:rFonts w:eastAsia="黑体"/>
          <w:sz w:val="32"/>
          <w:szCs w:val="32"/>
        </w:rPr>
      </w:pPr>
    </w:p>
    <w:p>
      <w:pPr>
        <w:adjustRightInd w:val="0"/>
        <w:snapToGrid w:val="0"/>
        <w:spacing w:line="360" w:lineRule="auto"/>
        <w:ind w:firstLine="640" w:firstLineChars="200"/>
        <w:rPr>
          <w:rFonts w:eastAsia="黑体"/>
          <w:sz w:val="32"/>
          <w:szCs w:val="32"/>
        </w:rPr>
      </w:pPr>
    </w:p>
    <w:p>
      <w:pPr>
        <w:spacing w:line="480" w:lineRule="auto"/>
        <w:ind w:firstLine="614" w:firstLineChars="192"/>
        <w:rPr>
          <w:rFonts w:eastAsia="黑体"/>
          <w:sz w:val="32"/>
          <w:szCs w:val="32"/>
          <w:lang w:val="zh-CN"/>
        </w:rPr>
      </w:pPr>
      <w:r>
        <w:rPr>
          <w:rFonts w:eastAsia="黑体"/>
          <w:sz w:val="32"/>
          <w:szCs w:val="32"/>
          <w:lang w:val="zh-CN"/>
        </w:rPr>
        <w:t>企业名称：</w:t>
      </w:r>
    </w:p>
    <w:p>
      <w:pPr>
        <w:spacing w:line="480" w:lineRule="auto"/>
        <w:ind w:firstLine="614" w:firstLineChars="192"/>
        <w:rPr>
          <w:rFonts w:eastAsia="黑体"/>
          <w:sz w:val="32"/>
          <w:szCs w:val="32"/>
          <w:lang w:val="zh-CN"/>
        </w:rPr>
      </w:pPr>
      <w:r>
        <w:rPr>
          <w:rFonts w:eastAsia="黑体"/>
          <w:sz w:val="32"/>
          <w:szCs w:val="32"/>
          <w:lang w:val="zh-CN"/>
        </w:rPr>
        <w:t>项目名称：</w:t>
      </w:r>
    </w:p>
    <w:p>
      <w:pPr>
        <w:spacing w:line="480" w:lineRule="auto"/>
        <w:ind w:firstLine="614" w:firstLineChars="192"/>
        <w:rPr>
          <w:rFonts w:eastAsia="黑体"/>
          <w:sz w:val="32"/>
          <w:szCs w:val="32"/>
        </w:rPr>
      </w:pPr>
      <w:r>
        <w:rPr>
          <w:rFonts w:eastAsia="黑体"/>
          <w:sz w:val="32"/>
          <w:szCs w:val="32"/>
        </w:rPr>
        <w:t>责任人（法人代表）：</w:t>
      </w:r>
    </w:p>
    <w:p>
      <w:pPr>
        <w:spacing w:line="480" w:lineRule="auto"/>
        <w:ind w:firstLine="614" w:firstLineChars="192"/>
        <w:rPr>
          <w:rFonts w:eastAsia="黑体"/>
          <w:color w:val="FF0000"/>
          <w:sz w:val="32"/>
          <w:szCs w:val="32"/>
          <w:lang w:val="zh-CN"/>
        </w:rPr>
      </w:pPr>
      <w:r>
        <w:rPr>
          <w:rFonts w:eastAsia="黑体"/>
          <w:sz w:val="32"/>
          <w:szCs w:val="32"/>
          <w:lang w:val="zh-CN"/>
        </w:rPr>
        <w:t>项目技术负责人：</w:t>
      </w:r>
    </w:p>
    <w:p>
      <w:pPr>
        <w:spacing w:line="480" w:lineRule="auto"/>
        <w:ind w:firstLine="614" w:firstLineChars="192"/>
        <w:rPr>
          <w:rFonts w:eastAsia="黑体"/>
          <w:sz w:val="32"/>
          <w:szCs w:val="32"/>
          <w:lang w:val="zh-CN"/>
        </w:rPr>
      </w:pPr>
      <w:r>
        <w:rPr>
          <w:rFonts w:eastAsia="黑体"/>
          <w:sz w:val="32"/>
          <w:szCs w:val="32"/>
          <w:lang w:val="zh-CN"/>
        </w:rPr>
        <w:t>实施年限：20</w:t>
      </w:r>
      <w:r>
        <w:rPr>
          <w:rFonts w:hint="eastAsia" w:eastAsia="黑体"/>
          <w:sz w:val="32"/>
          <w:szCs w:val="32"/>
          <w:u w:val="single"/>
          <w:lang w:val="zh-CN"/>
        </w:rPr>
        <w:t xml:space="preserve">    </w:t>
      </w:r>
      <w:r>
        <w:rPr>
          <w:rFonts w:eastAsia="黑体"/>
          <w:sz w:val="32"/>
          <w:szCs w:val="32"/>
          <w:lang w:val="zh-CN"/>
        </w:rPr>
        <w:t>年</w:t>
      </w:r>
      <w:r>
        <w:rPr>
          <w:rFonts w:hint="eastAsia" w:eastAsia="黑体"/>
          <w:sz w:val="32"/>
          <w:szCs w:val="32"/>
          <w:u w:val="single"/>
          <w:lang w:val="zh-CN"/>
        </w:rPr>
        <w:t xml:space="preserve">    </w:t>
      </w:r>
      <w:r>
        <w:rPr>
          <w:rFonts w:eastAsia="黑体"/>
          <w:sz w:val="32"/>
          <w:szCs w:val="32"/>
          <w:lang w:val="zh-CN"/>
        </w:rPr>
        <w:t>月至20</w:t>
      </w:r>
      <w:r>
        <w:rPr>
          <w:rFonts w:hint="eastAsia" w:eastAsia="黑体"/>
          <w:sz w:val="32"/>
          <w:szCs w:val="32"/>
          <w:u w:val="single"/>
          <w:lang w:val="zh-CN"/>
        </w:rPr>
        <w:t xml:space="preserve">    </w:t>
      </w:r>
      <w:r>
        <w:rPr>
          <w:rFonts w:eastAsia="黑体"/>
          <w:sz w:val="32"/>
          <w:szCs w:val="32"/>
          <w:lang w:val="zh-CN"/>
        </w:rPr>
        <w:t>年</w:t>
      </w:r>
      <w:r>
        <w:rPr>
          <w:rFonts w:hint="eastAsia" w:eastAsia="黑体"/>
          <w:sz w:val="32"/>
          <w:szCs w:val="32"/>
          <w:u w:val="single"/>
          <w:lang w:val="zh-CN"/>
        </w:rPr>
        <w:t xml:space="preserve">    </w:t>
      </w:r>
      <w:r>
        <w:rPr>
          <w:rFonts w:eastAsia="黑体"/>
          <w:sz w:val="32"/>
          <w:szCs w:val="32"/>
          <w:lang w:val="zh-CN"/>
        </w:rPr>
        <w:t>月</w:t>
      </w:r>
    </w:p>
    <w:p>
      <w:pPr>
        <w:spacing w:line="480" w:lineRule="auto"/>
        <w:ind w:firstLine="614" w:firstLineChars="192"/>
        <w:rPr>
          <w:rFonts w:eastAsia="黑体"/>
          <w:sz w:val="32"/>
          <w:szCs w:val="32"/>
          <w:lang w:val="zh-CN"/>
        </w:rPr>
      </w:pPr>
      <w:r>
        <w:rPr>
          <w:rFonts w:eastAsia="黑体"/>
          <w:sz w:val="32"/>
          <w:szCs w:val="32"/>
          <w:lang w:val="zh-CN"/>
        </w:rPr>
        <w:t>填报日期：20</w:t>
      </w:r>
      <w:r>
        <w:rPr>
          <w:rFonts w:hint="eastAsia" w:eastAsia="黑体"/>
          <w:sz w:val="32"/>
          <w:szCs w:val="32"/>
          <w:u w:val="single"/>
          <w:lang w:val="zh-CN"/>
        </w:rPr>
        <w:t xml:space="preserve">    </w:t>
      </w:r>
      <w:r>
        <w:rPr>
          <w:rFonts w:eastAsia="黑体"/>
          <w:sz w:val="32"/>
          <w:szCs w:val="32"/>
          <w:lang w:val="zh-CN"/>
        </w:rPr>
        <w:t>年</w:t>
      </w:r>
      <w:r>
        <w:rPr>
          <w:rFonts w:hint="eastAsia" w:eastAsia="黑体"/>
          <w:sz w:val="32"/>
          <w:szCs w:val="32"/>
          <w:u w:val="single"/>
          <w:lang w:val="zh-CN"/>
        </w:rPr>
        <w:t xml:space="preserve">    </w:t>
      </w:r>
      <w:r>
        <w:rPr>
          <w:rFonts w:eastAsia="黑体"/>
          <w:sz w:val="32"/>
          <w:szCs w:val="32"/>
          <w:lang w:val="zh-CN"/>
        </w:rPr>
        <w:t>月</w:t>
      </w:r>
      <w:r>
        <w:rPr>
          <w:rFonts w:hint="eastAsia" w:eastAsia="黑体"/>
          <w:sz w:val="32"/>
          <w:szCs w:val="32"/>
          <w:u w:val="single"/>
          <w:lang w:val="zh-CN"/>
        </w:rPr>
        <w:t xml:space="preserve">    </w:t>
      </w:r>
      <w:r>
        <w:rPr>
          <w:rFonts w:eastAsia="黑体"/>
          <w:sz w:val="32"/>
          <w:szCs w:val="32"/>
          <w:lang w:val="zh-CN"/>
        </w:rPr>
        <w:t>日</w:t>
      </w:r>
    </w:p>
    <w:p>
      <w:pPr>
        <w:adjustRightInd w:val="0"/>
        <w:snapToGrid w:val="0"/>
        <w:spacing w:line="480" w:lineRule="auto"/>
        <w:ind w:firstLine="640" w:firstLineChars="200"/>
        <w:rPr>
          <w:rFonts w:eastAsia="黑体"/>
          <w:sz w:val="32"/>
          <w:szCs w:val="32"/>
        </w:rPr>
      </w:pPr>
    </w:p>
    <w:p>
      <w:pPr>
        <w:tabs>
          <w:tab w:val="left" w:pos="2300"/>
        </w:tabs>
        <w:adjustRightInd w:val="0"/>
        <w:snapToGrid w:val="0"/>
        <w:spacing w:line="360" w:lineRule="auto"/>
        <w:rPr>
          <w:rFonts w:eastAsia="黑体"/>
          <w:sz w:val="32"/>
          <w:szCs w:val="32"/>
        </w:rPr>
      </w:pPr>
      <w:r>
        <w:rPr>
          <w:rFonts w:eastAsia="黑体"/>
          <w:sz w:val="32"/>
          <w:szCs w:val="32"/>
        </w:rPr>
        <w:tab/>
      </w:r>
    </w:p>
    <w:p>
      <w:pPr>
        <w:adjustRightInd w:val="0"/>
        <w:snapToGrid w:val="0"/>
        <w:spacing w:line="360" w:lineRule="auto"/>
        <w:rPr>
          <w:rFonts w:eastAsia="黑体"/>
          <w:sz w:val="32"/>
          <w:szCs w:val="32"/>
        </w:rPr>
      </w:pPr>
    </w:p>
    <w:p>
      <w:pPr>
        <w:spacing w:line="360" w:lineRule="auto"/>
        <w:jc w:val="center"/>
        <w:rPr>
          <w:rFonts w:eastAsia="黑体"/>
          <w:sz w:val="30"/>
          <w:szCs w:val="30"/>
        </w:rPr>
      </w:pPr>
      <w:r>
        <w:rPr>
          <w:rFonts w:eastAsia="黑体"/>
          <w:sz w:val="30"/>
          <w:szCs w:val="30"/>
        </w:rPr>
        <w:t>中华人民共和国工业和信息化部制</w:t>
      </w:r>
    </w:p>
    <w:p>
      <w:pPr>
        <w:spacing w:line="360" w:lineRule="auto"/>
        <w:jc w:val="center"/>
        <w:rPr>
          <w:rFonts w:eastAsia="黑体"/>
          <w:sz w:val="30"/>
          <w:szCs w:val="30"/>
        </w:rPr>
        <w:sectPr>
          <w:footerReference r:id="rId4" w:type="default"/>
          <w:pgSz w:w="11850" w:h="16783"/>
          <w:pgMar w:top="1440" w:right="1800" w:bottom="1440" w:left="1800" w:header="851" w:footer="992" w:gutter="0"/>
          <w:pgNumType w:fmt="decimal"/>
          <w:cols w:space="720" w:num="1"/>
          <w:docGrid w:type="lines" w:linePitch="312" w:charSpace="0"/>
        </w:sectPr>
      </w:pPr>
      <w:r>
        <w:rPr>
          <w:rFonts w:eastAsia="黑体"/>
          <w:sz w:val="30"/>
          <w:szCs w:val="30"/>
        </w:rPr>
        <w:t>二〇    年    月</w:t>
      </w:r>
    </w:p>
    <w:tbl>
      <w:tblPr>
        <w:tblStyle w:val="9"/>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67"/>
        <w:gridCol w:w="2293"/>
        <w:gridCol w:w="409"/>
        <w:gridCol w:w="492"/>
        <w:gridCol w:w="476"/>
        <w:gridCol w:w="371"/>
        <w:gridCol w:w="946"/>
        <w:gridCol w:w="120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521" w:type="dxa"/>
            <w:gridSpan w:val="2"/>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单位名称</w:t>
            </w:r>
          </w:p>
        </w:tc>
        <w:tc>
          <w:tcPr>
            <w:tcW w:w="2702" w:type="dxa"/>
            <w:gridSpan w:val="2"/>
            <w:vAlign w:val="center"/>
          </w:tcPr>
          <w:p>
            <w:pPr>
              <w:pStyle w:val="18"/>
              <w:snapToGrid w:val="0"/>
              <w:rPr>
                <w:rFonts w:ascii="Times New Roman" w:hAnsi="Times New Roman" w:eastAsia="仿宋_GB2312"/>
                <w:color w:val="auto"/>
                <w:sz w:val="21"/>
              </w:rPr>
            </w:pPr>
          </w:p>
        </w:tc>
        <w:tc>
          <w:tcPr>
            <w:tcW w:w="968" w:type="dxa"/>
            <w:gridSpan w:val="2"/>
            <w:vAlign w:val="center"/>
          </w:tcPr>
          <w:p>
            <w:pPr>
              <w:pStyle w:val="18"/>
              <w:snapToGrid w:val="0"/>
              <w:rPr>
                <w:rFonts w:ascii="Times New Roman" w:hAnsi="Times New Roman" w:eastAsia="仿宋_GB2312"/>
                <w:color w:val="auto"/>
                <w:sz w:val="21"/>
              </w:rPr>
            </w:pPr>
            <w:r>
              <w:rPr>
                <w:rFonts w:ascii="Times New Roman" w:hAnsi="Times New Roman" w:eastAsia="黑体"/>
                <w:color w:val="auto"/>
                <w:sz w:val="21"/>
              </w:rPr>
              <w:t>注册地</w:t>
            </w:r>
          </w:p>
        </w:tc>
        <w:tc>
          <w:tcPr>
            <w:tcW w:w="1317" w:type="dxa"/>
            <w:gridSpan w:val="2"/>
            <w:vAlign w:val="center"/>
          </w:tcPr>
          <w:p>
            <w:pPr>
              <w:pStyle w:val="18"/>
              <w:snapToGrid w:val="0"/>
              <w:rPr>
                <w:rFonts w:ascii="Times New Roman" w:hAnsi="Times New Roman" w:eastAsia="仿宋_GB2312"/>
                <w:color w:val="auto"/>
                <w:sz w:val="21"/>
              </w:rPr>
            </w:pPr>
          </w:p>
        </w:tc>
        <w:tc>
          <w:tcPr>
            <w:tcW w:w="1200" w:type="dxa"/>
            <w:vAlign w:val="center"/>
          </w:tcPr>
          <w:p>
            <w:pPr>
              <w:pStyle w:val="18"/>
              <w:snapToGrid w:val="0"/>
              <w:rPr>
                <w:rFonts w:ascii="Times New Roman" w:hAnsi="Times New Roman" w:eastAsia="仿宋_GB2312"/>
                <w:color w:val="auto"/>
                <w:sz w:val="21"/>
              </w:rPr>
            </w:pPr>
            <w:r>
              <w:rPr>
                <w:rFonts w:ascii="Times New Roman" w:hAnsi="Times New Roman" w:eastAsia="黑体"/>
                <w:color w:val="auto"/>
                <w:sz w:val="21"/>
              </w:rPr>
              <w:t>机构代码</w:t>
            </w:r>
          </w:p>
        </w:tc>
        <w:tc>
          <w:tcPr>
            <w:tcW w:w="1154" w:type="dxa"/>
            <w:vAlign w:val="center"/>
          </w:tcPr>
          <w:p>
            <w:pPr>
              <w:pStyle w:val="18"/>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21" w:type="dxa"/>
            <w:gridSpan w:val="2"/>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项目名称</w:t>
            </w:r>
          </w:p>
        </w:tc>
        <w:tc>
          <w:tcPr>
            <w:tcW w:w="3670" w:type="dxa"/>
            <w:gridSpan w:val="4"/>
            <w:vAlign w:val="center"/>
          </w:tcPr>
          <w:p>
            <w:pPr>
              <w:pStyle w:val="18"/>
              <w:snapToGrid w:val="0"/>
              <w:rPr>
                <w:rFonts w:ascii="Times New Roman" w:hAnsi="Times New Roman" w:eastAsia="仿宋_GB2312"/>
                <w:color w:val="auto"/>
                <w:sz w:val="21"/>
              </w:rPr>
            </w:pPr>
          </w:p>
        </w:tc>
        <w:tc>
          <w:tcPr>
            <w:tcW w:w="1317" w:type="dxa"/>
            <w:gridSpan w:val="2"/>
            <w:vAlign w:val="center"/>
          </w:tcPr>
          <w:p>
            <w:pPr>
              <w:pStyle w:val="18"/>
              <w:snapToGrid w:val="0"/>
              <w:rPr>
                <w:rFonts w:ascii="Times New Roman" w:hAnsi="Times New Roman" w:eastAsia="仿宋_GB2312"/>
                <w:color w:val="auto"/>
                <w:sz w:val="21"/>
              </w:rPr>
            </w:pPr>
            <w:r>
              <w:rPr>
                <w:rFonts w:hint="eastAsia" w:ascii="Times New Roman" w:hAnsi="Times New Roman" w:eastAsia="黑体"/>
                <w:color w:val="auto"/>
                <w:sz w:val="21"/>
              </w:rPr>
              <w:t>项目实施期</w:t>
            </w:r>
          </w:p>
        </w:tc>
        <w:tc>
          <w:tcPr>
            <w:tcW w:w="2354" w:type="dxa"/>
            <w:gridSpan w:val="2"/>
            <w:vAlign w:val="center"/>
          </w:tcPr>
          <w:p>
            <w:pPr>
              <w:pStyle w:val="18"/>
              <w:pBdr>
                <w:top w:val="none" w:color="auto" w:sz="0" w:space="1"/>
                <w:left w:val="none" w:color="auto" w:sz="0" w:space="4"/>
                <w:bottom w:val="none" w:color="auto" w:sz="0" w:space="1"/>
                <w:right w:val="none" w:color="auto" w:sz="0" w:space="4"/>
              </w:pBdr>
              <w:snapToGrid w:val="0"/>
              <w:ind w:firstLine="210" w:firstLineChars="100"/>
              <w:rPr>
                <w:rFonts w:ascii="Times New Roman" w:hAnsi="Times New Roman" w:eastAsia="仿宋_GB2312"/>
                <w:color w:val="auto"/>
                <w:sz w:val="21"/>
              </w:rPr>
            </w:pPr>
            <w:r>
              <w:rPr>
                <w:rFonts w:ascii="Times New Roman" w:hAnsi="Times New Roman" w:eastAsia="仿宋_GB2312"/>
                <w:color w:val="auto"/>
                <w:sz w:val="21"/>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521" w:type="dxa"/>
            <w:gridSpan w:val="2"/>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所属产业链</w:t>
            </w:r>
          </w:p>
        </w:tc>
        <w:tc>
          <w:tcPr>
            <w:tcW w:w="3194" w:type="dxa"/>
            <w:gridSpan w:val="3"/>
            <w:tcBorders>
              <w:bottom w:val="nil"/>
              <w:right w:val="nil"/>
            </w:tcBorders>
            <w:vAlign w:val="center"/>
          </w:tcPr>
          <w:p>
            <w:pPr>
              <w:pStyle w:val="18"/>
              <w:snapToGrid w:val="0"/>
              <w:rPr>
                <w:rFonts w:ascii="仿宋" w:hAnsi="仿宋" w:eastAsia="仿宋" w:cs="仿宋"/>
                <w:color w:val="auto"/>
                <w:sz w:val="21"/>
              </w:rPr>
            </w:pPr>
            <w:r>
              <w:rPr>
                <w:rFonts w:hint="eastAsia" w:ascii="仿宋" w:hAnsi="仿宋" w:eastAsia="仿宋" w:cs="仿宋"/>
                <w:color w:val="auto"/>
                <w:sz w:val="21"/>
              </w:rPr>
              <w:t>□</w:t>
            </w:r>
            <w:r>
              <w:rPr>
                <w:rFonts w:hint="eastAsia" w:ascii="仿宋" w:hAnsi="仿宋" w:eastAsia="仿宋" w:cs="仿宋"/>
                <w:bCs/>
                <w:color w:val="auto"/>
                <w:sz w:val="21"/>
              </w:rPr>
              <w:t>超大型转子整体锻件</w:t>
            </w:r>
            <w:r>
              <w:rPr>
                <w:rFonts w:hint="eastAsia" w:ascii="仿宋" w:hAnsi="仿宋" w:eastAsia="仿宋" w:cs="仿宋"/>
                <w:color w:val="auto"/>
                <w:sz w:val="21"/>
              </w:rPr>
              <w:t>产业链</w:t>
            </w:r>
          </w:p>
        </w:tc>
        <w:tc>
          <w:tcPr>
            <w:tcW w:w="4147" w:type="dxa"/>
            <w:gridSpan w:val="5"/>
            <w:tcBorders>
              <w:left w:val="nil"/>
              <w:bottom w:val="nil"/>
            </w:tcBorders>
            <w:vAlign w:val="center"/>
          </w:tcPr>
          <w:p>
            <w:pPr>
              <w:pStyle w:val="18"/>
              <w:snapToGrid w:val="0"/>
              <w:rPr>
                <w:rFonts w:ascii="仿宋" w:hAnsi="仿宋" w:eastAsia="仿宋" w:cs="仿宋"/>
                <w:color w:val="auto"/>
                <w:sz w:val="21"/>
              </w:rPr>
            </w:pPr>
            <w:r>
              <w:rPr>
                <w:rFonts w:hint="eastAsia" w:ascii="仿宋" w:hAnsi="仿宋" w:eastAsia="仿宋" w:cs="仿宋"/>
                <w:color w:val="auto"/>
                <w:sz w:val="21"/>
              </w:rPr>
              <w:t>□</w:t>
            </w:r>
            <w:r>
              <w:rPr>
                <w:rFonts w:hint="eastAsia" w:ascii="仿宋" w:hAnsi="仿宋" w:eastAsia="仿宋" w:cs="仿宋"/>
                <w:bCs/>
                <w:color w:val="auto"/>
                <w:sz w:val="21"/>
              </w:rPr>
              <w:t>分段焊接转子锻件</w:t>
            </w:r>
            <w:r>
              <w:rPr>
                <w:rFonts w:hint="eastAsia" w:ascii="仿宋" w:hAnsi="仿宋" w:eastAsia="仿宋" w:cs="仿宋"/>
                <w:color w:val="auto"/>
                <w:sz w:val="21"/>
              </w:rPr>
              <w:t>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21" w:type="dxa"/>
            <w:gridSpan w:val="2"/>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所属产业链</w:t>
            </w:r>
          </w:p>
          <w:p>
            <w:pPr>
              <w:pStyle w:val="18"/>
              <w:snapToGrid w:val="0"/>
              <w:jc w:val="center"/>
              <w:rPr>
                <w:rFonts w:ascii="Times New Roman" w:hAnsi="Times New Roman" w:eastAsia="黑体"/>
                <w:color w:val="auto"/>
                <w:sz w:val="21"/>
              </w:rPr>
            </w:pPr>
            <w:r>
              <w:rPr>
                <w:rFonts w:ascii="Times New Roman" w:hAnsi="Times New Roman" w:eastAsia="黑体"/>
                <w:color w:val="auto"/>
                <w:sz w:val="21"/>
              </w:rPr>
              <w:t>关键环节</w:t>
            </w:r>
          </w:p>
        </w:tc>
        <w:tc>
          <w:tcPr>
            <w:tcW w:w="7341" w:type="dxa"/>
            <w:gridSpan w:val="8"/>
            <w:tcBorders>
              <w:bottom w:val="single" w:color="auto" w:sz="4" w:space="0"/>
            </w:tcBorders>
            <w:vAlign w:val="center"/>
          </w:tcPr>
          <w:p>
            <w:pPr>
              <w:pStyle w:val="18"/>
              <w:snapToGrid w:val="0"/>
              <w:rPr>
                <w:rFonts w:ascii="仿宋" w:hAnsi="仿宋" w:eastAsia="仿宋" w:cs="仿宋"/>
                <w:color w:val="auto"/>
                <w:sz w:val="21"/>
              </w:rPr>
            </w:pPr>
            <w:r>
              <w:rPr>
                <w:rFonts w:hint="eastAsia" w:ascii="仿宋" w:hAnsi="仿宋" w:eastAsia="仿宋" w:cs="仿宋"/>
                <w:color w:val="auto"/>
                <w:sz w:val="21"/>
              </w:rPr>
              <w:t xml:space="preserve">□浇铸工艺  □锻造工艺  □热处理工艺  □焊接及控制工艺  □焊后热处理工艺  □无损检测工艺  □加工技术  □性能评价体系  □标准体系  </w:t>
            </w:r>
          </w:p>
          <w:p>
            <w:pPr>
              <w:pStyle w:val="18"/>
              <w:snapToGrid w:val="0"/>
              <w:rPr>
                <w:rFonts w:ascii="仿宋" w:hAnsi="仿宋" w:eastAsia="仿宋" w:cs="仿宋"/>
                <w:color w:val="auto"/>
                <w:sz w:val="21"/>
              </w:rPr>
            </w:pPr>
            <w:r>
              <w:rPr>
                <w:rFonts w:hint="eastAsia" w:ascii="仿宋" w:hAnsi="仿宋" w:eastAsia="仿宋" w:cs="仿宋"/>
                <w:color w:val="auto"/>
                <w:sz w:val="21"/>
              </w:rPr>
              <w:t>□试验检测技术、评估方法及设备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21" w:type="dxa"/>
            <w:gridSpan w:val="2"/>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所属整机产品</w:t>
            </w:r>
          </w:p>
        </w:tc>
        <w:tc>
          <w:tcPr>
            <w:tcW w:w="3670" w:type="dxa"/>
            <w:gridSpan w:val="4"/>
            <w:tcBorders>
              <w:right w:val="nil"/>
            </w:tcBorders>
            <w:vAlign w:val="center"/>
          </w:tcPr>
          <w:p>
            <w:pPr>
              <w:pStyle w:val="18"/>
              <w:snapToGrid w:val="0"/>
              <w:rPr>
                <w:rFonts w:ascii="仿宋" w:hAnsi="仿宋" w:eastAsia="仿宋" w:cs="仿宋"/>
                <w:color w:val="auto"/>
                <w:sz w:val="21"/>
              </w:rPr>
            </w:pPr>
            <w:r>
              <w:rPr>
                <w:rFonts w:hint="eastAsia" w:ascii="仿宋" w:hAnsi="仿宋" w:eastAsia="仿宋" w:cs="仿宋"/>
                <w:color w:val="auto"/>
                <w:sz w:val="21"/>
              </w:rPr>
              <w:t>□</w:t>
            </w:r>
            <w:r>
              <w:rPr>
                <w:rFonts w:hint="eastAsia" w:ascii="仿宋" w:hAnsi="仿宋" w:eastAsia="仿宋" w:cs="仿宋"/>
                <w:bCs/>
                <w:color w:val="auto"/>
                <w:sz w:val="21"/>
              </w:rPr>
              <w:t>CAP1400</w:t>
            </w:r>
          </w:p>
        </w:tc>
        <w:tc>
          <w:tcPr>
            <w:tcW w:w="3671" w:type="dxa"/>
            <w:gridSpan w:val="4"/>
            <w:tcBorders>
              <w:left w:val="nil"/>
            </w:tcBorders>
            <w:vAlign w:val="center"/>
          </w:tcPr>
          <w:p>
            <w:pPr>
              <w:pStyle w:val="18"/>
              <w:snapToGrid w:val="0"/>
              <w:rPr>
                <w:rFonts w:ascii="仿宋" w:hAnsi="仿宋" w:eastAsia="仿宋" w:cs="仿宋"/>
                <w:color w:val="auto"/>
                <w:sz w:val="21"/>
              </w:rPr>
            </w:pPr>
            <w:r>
              <w:rPr>
                <w:rFonts w:hint="eastAsia" w:ascii="仿宋" w:hAnsi="仿宋" w:eastAsia="仿宋" w:cs="仿宋"/>
                <w:color w:val="auto"/>
                <w:sz w:val="21"/>
              </w:rPr>
              <w:t>□</w:t>
            </w:r>
            <w:r>
              <w:rPr>
                <w:rFonts w:hint="eastAsia" w:ascii="仿宋" w:hAnsi="仿宋" w:eastAsia="仿宋" w:cs="仿宋"/>
                <w:bCs/>
                <w:color w:val="auto"/>
                <w:sz w:val="21"/>
              </w:rPr>
              <w:t>华电一号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 w:hRule="atLeast"/>
          <w:jc w:val="center"/>
        </w:trPr>
        <w:tc>
          <w:tcPr>
            <w:tcW w:w="1521" w:type="dxa"/>
            <w:gridSpan w:val="2"/>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主要负责人</w:t>
            </w:r>
          </w:p>
        </w:tc>
        <w:tc>
          <w:tcPr>
            <w:tcW w:w="2293" w:type="dxa"/>
            <w:vAlign w:val="center"/>
          </w:tcPr>
          <w:p>
            <w:pPr>
              <w:pStyle w:val="18"/>
              <w:snapToGrid w:val="0"/>
              <w:rPr>
                <w:rFonts w:ascii="Times New Roman" w:hAnsi="Times New Roman" w:eastAsia="仿宋_GB2312"/>
                <w:color w:val="auto"/>
                <w:sz w:val="21"/>
              </w:rPr>
            </w:pPr>
          </w:p>
        </w:tc>
        <w:tc>
          <w:tcPr>
            <w:tcW w:w="1748" w:type="dxa"/>
            <w:gridSpan w:val="4"/>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联系电话（手机）</w:t>
            </w:r>
          </w:p>
        </w:tc>
        <w:tc>
          <w:tcPr>
            <w:tcW w:w="3300" w:type="dxa"/>
            <w:gridSpan w:val="3"/>
            <w:vAlign w:val="center"/>
          </w:tcPr>
          <w:p>
            <w:pPr>
              <w:pStyle w:val="18"/>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21" w:type="dxa"/>
            <w:gridSpan w:val="2"/>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电子邮箱</w:t>
            </w:r>
          </w:p>
        </w:tc>
        <w:tc>
          <w:tcPr>
            <w:tcW w:w="2293" w:type="dxa"/>
            <w:vAlign w:val="center"/>
          </w:tcPr>
          <w:p>
            <w:pPr>
              <w:pStyle w:val="18"/>
              <w:snapToGrid w:val="0"/>
              <w:rPr>
                <w:rFonts w:ascii="Times New Roman" w:hAnsi="Times New Roman" w:eastAsia="仿宋_GB2312"/>
                <w:color w:val="auto"/>
                <w:sz w:val="21"/>
              </w:rPr>
            </w:pPr>
          </w:p>
        </w:tc>
        <w:tc>
          <w:tcPr>
            <w:tcW w:w="1748" w:type="dxa"/>
            <w:gridSpan w:val="4"/>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传   真</w:t>
            </w:r>
          </w:p>
        </w:tc>
        <w:tc>
          <w:tcPr>
            <w:tcW w:w="3300" w:type="dxa"/>
            <w:gridSpan w:val="3"/>
            <w:vAlign w:val="center"/>
          </w:tcPr>
          <w:p>
            <w:pPr>
              <w:pStyle w:val="18"/>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8862" w:type="dxa"/>
            <w:gridSpan w:val="10"/>
          </w:tcPr>
          <w:p>
            <w:pPr>
              <w:pStyle w:val="18"/>
              <w:snapToGrid w:val="0"/>
              <w:rPr>
                <w:rFonts w:ascii="Times New Roman" w:hAnsi="Times New Roman" w:eastAsia="仿宋_GB2312"/>
                <w:color w:val="auto"/>
                <w:sz w:val="21"/>
              </w:rPr>
            </w:pPr>
            <w:r>
              <w:rPr>
                <w:rFonts w:hint="eastAsia" w:ascii="黑体" w:hAnsi="黑体" w:eastAsia="黑体" w:cs="黑体"/>
                <w:color w:val="auto"/>
                <w:sz w:val="21"/>
              </w:rPr>
              <w:t>参与单位满足所属</w:t>
            </w:r>
            <w:r>
              <w:rPr>
                <w:rFonts w:hint="eastAsia" w:ascii="黑体" w:hAnsi="黑体" w:eastAsia="黑体" w:cs="黑体"/>
                <w:color w:val="auto"/>
                <w:sz w:val="21"/>
                <w:lang w:eastAsia="zh-CN"/>
              </w:rPr>
              <w:t>“一条龙”</w:t>
            </w:r>
            <w:r>
              <w:rPr>
                <w:rFonts w:hint="eastAsia" w:ascii="黑体" w:hAnsi="黑体" w:eastAsia="黑体" w:cs="黑体"/>
                <w:color w:val="auto"/>
                <w:sz w:val="21"/>
              </w:rPr>
              <w:t>环节供需概述</w:t>
            </w:r>
            <w:r>
              <w:rPr>
                <w:rFonts w:ascii="Times New Roman" w:hAnsi="Times New Roman" w:eastAsia="仿宋_GB2312"/>
                <w:color w:val="auto"/>
                <w:sz w:val="21"/>
              </w:rPr>
              <w:t>（包括</w:t>
            </w:r>
            <w:r>
              <w:rPr>
                <w:rFonts w:hint="eastAsia" w:ascii="Times New Roman" w:hAnsi="Times New Roman" w:eastAsia="仿宋_GB2312"/>
                <w:color w:val="auto"/>
                <w:sz w:val="21"/>
              </w:rPr>
              <w:t>：</w:t>
            </w:r>
          </w:p>
          <w:p>
            <w:pPr>
              <w:pStyle w:val="18"/>
              <w:numPr>
                <w:ilvl w:val="0"/>
                <w:numId w:val="9"/>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企业基本情况；</w:t>
            </w:r>
          </w:p>
          <w:p>
            <w:pPr>
              <w:pStyle w:val="18"/>
              <w:numPr>
                <w:ilvl w:val="0"/>
                <w:numId w:val="9"/>
              </w:numPr>
              <w:snapToGrid w:val="0"/>
              <w:ind w:firstLine="420" w:firstLineChars="200"/>
              <w:rPr>
                <w:rFonts w:ascii="Times New Roman" w:hAnsi="Times New Roman" w:eastAsia="仿宋_GB2312"/>
                <w:color w:val="auto"/>
                <w:sz w:val="21"/>
              </w:rPr>
            </w:pPr>
            <w:r>
              <w:rPr>
                <w:rFonts w:ascii="Times New Roman" w:hAnsi="Times New Roman" w:eastAsia="仿宋_GB2312"/>
                <w:color w:val="auto"/>
                <w:sz w:val="21"/>
              </w:rPr>
              <w:t>重点产品、工艺符合性质，与</w:t>
            </w:r>
            <w:r>
              <w:rPr>
                <w:rFonts w:hint="eastAsia" w:ascii="Times New Roman" w:hAnsi="Times New Roman" w:eastAsia="仿宋_GB2312"/>
                <w:color w:val="auto"/>
                <w:sz w:val="21"/>
                <w:lang w:eastAsia="zh-CN"/>
              </w:rPr>
              <w:t>“一条龙”</w:t>
            </w:r>
            <w:r>
              <w:rPr>
                <w:rFonts w:ascii="Times New Roman" w:hAnsi="Times New Roman" w:eastAsia="仿宋_GB2312"/>
                <w:color w:val="auto"/>
                <w:sz w:val="21"/>
              </w:rPr>
              <w:t>其他环节在产品、工艺上的直接关联性；</w:t>
            </w:r>
          </w:p>
          <w:p>
            <w:pPr>
              <w:pStyle w:val="18"/>
              <w:numPr>
                <w:ilvl w:val="0"/>
                <w:numId w:val="9"/>
              </w:numPr>
              <w:snapToGrid w:val="0"/>
              <w:ind w:firstLine="420" w:firstLineChars="200"/>
              <w:rPr>
                <w:rFonts w:ascii="Times New Roman" w:hAnsi="Times New Roman" w:eastAsia="仿宋_GB2312"/>
                <w:color w:val="auto"/>
                <w:sz w:val="21"/>
              </w:rPr>
            </w:pPr>
            <w:r>
              <w:rPr>
                <w:rFonts w:ascii="Times New Roman" w:hAnsi="Times New Roman" w:eastAsia="仿宋_GB2312"/>
                <w:color w:val="auto"/>
                <w:sz w:val="21"/>
              </w:rPr>
              <w:t>创新能力、产品技术和工艺水平领先情况；</w:t>
            </w:r>
          </w:p>
          <w:p>
            <w:pPr>
              <w:pStyle w:val="18"/>
              <w:numPr>
                <w:ilvl w:val="0"/>
                <w:numId w:val="9"/>
              </w:numPr>
              <w:snapToGrid w:val="0"/>
              <w:ind w:firstLine="420" w:firstLineChars="200"/>
              <w:rPr>
                <w:rFonts w:ascii="Times New Roman" w:hAnsi="Times New Roman" w:eastAsia="仿宋_GB2312"/>
                <w:color w:val="auto"/>
                <w:sz w:val="21"/>
              </w:rPr>
            </w:pPr>
            <w:r>
              <w:rPr>
                <w:rFonts w:ascii="Times New Roman" w:hAnsi="Times New Roman" w:eastAsia="仿宋_GB2312"/>
                <w:color w:val="auto"/>
                <w:sz w:val="21"/>
              </w:rPr>
              <w:t>对产业链上游的需求，以及对下游可提供的产品或服务；</w:t>
            </w:r>
            <w:r>
              <w:rPr>
                <w:rFonts w:hint="eastAsia" w:ascii="Times New Roman" w:hAnsi="Times New Roman" w:eastAsia="仿宋_GB2312"/>
                <w:color w:val="auto"/>
                <w:sz w:val="21"/>
              </w:rPr>
              <w:t>近年来企业产品和技术实际使用和应用情况；</w:t>
            </w:r>
          </w:p>
          <w:p>
            <w:pPr>
              <w:pStyle w:val="18"/>
              <w:numPr>
                <w:ilvl w:val="0"/>
                <w:numId w:val="9"/>
              </w:numPr>
              <w:snapToGrid w:val="0"/>
              <w:ind w:firstLine="420" w:firstLineChars="200"/>
              <w:rPr>
                <w:rFonts w:hint="eastAsia" w:ascii="Times New Roman" w:hAnsi="Times New Roman" w:eastAsia="仿宋_GB2312"/>
                <w:color w:val="auto"/>
                <w:sz w:val="21"/>
              </w:rPr>
            </w:pPr>
            <w:r>
              <w:rPr>
                <w:rFonts w:ascii="Times New Roman" w:hAnsi="Times New Roman" w:eastAsia="仿宋_GB2312"/>
                <w:color w:val="auto"/>
                <w:sz w:val="21"/>
              </w:rPr>
              <w:t>近三年经营业绩，遵纪守法情况，管理制度建设情况</w:t>
            </w:r>
            <w:r>
              <w:rPr>
                <w:rFonts w:hint="eastAsia" w:ascii="Times New Roman" w:hAnsi="Times New Roman" w:eastAsia="仿宋_GB2312"/>
                <w:color w:val="auto"/>
                <w:sz w:val="21"/>
              </w:rPr>
              <w:t>；并填列下表：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2014、2015、2016年企业情况</w:t>
            </w:r>
          </w:p>
          <w:tbl>
            <w:tblPr>
              <w:tblStyle w:val="10"/>
              <w:tblW w:w="5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技术</w:t>
                  </w: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研发投入占营收比例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当年申请专利数，截至年底累计授权专利数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市场</w:t>
                  </w: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细分领域市场份额、市场排名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财务</w:t>
                  </w: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年度营业收入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53" w:type="dxa"/>
                  <w:vMerge w:val="continue"/>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p>
              </w:tc>
              <w:tc>
                <w:tcPr>
                  <w:tcW w:w="4416"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年度净利润</w:t>
                  </w:r>
                </w:p>
              </w:tc>
            </w:tr>
          </w:tbl>
          <w:p>
            <w:pPr>
              <w:pStyle w:val="18"/>
              <w:numPr>
                <w:ilvl w:val="0"/>
                <w:numId w:val="0"/>
              </w:numPr>
              <w:snapToGrid w:val="0"/>
              <w:ind w:left="420" w:firstLine="360" w:firstLineChars="0"/>
              <w:rPr>
                <w:rFonts w:ascii="Times New Roman" w:hAnsi="Times New Roman" w:eastAsia="仿宋_GB2312"/>
                <w:color w:val="auto"/>
                <w:sz w:val="21"/>
              </w:rPr>
            </w:pPr>
          </w:p>
          <w:p>
            <w:pPr>
              <w:pStyle w:val="18"/>
              <w:numPr>
                <w:ilvl w:val="0"/>
                <w:numId w:val="9"/>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企业参与</w:t>
            </w:r>
            <w:r>
              <w:rPr>
                <w:rFonts w:hint="eastAsia" w:ascii="Times New Roman" w:hAnsi="Times New Roman" w:eastAsia="仿宋_GB2312"/>
                <w:color w:val="auto"/>
                <w:sz w:val="21"/>
                <w:lang w:eastAsia="zh-CN"/>
              </w:rPr>
              <w:t>“一条龙”</w:t>
            </w:r>
            <w:r>
              <w:rPr>
                <w:rFonts w:hint="eastAsia" w:ascii="Times New Roman" w:hAnsi="Times New Roman" w:eastAsia="仿宋_GB2312"/>
                <w:color w:val="auto"/>
                <w:sz w:val="21"/>
              </w:rPr>
              <w:t>应用计划的运行工作机制及措施；</w:t>
            </w:r>
          </w:p>
          <w:p>
            <w:pPr>
              <w:pStyle w:val="18"/>
              <w:numPr>
                <w:ilvl w:val="0"/>
                <w:numId w:val="9"/>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推荐的龙头企业、参与单位和示范工程；</w:t>
            </w:r>
          </w:p>
          <w:p>
            <w:pPr>
              <w:pStyle w:val="18"/>
              <w:numPr>
                <w:ilvl w:val="0"/>
                <w:numId w:val="9"/>
              </w:numPr>
              <w:snapToGrid w:val="0"/>
              <w:ind w:firstLine="420" w:firstLineChars="200"/>
              <w:rPr>
                <w:rFonts w:ascii="Times New Roman" w:hAnsi="Times New Roman" w:eastAsia="仿宋_GB2312"/>
                <w:color w:val="auto"/>
                <w:sz w:val="21"/>
              </w:rPr>
            </w:pPr>
            <w:r>
              <w:rPr>
                <w:rFonts w:hint="eastAsia" w:ascii="Times New Roman" w:hAnsi="Times New Roman" w:eastAsia="仿宋_GB2312"/>
                <w:color w:val="auto"/>
                <w:sz w:val="21"/>
              </w:rPr>
              <w:t>存在的问题和建议</w:t>
            </w:r>
            <w:r>
              <w:rPr>
                <w:rFonts w:ascii="Times New Roman" w:hAnsi="Times New Roman" w:eastAsia="仿宋_GB2312"/>
                <w:color w:val="auto"/>
                <w:sz w:val="21"/>
              </w:rPr>
              <w:t>等）。</w:t>
            </w:r>
          </w:p>
          <w:p>
            <w:pPr>
              <w:pStyle w:val="18"/>
              <w:snapToGrid w:val="0"/>
              <w:rPr>
                <w:rFonts w:ascii="Times New Roman" w:hAnsi="Times New Roman" w:eastAsia="仿宋_GB2312"/>
                <w:color w:val="auto"/>
                <w:sz w:val="21"/>
              </w:rPr>
            </w:pPr>
          </w:p>
          <w:p>
            <w:pPr>
              <w:pStyle w:val="18"/>
              <w:snapToGrid w:val="0"/>
              <w:rPr>
                <w:rFonts w:ascii="Times New Roman" w:hAnsi="Times New Roman" w:eastAsia="仿宋_GB2312"/>
                <w:color w:val="auto"/>
                <w:sz w:val="21"/>
              </w:rPr>
            </w:pPr>
          </w:p>
          <w:p>
            <w:pPr>
              <w:pStyle w:val="18"/>
              <w:snapToGrid w:val="0"/>
              <w:rPr>
                <w:rFonts w:ascii="Times New Roman" w:hAnsi="Times New Roman" w:eastAsia="仿宋_GB2312"/>
                <w:color w:val="auto"/>
                <w:sz w:val="21"/>
              </w:rPr>
            </w:pPr>
          </w:p>
          <w:p>
            <w:pPr>
              <w:pStyle w:val="18"/>
              <w:snapToGrid w:val="0"/>
              <w:rPr>
                <w:rFonts w:ascii="Times New Roman" w:hAnsi="Times New Roman" w:eastAsia="仿宋_GB2312"/>
                <w:color w:val="auto"/>
                <w:sz w:val="21"/>
              </w:rPr>
            </w:pPr>
          </w:p>
          <w:p>
            <w:pPr>
              <w:pStyle w:val="18"/>
              <w:snapToGrid w:val="0"/>
              <w:rPr>
                <w:rFonts w:ascii="Times New Roman" w:hAnsi="Times New Roman" w:eastAsia="仿宋_GB2312"/>
                <w:color w:val="auto"/>
                <w:sz w:val="21"/>
              </w:rPr>
            </w:pPr>
          </w:p>
          <w:p>
            <w:pPr>
              <w:pStyle w:val="18"/>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8862" w:type="dxa"/>
            <w:gridSpan w:val="10"/>
          </w:tcPr>
          <w:p>
            <w:pPr>
              <w:pStyle w:val="18"/>
              <w:snapToGrid w:val="0"/>
              <w:rPr>
                <w:rFonts w:ascii="Times New Roman" w:hAnsi="Times New Roman" w:eastAsia="仿宋_GB2312"/>
                <w:color w:val="auto"/>
                <w:sz w:val="21"/>
              </w:rPr>
            </w:pPr>
            <w:r>
              <w:rPr>
                <w:rFonts w:hint="eastAsia" w:ascii="黑体" w:hAnsi="黑体" w:eastAsia="黑体" w:cs="黑体"/>
                <w:color w:val="auto"/>
                <w:sz w:val="21"/>
              </w:rPr>
              <w:t>项目基本情况</w:t>
            </w:r>
            <w:r>
              <w:rPr>
                <w:rFonts w:hint="eastAsia" w:ascii="Times New Roman" w:hAnsi="Times New Roman" w:eastAsia="仿宋_GB2312"/>
                <w:color w:val="auto"/>
                <w:sz w:val="21"/>
              </w:rPr>
              <w:t>（总投资、主要建设内容、预期效果等）；并填列下表：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项目</w:t>
            </w:r>
            <w:bookmarkStart w:id="1" w:name="_GoBack"/>
            <w:bookmarkEnd w:id="1"/>
            <w:r>
              <w:rPr>
                <w:rFonts w:hint="eastAsia" w:ascii="黑体" w:hAnsi="黑体" w:eastAsia="黑体" w:cs="黑体"/>
                <w:b/>
                <w:bCs/>
                <w:sz w:val="21"/>
                <w:szCs w:val="21"/>
                <w:lang w:val="en-US" w:eastAsia="zh-CN"/>
              </w:rPr>
              <w:t>目前情况</w:t>
            </w:r>
          </w:p>
          <w:tbl>
            <w:tblPr>
              <w:tblStyle w:val="10"/>
              <w:tblW w:w="5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05"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项目成熟度</w:t>
                  </w:r>
                </w:p>
              </w:tc>
              <w:tc>
                <w:tcPr>
                  <w:tcW w:w="4064"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是否已经完成可研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05"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项目总投资</w:t>
                  </w:r>
                </w:p>
              </w:tc>
              <w:tc>
                <w:tcPr>
                  <w:tcW w:w="4064"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总投资额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05"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项目资本金</w:t>
                  </w:r>
                </w:p>
              </w:tc>
              <w:tc>
                <w:tcPr>
                  <w:tcW w:w="4064" w:type="dxa"/>
                  <w:vAlign w:val="top"/>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项目资本金额度</w:t>
                  </w:r>
                </w:p>
              </w:tc>
            </w:tr>
          </w:tbl>
          <w:p>
            <w:pPr>
              <w:pStyle w:val="18"/>
              <w:snapToGrid w:val="0"/>
              <w:rPr>
                <w:rFonts w:ascii="Times New Roman" w:hAnsi="Times New Roman" w:eastAsia="仿宋_GB2312"/>
                <w:color w:val="auto"/>
                <w:sz w:val="21"/>
              </w:rPr>
            </w:pPr>
          </w:p>
          <w:p>
            <w:pPr>
              <w:pStyle w:val="18"/>
              <w:snapToGrid w:val="0"/>
              <w:rPr>
                <w:rFonts w:ascii="Times New Roman" w:hAnsi="Times New Roman" w:eastAsia="仿宋_GB2312"/>
                <w:color w:val="auto"/>
                <w:sz w:val="21"/>
              </w:rPr>
            </w:pPr>
          </w:p>
          <w:p>
            <w:pPr>
              <w:pStyle w:val="18"/>
              <w:snapToGrid w:val="0"/>
              <w:rPr>
                <w:rFonts w:ascii="Times New Roman" w:hAnsi="Times New Roman" w:eastAsia="仿宋_GB2312"/>
                <w:color w:val="auto"/>
                <w:sz w:val="21"/>
              </w:rPr>
            </w:pPr>
          </w:p>
          <w:p>
            <w:pPr>
              <w:pStyle w:val="18"/>
              <w:snapToGrid w:val="0"/>
              <w:rPr>
                <w:rFonts w:ascii="Times New Roman" w:hAnsi="Times New Roman" w:eastAsia="仿宋_GB2312"/>
                <w:color w:val="auto"/>
                <w:sz w:val="21"/>
              </w:rPr>
            </w:pPr>
          </w:p>
          <w:p>
            <w:pPr>
              <w:pStyle w:val="18"/>
              <w:snapToGrid w:val="0"/>
              <w:rPr>
                <w:rFonts w:ascii="Times New Roman" w:hAnsi="Times New Roman" w:eastAsia="仿宋_GB2312"/>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454" w:type="dxa"/>
            <w:vAlign w:val="center"/>
          </w:tcPr>
          <w:p>
            <w:pPr>
              <w:pStyle w:val="18"/>
              <w:snapToGrid w:val="0"/>
              <w:jc w:val="center"/>
              <w:rPr>
                <w:rFonts w:ascii="Times New Roman" w:hAnsi="Times New Roman" w:eastAsia="黑体"/>
                <w:color w:val="auto"/>
                <w:sz w:val="21"/>
              </w:rPr>
            </w:pPr>
            <w:r>
              <w:rPr>
                <w:rFonts w:ascii="Times New Roman" w:hAnsi="Times New Roman" w:eastAsia="黑体"/>
                <w:color w:val="auto"/>
                <w:sz w:val="21"/>
              </w:rPr>
              <w:t>参与单位</w:t>
            </w:r>
          </w:p>
          <w:p>
            <w:pPr>
              <w:pStyle w:val="18"/>
              <w:snapToGrid w:val="0"/>
              <w:jc w:val="center"/>
              <w:rPr>
                <w:rFonts w:ascii="黑体" w:hAnsi="黑体" w:eastAsia="黑体" w:cs="黑体"/>
                <w:color w:val="auto"/>
                <w:sz w:val="21"/>
              </w:rPr>
            </w:pPr>
            <w:r>
              <w:rPr>
                <w:rFonts w:ascii="Times New Roman" w:hAnsi="Times New Roman" w:eastAsia="黑体"/>
                <w:color w:val="auto"/>
                <w:sz w:val="21"/>
              </w:rPr>
              <w:t>自评意见</w:t>
            </w:r>
          </w:p>
        </w:tc>
        <w:tc>
          <w:tcPr>
            <w:tcW w:w="7408" w:type="dxa"/>
            <w:gridSpan w:val="9"/>
            <w:vAlign w:val="center"/>
          </w:tcPr>
          <w:p>
            <w:pPr>
              <w:pStyle w:val="18"/>
              <w:snapToGrid w:val="0"/>
              <w:rPr>
                <w:rFonts w:ascii="Times New Roman" w:hAnsi="Times New Roman"/>
                <w:color w:val="auto"/>
                <w:sz w:val="21"/>
              </w:rPr>
            </w:pPr>
          </w:p>
          <w:p>
            <w:pPr>
              <w:pStyle w:val="18"/>
              <w:snapToGrid w:val="0"/>
              <w:rPr>
                <w:rFonts w:ascii="Times New Roman" w:hAnsi="Times New Roman"/>
                <w:color w:val="auto"/>
                <w:sz w:val="21"/>
              </w:rPr>
            </w:pPr>
            <w:r>
              <w:rPr>
                <w:rFonts w:hint="eastAsia" w:ascii="Times New Roman" w:hAnsi="Times New Roman"/>
                <w:color w:val="auto"/>
                <w:sz w:val="21"/>
              </w:rPr>
              <w:t>本单位承诺申报内容真实有效。</w:t>
            </w:r>
          </w:p>
          <w:p>
            <w:pPr>
              <w:pStyle w:val="18"/>
              <w:snapToGrid w:val="0"/>
              <w:rPr>
                <w:rFonts w:ascii="Times New Roman" w:hAnsi="Times New Roman"/>
                <w:color w:val="auto"/>
                <w:sz w:val="21"/>
              </w:rPr>
            </w:pPr>
          </w:p>
          <w:p>
            <w:pPr>
              <w:pStyle w:val="18"/>
              <w:snapToGrid w:val="0"/>
              <w:rPr>
                <w:rFonts w:ascii="Times New Roman" w:hAnsi="Times New Roman" w:eastAsia="仿宋_GB2312"/>
                <w:color w:val="auto"/>
                <w:sz w:val="21"/>
              </w:rPr>
            </w:pPr>
            <w:r>
              <w:rPr>
                <w:rFonts w:ascii="Times New Roman" w:hAnsi="Times New Roman" w:eastAsia="仿宋_GB2312"/>
                <w:color w:val="auto"/>
                <w:sz w:val="21"/>
              </w:rPr>
              <w:t xml:space="preserve">                  法定代表人（签字）</w:t>
            </w:r>
            <w:r>
              <w:rPr>
                <w:rFonts w:hint="eastAsia" w:ascii="Times New Roman" w:hAnsi="Times New Roman" w:eastAsia="仿宋_GB2312"/>
                <w:color w:val="auto"/>
                <w:sz w:val="21"/>
              </w:rPr>
              <w:t>：</w:t>
            </w:r>
            <w:r>
              <w:rPr>
                <w:rFonts w:ascii="Times New Roman" w:hAnsi="Times New Roman" w:eastAsia="仿宋_GB2312"/>
                <w:color w:val="auto"/>
                <w:sz w:val="21"/>
              </w:rPr>
              <w:t xml:space="preserve">   （盖章）</w:t>
            </w:r>
          </w:p>
          <w:p>
            <w:pPr>
              <w:pStyle w:val="18"/>
              <w:snapToGrid w:val="0"/>
            </w:pPr>
            <w:r>
              <w:rPr>
                <w:rFonts w:ascii="Times New Roman" w:hAnsi="Times New Roman" w:eastAsia="仿宋_GB2312"/>
                <w:color w:val="auto"/>
                <w:sz w:val="21"/>
              </w:rPr>
              <w:t xml:space="preserve">                                            年   月   日</w:t>
            </w:r>
          </w:p>
        </w:tc>
      </w:tr>
    </w:tbl>
    <w:p>
      <w:pPr>
        <w:spacing w:line="400" w:lineRule="exact"/>
        <w:ind w:left="420" w:leftChars="200"/>
        <w:rPr>
          <w:rFonts w:ascii="仿宋_GB2312" w:hAnsi="仿宋_GB2312" w:eastAsia="仿宋_GB2312" w:cs="仿宋_GB2312"/>
          <w:sz w:val="28"/>
          <w:szCs w:val="28"/>
        </w:rPr>
      </w:pPr>
    </w:p>
    <w:sectPr>
      <w:footerReference r:id="rId5" w:type="default"/>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altName w:val="Shruti"/>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Century Gothic">
    <w:panose1 w:val="020B0502020202020204"/>
    <w:charset w:val="00"/>
    <w:family w:val="decorative"/>
    <w:pitch w:val="default"/>
    <w:sig w:usb0="00000287" w:usb1="00000000" w:usb2="00000000" w:usb3="00000000" w:csb0="2000009F" w:csb1="DFD70000"/>
  </w:font>
  <w:font w:name="Cambria">
    <w:altName w:val="Shruti"/>
    <w:panose1 w:val="02040503050406030204"/>
    <w:charset w:val="00"/>
    <w:family w:val="swiss"/>
    <w:pitch w:val="default"/>
    <w:sig w:usb0="00000000" w:usb1="00000000" w:usb2="00000000" w:usb3="00000000" w:csb0="0000019F" w:csb1="00000000"/>
  </w:font>
  <w:font w:name="Calibri">
    <w:altName w:val="Century Gothic"/>
    <w:panose1 w:val="020F0502020204030204"/>
    <w:charset w:val="00"/>
    <w:family w:val="roman"/>
    <w:pitch w:val="default"/>
    <w:sig w:usb0="00000000" w:usb1="00000000" w:usb2="00000001" w:usb3="00000000" w:csb0="0000019F" w:csb1="00000000"/>
  </w:font>
  <w:font w:name="Century Gothic">
    <w:panose1 w:val="020B0502020202020204"/>
    <w:charset w:val="00"/>
    <w:family w:val="roman"/>
    <w:pitch w:val="default"/>
    <w:sig w:usb0="00000287" w:usb1="00000000" w:usb2="00000000" w:usb3="00000000" w:csb0="2000009F" w:csb1="DFD70000"/>
  </w:font>
  <w:font w:name="Cambria">
    <w:altName w:val="Shruti"/>
    <w:panose1 w:val="02040503050406030204"/>
    <w:charset w:val="00"/>
    <w:family w:val="decorative"/>
    <w:pitch w:val="default"/>
    <w:sig w:usb0="00000000" w:usb1="00000000" w:usb2="00000000" w:usb3="00000000" w:csb0="0000019F" w:csb1="00000000"/>
  </w:font>
  <w:font w:name="Calibri">
    <w:altName w:val="Century Gothic"/>
    <w:panose1 w:val="020F0502020204030204"/>
    <w:charset w:val="00"/>
    <w:family w:val="modern"/>
    <w:pitch w:val="default"/>
    <w:sig w:usb0="00000000" w:usb1="00000000" w:usb2="00000001" w:usb3="00000000" w:csb0="0000019F" w:csb1="00000000"/>
  </w:font>
  <w:font w:name="Century Gothic">
    <w:panose1 w:val="020B0502020202020204"/>
    <w:charset w:val="00"/>
    <w:family w:val="modern"/>
    <w:pitch w:val="default"/>
    <w:sig w:usb0="00000287" w:usb1="00000000" w:usb2="00000000" w:usb3="00000000" w:csb0="2000009F" w:csb1="DFD7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Sylfaen">
    <w:panose1 w:val="010A0502050306030303"/>
    <w:charset w:val="00"/>
    <w:family w:val="modern"/>
    <w:pitch w:val="default"/>
    <w:sig w:usb0="04000687" w:usb1="00000000" w:usb2="00000000" w:usb3="00000000" w:csb0="2000009F" w:csb1="00000000"/>
  </w:font>
  <w:font w:name="Arial">
    <w:panose1 w:val="020B0604020202020204"/>
    <w:charset w:val="00"/>
    <w:family w:val="auto"/>
    <w:pitch w:val="default"/>
    <w:sig w:usb0="00007A87" w:usb1="80000000" w:usb2="00000008" w:usb3="00000000" w:csb0="400001FF" w:csb1="FFFF0000"/>
  </w:font>
  <w:font w:name="Shruti">
    <w:panose1 w:val="02000500000000000000"/>
    <w:charset w:val="00"/>
    <w:family w:val="modern"/>
    <w:pitch w:val="default"/>
    <w:sig w:usb0="00040000" w:usb1="00000000" w:usb2="00000000" w:usb3="00000000" w:csb0="00000000" w:csb1="00000000"/>
  </w:font>
  <w:font w:name="黑体">
    <w:panose1 w:val="02010600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Sylfaen">
    <w:panose1 w:val="010A0502050306030303"/>
    <w:charset w:val="00"/>
    <w:family w:val="swiss"/>
    <w:pitch w:val="default"/>
    <w:sig w:usb0="04000687" w:usb1="00000000" w:usb2="00000000" w:usb3="00000000" w:csb0="2000009F" w:csb1="00000000"/>
  </w:font>
  <w:font w:name="Shruti">
    <w:panose1 w:val="02000500000000000000"/>
    <w:charset w:val="00"/>
    <w:family w:val="swiss"/>
    <w:pitch w:val="default"/>
    <w:sig w:usb0="00040000" w:usb1="00000000" w:usb2="00000000" w:usb3="00000000" w:csb0="00000000" w:csb1="00000000"/>
  </w:font>
  <w:font w:name="黑体">
    <w:panose1 w:val="02010600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Sylfaen">
    <w:panose1 w:val="010A0502050306030303"/>
    <w:charset w:val="00"/>
    <w:family w:val="decorative"/>
    <w:pitch w:val="default"/>
    <w:sig w:usb0="04000687" w:usb1="00000000" w:usb2="00000000" w:usb3="00000000" w:csb0="2000009F" w:csb1="00000000"/>
  </w:font>
  <w:font w:name="Shruti">
    <w:panose1 w:val="02000500000000000000"/>
    <w:charset w:val="00"/>
    <w:family w:val="decorative"/>
    <w:pitch w:val="default"/>
    <w:sig w:usb0="00040000" w:usb1="00000000" w:usb2="00000000" w:usb3="00000000" w:csb0="00000000" w:csb1="00000000"/>
  </w:font>
  <w:font w:name="黑体">
    <w:panose1 w:val="02010600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ylfaen">
    <w:panose1 w:val="010A0502050306030303"/>
    <w:charset w:val="00"/>
    <w:family w:val="roman"/>
    <w:pitch w:val="default"/>
    <w:sig w:usb0="04000687" w:usb1="00000000" w:usb2="00000000" w:usb3="00000000" w:csb0="2000009F" w:csb1="00000000"/>
  </w:font>
  <w:font w:name="Shruti">
    <w:panose1 w:val="02000500000000000000"/>
    <w:charset w:val="00"/>
    <w:family w:val="roman"/>
    <w:pitch w:val="default"/>
    <w:sig w:usb0="0004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仿宋">
    <w:panose1 w:val="02010600040101010101"/>
    <w:charset w:val="50"/>
    <w:family w:val="auto"/>
    <w:pitch w:val="default"/>
    <w:sig w:usb0="00000287" w:usb1="080F0000" w:usb2="00000000" w:usb3="00000000" w:csb0="0004009F" w:csb1="DFD70000"/>
  </w:font>
  <w:font w:name="仿宋">
    <w:altName w:val="仿宋_GB2312"/>
    <w:panose1 w:val="02010609060101010101"/>
    <w:charset w:val="86"/>
    <w:family w:val="swiss"/>
    <w:pitch w:val="default"/>
    <w:sig w:usb0="00000000" w:usb1="00000000" w:usb2="00000016"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roma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仿宋">
    <w:altName w:val="仿宋_GB2312"/>
    <w:panose1 w:val="02010609060101010101"/>
    <w:charset w:val="86"/>
    <w:family w:val="decorative"/>
    <w:pitch w:val="default"/>
    <w:sig w:usb0="00000000" w:usb1="00000000" w:usb2="00000016" w:usb3="00000000" w:csb0="00040001" w:csb1="00000000"/>
  </w:font>
  <w:font w:name="Lucida Sans Unicode">
    <w:panose1 w:val="020B0602030504020204"/>
    <w:charset w:val="00"/>
    <w:family w:val="roman"/>
    <w:pitch w:val="default"/>
    <w:sig w:usb0="80001AFF" w:usb1="0000396B" w:usb2="00000000" w:usb3="00000000" w:csb0="0000003F" w:csb1="D7F70000"/>
  </w:font>
  <w:font w:name="Lucida Sans Unicode">
    <w:panose1 w:val="020B0602030504020204"/>
    <w:charset w:val="00"/>
    <w:family w:val="modern"/>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西文正文">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roma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
    <w:altName w:val="楷体_GB2312"/>
    <w:panose1 w:val="02010609060101010101"/>
    <w:charset w:val="86"/>
    <w:family w:val="swiss"/>
    <w:pitch w:val="default"/>
    <w:sig w:usb0="00000000" w:usb1="00000000" w:usb2="00000016" w:usb3="00000000" w:csb0="00040001" w:csb1="00000000"/>
  </w:font>
  <w:font w:name="楷体">
    <w:altName w:val="楷体_GB2312"/>
    <w:panose1 w:val="02010609060101010101"/>
    <w:charset w:val="86"/>
    <w:family w:val="decorative"/>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Quad Arrow 1026"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Quad Arrow 1028" o:spid="_x0000_s409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Quad Arrow 1027" o:spid="_x0000_s4099"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2</w:t>
                </w:r>
                <w:r>
                  <w:fldChar w:fldCharType="end"/>
                </w:r>
              </w:p>
              <w:p>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1771091">
    <w:nsid w:val="59833553"/>
    <w:multiLevelType w:val="singleLevel"/>
    <w:tmpl w:val="59833553"/>
    <w:lvl w:ilvl="0" w:tentative="1">
      <w:start w:val="1"/>
      <w:numFmt w:val="decimal"/>
      <w:suff w:val="nothing"/>
      <w:lvlText w:val="（%1）"/>
      <w:lvlJc w:val="left"/>
    </w:lvl>
  </w:abstractNum>
  <w:abstractNum w:abstractNumId="1501513160">
    <w:nsid w:val="597F45C8"/>
    <w:multiLevelType w:val="singleLevel"/>
    <w:tmpl w:val="597F45C8"/>
    <w:lvl w:ilvl="0" w:tentative="1">
      <w:start w:val="1"/>
      <w:numFmt w:val="chineseCounting"/>
      <w:suff w:val="nothing"/>
      <w:lvlText w:val="（%1）"/>
      <w:lvlJc w:val="left"/>
      <w:pPr>
        <w:ind w:left="0" w:firstLine="420"/>
      </w:pPr>
      <w:rPr>
        <w:rFonts w:hint="eastAsia"/>
      </w:rPr>
    </w:lvl>
  </w:abstractNum>
  <w:abstractNum w:abstractNumId="10">
    <w:nsid w:val="0000000A"/>
    <w:multiLevelType w:val="singleLevel"/>
    <w:tmpl w:val="0000000A"/>
    <w:lvl w:ilvl="0" w:tentative="1">
      <w:start w:val="1"/>
      <w:numFmt w:val="chineseCounting"/>
      <w:suff w:val="nothing"/>
      <w:lvlText w:val="%1、"/>
      <w:lvlJc w:val="left"/>
    </w:lvl>
  </w:abstractNum>
  <w:abstractNum w:abstractNumId="1501768089">
    <w:nsid w:val="59832999"/>
    <w:multiLevelType w:val="singleLevel"/>
    <w:tmpl w:val="59832999"/>
    <w:lvl w:ilvl="0" w:tentative="1">
      <w:start w:val="1"/>
      <w:numFmt w:val="decimal"/>
      <w:suff w:val="nothing"/>
      <w:lvlText w:val="（%1）"/>
      <w:lvlJc w:val="left"/>
    </w:lvl>
  </w:abstractNum>
  <w:abstractNum w:abstractNumId="1501767409">
    <w:nsid w:val="598326F1"/>
    <w:multiLevelType w:val="singleLevel"/>
    <w:tmpl w:val="598326F1"/>
    <w:lvl w:ilvl="0" w:tentative="1">
      <w:start w:val="1"/>
      <w:numFmt w:val="decimal"/>
      <w:suff w:val="nothing"/>
      <w:lvlText w:val="（%1）"/>
      <w:lvlJc w:val="left"/>
    </w:lvl>
  </w:abstractNum>
  <w:abstractNum w:abstractNumId="1501515486">
    <w:nsid w:val="597F4EDE"/>
    <w:multiLevelType w:val="singleLevel"/>
    <w:tmpl w:val="597F4EDE"/>
    <w:lvl w:ilvl="0" w:tentative="1">
      <w:start w:val="1"/>
      <w:numFmt w:val="decimal"/>
      <w:suff w:val="nothing"/>
      <w:lvlText w:val="%1."/>
      <w:lvlJc w:val="left"/>
    </w:lvl>
  </w:abstractNum>
  <w:abstractNum w:abstractNumId="1501773592">
    <w:nsid w:val="59833F18"/>
    <w:multiLevelType w:val="singleLevel"/>
    <w:tmpl w:val="59833F18"/>
    <w:lvl w:ilvl="0" w:tentative="1">
      <w:start w:val="1"/>
      <w:numFmt w:val="decimal"/>
      <w:suff w:val="nothing"/>
      <w:lvlText w:val="（%1）"/>
      <w:lvlJc w:val="left"/>
    </w:lvl>
  </w:abstractNum>
  <w:abstractNum w:abstractNumId="1501774620">
    <w:nsid w:val="5983431C"/>
    <w:multiLevelType w:val="singleLevel"/>
    <w:tmpl w:val="5983431C"/>
    <w:lvl w:ilvl="0" w:tentative="1">
      <w:start w:val="1"/>
      <w:numFmt w:val="decimal"/>
      <w:suff w:val="nothing"/>
      <w:lvlText w:val="（%1）"/>
      <w:lvlJc w:val="left"/>
    </w:lvl>
  </w:abstractNum>
  <w:abstractNum w:abstractNumId="1501772189">
    <w:nsid w:val="5983399D"/>
    <w:multiLevelType w:val="singleLevel"/>
    <w:tmpl w:val="5983399D"/>
    <w:lvl w:ilvl="0" w:tentative="1">
      <w:start w:val="1"/>
      <w:numFmt w:val="decimal"/>
      <w:suff w:val="nothing"/>
      <w:lvlText w:val="（%1）"/>
      <w:lvlJc w:val="left"/>
    </w:lvl>
  </w:abstractNum>
  <w:num w:numId="1">
    <w:abstractNumId w:val="10"/>
  </w:num>
  <w:num w:numId="2">
    <w:abstractNumId w:val="1501513160"/>
  </w:num>
  <w:num w:numId="3">
    <w:abstractNumId w:val="1501768089"/>
  </w:num>
  <w:num w:numId="4">
    <w:abstractNumId w:val="1501767409"/>
  </w:num>
  <w:num w:numId="5">
    <w:abstractNumId w:val="1501771091"/>
  </w:num>
  <w:num w:numId="6">
    <w:abstractNumId w:val="1501772189"/>
  </w:num>
  <w:num w:numId="7">
    <w:abstractNumId w:val="1501773592"/>
  </w:num>
  <w:num w:numId="8">
    <w:abstractNumId w:val="1501774620"/>
  </w:num>
  <w:num w:numId="9">
    <w:abstractNumId w:val="15015154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dit="trackedChanges"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E4357"/>
    <w:rsid w:val="00121235"/>
    <w:rsid w:val="00140224"/>
    <w:rsid w:val="00172A27"/>
    <w:rsid w:val="00211F0D"/>
    <w:rsid w:val="002834CE"/>
    <w:rsid w:val="00333B42"/>
    <w:rsid w:val="00344528"/>
    <w:rsid w:val="003E51A6"/>
    <w:rsid w:val="004B64A7"/>
    <w:rsid w:val="004F22CA"/>
    <w:rsid w:val="00526631"/>
    <w:rsid w:val="00547E96"/>
    <w:rsid w:val="00651B3E"/>
    <w:rsid w:val="00694FD0"/>
    <w:rsid w:val="006F265A"/>
    <w:rsid w:val="007341AE"/>
    <w:rsid w:val="007E113A"/>
    <w:rsid w:val="007E37CF"/>
    <w:rsid w:val="007F3736"/>
    <w:rsid w:val="00826A53"/>
    <w:rsid w:val="00881A73"/>
    <w:rsid w:val="008A1B61"/>
    <w:rsid w:val="008D2DF8"/>
    <w:rsid w:val="00904D0D"/>
    <w:rsid w:val="009B4347"/>
    <w:rsid w:val="009D4B04"/>
    <w:rsid w:val="00A81BF2"/>
    <w:rsid w:val="00A9540D"/>
    <w:rsid w:val="00B57B36"/>
    <w:rsid w:val="00BE1CA4"/>
    <w:rsid w:val="00BF488B"/>
    <w:rsid w:val="00C233F2"/>
    <w:rsid w:val="00C37C1B"/>
    <w:rsid w:val="00C93AC7"/>
    <w:rsid w:val="00CB03AB"/>
    <w:rsid w:val="00CD1D8C"/>
    <w:rsid w:val="00D863E7"/>
    <w:rsid w:val="00DF2B5A"/>
    <w:rsid w:val="00EC11DB"/>
    <w:rsid w:val="00F07FA0"/>
    <w:rsid w:val="00F10D62"/>
    <w:rsid w:val="00F12131"/>
    <w:rsid w:val="00F22119"/>
    <w:rsid w:val="00F5010E"/>
    <w:rsid w:val="00FB32C5"/>
    <w:rsid w:val="00FD4A5A"/>
    <w:rsid w:val="010121B4"/>
    <w:rsid w:val="011E451E"/>
    <w:rsid w:val="015064FA"/>
    <w:rsid w:val="02063FE0"/>
    <w:rsid w:val="026929FF"/>
    <w:rsid w:val="028F06C1"/>
    <w:rsid w:val="03070E22"/>
    <w:rsid w:val="0314091A"/>
    <w:rsid w:val="032B053F"/>
    <w:rsid w:val="03564C06"/>
    <w:rsid w:val="03650F80"/>
    <w:rsid w:val="0379612C"/>
    <w:rsid w:val="03D07BCF"/>
    <w:rsid w:val="03EC6E29"/>
    <w:rsid w:val="04743480"/>
    <w:rsid w:val="04846952"/>
    <w:rsid w:val="04960E16"/>
    <w:rsid w:val="049C2D1F"/>
    <w:rsid w:val="04A57DAB"/>
    <w:rsid w:val="04AD7E25"/>
    <w:rsid w:val="04B270C1"/>
    <w:rsid w:val="04CD7DE7"/>
    <w:rsid w:val="04EA7426"/>
    <w:rsid w:val="05700779"/>
    <w:rsid w:val="05806815"/>
    <w:rsid w:val="058A4BA6"/>
    <w:rsid w:val="05953EBD"/>
    <w:rsid w:val="05965E3C"/>
    <w:rsid w:val="06545C8B"/>
    <w:rsid w:val="06D335B3"/>
    <w:rsid w:val="07485E01"/>
    <w:rsid w:val="075E1997"/>
    <w:rsid w:val="075F590D"/>
    <w:rsid w:val="08055F53"/>
    <w:rsid w:val="0809043D"/>
    <w:rsid w:val="08227F36"/>
    <w:rsid w:val="086C26E0"/>
    <w:rsid w:val="087D2EC1"/>
    <w:rsid w:val="08F04EB8"/>
    <w:rsid w:val="08FA104A"/>
    <w:rsid w:val="099D0853"/>
    <w:rsid w:val="0A2F7140"/>
    <w:rsid w:val="0A476A44"/>
    <w:rsid w:val="0ABA568F"/>
    <w:rsid w:val="0B380B43"/>
    <w:rsid w:val="0B39050A"/>
    <w:rsid w:val="0B724FCA"/>
    <w:rsid w:val="0C3820AC"/>
    <w:rsid w:val="0C3D5924"/>
    <w:rsid w:val="0CA04344"/>
    <w:rsid w:val="0CA77552"/>
    <w:rsid w:val="0CEB55C3"/>
    <w:rsid w:val="0D0343E8"/>
    <w:rsid w:val="0D0F50D2"/>
    <w:rsid w:val="0D177805"/>
    <w:rsid w:val="0D3C487A"/>
    <w:rsid w:val="0D631E83"/>
    <w:rsid w:val="0D6B5995"/>
    <w:rsid w:val="0E2A10A5"/>
    <w:rsid w:val="0E495C94"/>
    <w:rsid w:val="0FD41C88"/>
    <w:rsid w:val="0FDD1292"/>
    <w:rsid w:val="10655CF3"/>
    <w:rsid w:val="11146D91"/>
    <w:rsid w:val="11723444"/>
    <w:rsid w:val="11C860D0"/>
    <w:rsid w:val="11F62C07"/>
    <w:rsid w:val="120C3155"/>
    <w:rsid w:val="121C6FC0"/>
    <w:rsid w:val="1222607D"/>
    <w:rsid w:val="12711FAC"/>
    <w:rsid w:val="12B02035"/>
    <w:rsid w:val="12B620EE"/>
    <w:rsid w:val="12BC3045"/>
    <w:rsid w:val="12D83B22"/>
    <w:rsid w:val="12F066A2"/>
    <w:rsid w:val="13213D82"/>
    <w:rsid w:val="13737B75"/>
    <w:rsid w:val="137A0837"/>
    <w:rsid w:val="138A779A"/>
    <w:rsid w:val="13977132"/>
    <w:rsid w:val="14BE2452"/>
    <w:rsid w:val="150F669C"/>
    <w:rsid w:val="156C31B3"/>
    <w:rsid w:val="15D43E5C"/>
    <w:rsid w:val="15DC09C2"/>
    <w:rsid w:val="163D7BDE"/>
    <w:rsid w:val="16920D97"/>
    <w:rsid w:val="16F83FBE"/>
    <w:rsid w:val="17065C2D"/>
    <w:rsid w:val="17527AB4"/>
    <w:rsid w:val="17A42783"/>
    <w:rsid w:val="183304C3"/>
    <w:rsid w:val="18496DE3"/>
    <w:rsid w:val="18A93985"/>
    <w:rsid w:val="18D819EE"/>
    <w:rsid w:val="18F61B8D"/>
    <w:rsid w:val="196B3A43"/>
    <w:rsid w:val="19CA019A"/>
    <w:rsid w:val="1A1B2562"/>
    <w:rsid w:val="1A736F59"/>
    <w:rsid w:val="1AC9039E"/>
    <w:rsid w:val="1B142779"/>
    <w:rsid w:val="1B2A271F"/>
    <w:rsid w:val="1B6C0836"/>
    <w:rsid w:val="1BAC19F3"/>
    <w:rsid w:val="1BB81089"/>
    <w:rsid w:val="1BBF7DBD"/>
    <w:rsid w:val="1C197E29"/>
    <w:rsid w:val="1C1E42B1"/>
    <w:rsid w:val="1C29379F"/>
    <w:rsid w:val="1C4508ED"/>
    <w:rsid w:val="1C860B15"/>
    <w:rsid w:val="1CA6768D"/>
    <w:rsid w:val="1CB96E84"/>
    <w:rsid w:val="1CF91663"/>
    <w:rsid w:val="1D3E4388"/>
    <w:rsid w:val="1D6229EC"/>
    <w:rsid w:val="1D804DF1"/>
    <w:rsid w:val="1D954D97"/>
    <w:rsid w:val="1E3A2A9D"/>
    <w:rsid w:val="1E422931"/>
    <w:rsid w:val="1E6C3269"/>
    <w:rsid w:val="1E8F4FAF"/>
    <w:rsid w:val="1EB63906"/>
    <w:rsid w:val="1EE802F9"/>
    <w:rsid w:val="1F073974"/>
    <w:rsid w:val="1F1E2EEA"/>
    <w:rsid w:val="1F5C488F"/>
    <w:rsid w:val="1F7D3948"/>
    <w:rsid w:val="1FD430C8"/>
    <w:rsid w:val="20024E90"/>
    <w:rsid w:val="208244E5"/>
    <w:rsid w:val="20AE2044"/>
    <w:rsid w:val="20CE32DF"/>
    <w:rsid w:val="20E639C5"/>
    <w:rsid w:val="20F364CC"/>
    <w:rsid w:val="20F71B71"/>
    <w:rsid w:val="21253A8B"/>
    <w:rsid w:val="215B0CC1"/>
    <w:rsid w:val="21DB7AB1"/>
    <w:rsid w:val="21DC4D22"/>
    <w:rsid w:val="220457E0"/>
    <w:rsid w:val="220F598B"/>
    <w:rsid w:val="22783B2C"/>
    <w:rsid w:val="227F6529"/>
    <w:rsid w:val="229A12D1"/>
    <w:rsid w:val="22C9621E"/>
    <w:rsid w:val="230F137F"/>
    <w:rsid w:val="23443CE8"/>
    <w:rsid w:val="23FC3497"/>
    <w:rsid w:val="240750AB"/>
    <w:rsid w:val="245B5A29"/>
    <w:rsid w:val="24683E4B"/>
    <w:rsid w:val="252C2F32"/>
    <w:rsid w:val="256F3B49"/>
    <w:rsid w:val="2615738A"/>
    <w:rsid w:val="269221D6"/>
    <w:rsid w:val="26AF439D"/>
    <w:rsid w:val="26C46F2B"/>
    <w:rsid w:val="275E3E37"/>
    <w:rsid w:val="27615D27"/>
    <w:rsid w:val="277203C0"/>
    <w:rsid w:val="27827792"/>
    <w:rsid w:val="27A655F1"/>
    <w:rsid w:val="27C2034A"/>
    <w:rsid w:val="27FD1606"/>
    <w:rsid w:val="282E547B"/>
    <w:rsid w:val="28E23068"/>
    <w:rsid w:val="2949391E"/>
    <w:rsid w:val="294F5552"/>
    <w:rsid w:val="295E35EE"/>
    <w:rsid w:val="29B5077A"/>
    <w:rsid w:val="29B53FFD"/>
    <w:rsid w:val="29B73B64"/>
    <w:rsid w:val="2A35514B"/>
    <w:rsid w:val="2B1B3C78"/>
    <w:rsid w:val="2B412ABD"/>
    <w:rsid w:val="2B937B43"/>
    <w:rsid w:val="2BE1588C"/>
    <w:rsid w:val="2BEA0719"/>
    <w:rsid w:val="2CFA3DDA"/>
    <w:rsid w:val="2D254C1E"/>
    <w:rsid w:val="2DB64F3B"/>
    <w:rsid w:val="2DBE3E92"/>
    <w:rsid w:val="2DD97BC5"/>
    <w:rsid w:val="2DE20B27"/>
    <w:rsid w:val="2DE7275E"/>
    <w:rsid w:val="2E1E4E36"/>
    <w:rsid w:val="2E2831C7"/>
    <w:rsid w:val="2E8A57EA"/>
    <w:rsid w:val="2EAB7F1D"/>
    <w:rsid w:val="2ECB6253"/>
    <w:rsid w:val="2F3726AA"/>
    <w:rsid w:val="300253D2"/>
    <w:rsid w:val="303F3BB7"/>
    <w:rsid w:val="30D808B2"/>
    <w:rsid w:val="30EF4FC4"/>
    <w:rsid w:val="313230E3"/>
    <w:rsid w:val="31406FDD"/>
    <w:rsid w:val="319C6CC0"/>
    <w:rsid w:val="31AD3D8D"/>
    <w:rsid w:val="31CF1D43"/>
    <w:rsid w:val="32506E1A"/>
    <w:rsid w:val="326D1252"/>
    <w:rsid w:val="3284056D"/>
    <w:rsid w:val="3364345F"/>
    <w:rsid w:val="338B121F"/>
    <w:rsid w:val="33E23D2D"/>
    <w:rsid w:val="34010FAF"/>
    <w:rsid w:val="340E0074"/>
    <w:rsid w:val="3439473C"/>
    <w:rsid w:val="34894D07"/>
    <w:rsid w:val="34F3588E"/>
    <w:rsid w:val="3507028C"/>
    <w:rsid w:val="35611C20"/>
    <w:rsid w:val="357B6134"/>
    <w:rsid w:val="35A5112D"/>
    <w:rsid w:val="35D579E0"/>
    <w:rsid w:val="368058A1"/>
    <w:rsid w:val="368D718F"/>
    <w:rsid w:val="36A02664"/>
    <w:rsid w:val="36C450EA"/>
    <w:rsid w:val="36F16EB3"/>
    <w:rsid w:val="37265BF2"/>
    <w:rsid w:val="37930C3B"/>
    <w:rsid w:val="380A7980"/>
    <w:rsid w:val="380F6006"/>
    <w:rsid w:val="393966DA"/>
    <w:rsid w:val="395D15F8"/>
    <w:rsid w:val="399D0AD7"/>
    <w:rsid w:val="39D236E8"/>
    <w:rsid w:val="39D77B70"/>
    <w:rsid w:val="3A1E5D66"/>
    <w:rsid w:val="3A7F50F5"/>
    <w:rsid w:val="3AB41C1F"/>
    <w:rsid w:val="3B9968D7"/>
    <w:rsid w:val="3BD00FAF"/>
    <w:rsid w:val="3C7609DF"/>
    <w:rsid w:val="3C8059F6"/>
    <w:rsid w:val="3CA56827"/>
    <w:rsid w:val="3CDF116D"/>
    <w:rsid w:val="3D125C3D"/>
    <w:rsid w:val="3D201BD6"/>
    <w:rsid w:val="3D407F0C"/>
    <w:rsid w:val="3EC76A8F"/>
    <w:rsid w:val="3F756C1D"/>
    <w:rsid w:val="3F7F2A16"/>
    <w:rsid w:val="3F864E69"/>
    <w:rsid w:val="3FBB6842"/>
    <w:rsid w:val="3FED46EE"/>
    <w:rsid w:val="3FF25B50"/>
    <w:rsid w:val="408F607A"/>
    <w:rsid w:val="40A44D1B"/>
    <w:rsid w:val="40FE1041"/>
    <w:rsid w:val="414A01B0"/>
    <w:rsid w:val="414B33D0"/>
    <w:rsid w:val="41A67DC1"/>
    <w:rsid w:val="41CA6CFC"/>
    <w:rsid w:val="41D73E13"/>
    <w:rsid w:val="42165B70"/>
    <w:rsid w:val="423676B0"/>
    <w:rsid w:val="425659E6"/>
    <w:rsid w:val="428D00BE"/>
    <w:rsid w:val="431A0C6C"/>
    <w:rsid w:val="443A2A10"/>
    <w:rsid w:val="445E4C44"/>
    <w:rsid w:val="44982A79"/>
    <w:rsid w:val="44D84400"/>
    <w:rsid w:val="45383373"/>
    <w:rsid w:val="45441531"/>
    <w:rsid w:val="45C66607"/>
    <w:rsid w:val="46AB31D7"/>
    <w:rsid w:val="46BF20A2"/>
    <w:rsid w:val="474C0C12"/>
    <w:rsid w:val="47841DE1"/>
    <w:rsid w:val="480C58EC"/>
    <w:rsid w:val="487D32FD"/>
    <w:rsid w:val="48B25D55"/>
    <w:rsid w:val="48F12A52"/>
    <w:rsid w:val="4A7B5341"/>
    <w:rsid w:val="4A964400"/>
    <w:rsid w:val="4AA94B8B"/>
    <w:rsid w:val="4ADE3D60"/>
    <w:rsid w:val="4AF8018E"/>
    <w:rsid w:val="4B4F2D9B"/>
    <w:rsid w:val="4BB61845"/>
    <w:rsid w:val="4C0975B5"/>
    <w:rsid w:val="4D06246C"/>
    <w:rsid w:val="4D262E99"/>
    <w:rsid w:val="4D784ECF"/>
    <w:rsid w:val="4D817BB7"/>
    <w:rsid w:val="4D940DD6"/>
    <w:rsid w:val="4DF542F3"/>
    <w:rsid w:val="4DF57B76"/>
    <w:rsid w:val="4E634927"/>
    <w:rsid w:val="4F7C2E75"/>
    <w:rsid w:val="4F874A89"/>
    <w:rsid w:val="4FC46AED"/>
    <w:rsid w:val="505B03CC"/>
    <w:rsid w:val="506A1820"/>
    <w:rsid w:val="50AB1369"/>
    <w:rsid w:val="50C14255"/>
    <w:rsid w:val="50D756B0"/>
    <w:rsid w:val="50F25EDA"/>
    <w:rsid w:val="510E7CCF"/>
    <w:rsid w:val="512A76B9"/>
    <w:rsid w:val="514B0DD5"/>
    <w:rsid w:val="51770CCB"/>
    <w:rsid w:val="52073823"/>
    <w:rsid w:val="522B575C"/>
    <w:rsid w:val="5249428D"/>
    <w:rsid w:val="52F61E27"/>
    <w:rsid w:val="530B14C1"/>
    <w:rsid w:val="530F3FB6"/>
    <w:rsid w:val="5350630A"/>
    <w:rsid w:val="53CE218A"/>
    <w:rsid w:val="53F058C2"/>
    <w:rsid w:val="5495093F"/>
    <w:rsid w:val="549A277B"/>
    <w:rsid w:val="54DB64C4"/>
    <w:rsid w:val="55145A25"/>
    <w:rsid w:val="551556A5"/>
    <w:rsid w:val="55401D6C"/>
    <w:rsid w:val="554C1E48"/>
    <w:rsid w:val="5604752C"/>
    <w:rsid w:val="561505C4"/>
    <w:rsid w:val="568C3F8D"/>
    <w:rsid w:val="56A75E3B"/>
    <w:rsid w:val="579E2363"/>
    <w:rsid w:val="57E71AF9"/>
    <w:rsid w:val="57F731DF"/>
    <w:rsid w:val="58205328"/>
    <w:rsid w:val="584F38FE"/>
    <w:rsid w:val="58501AF8"/>
    <w:rsid w:val="58F133F6"/>
    <w:rsid w:val="58F16C7A"/>
    <w:rsid w:val="591A6434"/>
    <w:rsid w:val="592616D2"/>
    <w:rsid w:val="59303784"/>
    <w:rsid w:val="596F7548"/>
    <w:rsid w:val="5A40498B"/>
    <w:rsid w:val="5AA26640"/>
    <w:rsid w:val="5AD90D18"/>
    <w:rsid w:val="5AEE70CD"/>
    <w:rsid w:val="5B042A7D"/>
    <w:rsid w:val="5B9104C7"/>
    <w:rsid w:val="5C0F0D95"/>
    <w:rsid w:val="5C391303"/>
    <w:rsid w:val="5C5F7C1B"/>
    <w:rsid w:val="5CAB2299"/>
    <w:rsid w:val="5CE16EEF"/>
    <w:rsid w:val="5D1D4986"/>
    <w:rsid w:val="5D212457"/>
    <w:rsid w:val="5D54142D"/>
    <w:rsid w:val="5D6B2979"/>
    <w:rsid w:val="5DAB3D2B"/>
    <w:rsid w:val="5DFD2B3F"/>
    <w:rsid w:val="5E566712"/>
    <w:rsid w:val="5EAD3DFF"/>
    <w:rsid w:val="5EE5503B"/>
    <w:rsid w:val="5F4D6FE9"/>
    <w:rsid w:val="5F844F44"/>
    <w:rsid w:val="5FC8439F"/>
    <w:rsid w:val="5FE79A87"/>
    <w:rsid w:val="5FFA0406"/>
    <w:rsid w:val="5FFA2561"/>
    <w:rsid w:val="60076417"/>
    <w:rsid w:val="60104B28"/>
    <w:rsid w:val="60E50004"/>
    <w:rsid w:val="611E4CE6"/>
    <w:rsid w:val="61E6443B"/>
    <w:rsid w:val="622209DD"/>
    <w:rsid w:val="62395E08"/>
    <w:rsid w:val="62441245"/>
    <w:rsid w:val="62C303C6"/>
    <w:rsid w:val="62C75F9B"/>
    <w:rsid w:val="631D1A9E"/>
    <w:rsid w:val="633A3FA0"/>
    <w:rsid w:val="63632697"/>
    <w:rsid w:val="63D4675D"/>
    <w:rsid w:val="63EF1280"/>
    <w:rsid w:val="640766E0"/>
    <w:rsid w:val="649B787D"/>
    <w:rsid w:val="64D53AFD"/>
    <w:rsid w:val="64F03067"/>
    <w:rsid w:val="64FE1F12"/>
    <w:rsid w:val="65691C60"/>
    <w:rsid w:val="657213FC"/>
    <w:rsid w:val="66142F85"/>
    <w:rsid w:val="668200F8"/>
    <w:rsid w:val="66A27570"/>
    <w:rsid w:val="67242611"/>
    <w:rsid w:val="678978BF"/>
    <w:rsid w:val="67F3572F"/>
    <w:rsid w:val="682A60F2"/>
    <w:rsid w:val="684A4429"/>
    <w:rsid w:val="68A72D08"/>
    <w:rsid w:val="68D61CF4"/>
    <w:rsid w:val="68EC3C32"/>
    <w:rsid w:val="695117DF"/>
    <w:rsid w:val="6A0431B2"/>
    <w:rsid w:val="6A6FCAD9"/>
    <w:rsid w:val="6AB33C11"/>
    <w:rsid w:val="6B515097"/>
    <w:rsid w:val="6B865AF4"/>
    <w:rsid w:val="6BBC40A7"/>
    <w:rsid w:val="6C0E4FDF"/>
    <w:rsid w:val="6C1033C1"/>
    <w:rsid w:val="6C460131"/>
    <w:rsid w:val="6C5F32E0"/>
    <w:rsid w:val="6CA47EC7"/>
    <w:rsid w:val="6CBA751A"/>
    <w:rsid w:val="6CBD6E76"/>
    <w:rsid w:val="6CDE15A9"/>
    <w:rsid w:val="6D4E6AC7"/>
    <w:rsid w:val="6D9F7F63"/>
    <w:rsid w:val="6E202640"/>
    <w:rsid w:val="6E6D5537"/>
    <w:rsid w:val="6E9047F2"/>
    <w:rsid w:val="6EB267BC"/>
    <w:rsid w:val="6EF23592"/>
    <w:rsid w:val="6EFD04AC"/>
    <w:rsid w:val="6F1D062A"/>
    <w:rsid w:val="6F532332"/>
    <w:rsid w:val="6F94661F"/>
    <w:rsid w:val="6FAB29C1"/>
    <w:rsid w:val="703716AB"/>
    <w:rsid w:val="7075538A"/>
    <w:rsid w:val="71147139"/>
    <w:rsid w:val="720F34AF"/>
    <w:rsid w:val="7251380D"/>
    <w:rsid w:val="726C5DC7"/>
    <w:rsid w:val="7379A13A"/>
    <w:rsid w:val="73F35B49"/>
    <w:rsid w:val="747B1802"/>
    <w:rsid w:val="755212CB"/>
    <w:rsid w:val="75A44310"/>
    <w:rsid w:val="75D4341F"/>
    <w:rsid w:val="75F0310B"/>
    <w:rsid w:val="766C2CF7"/>
    <w:rsid w:val="767D4F50"/>
    <w:rsid w:val="7721127E"/>
    <w:rsid w:val="77A26354"/>
    <w:rsid w:val="783F74D7"/>
    <w:rsid w:val="7852624C"/>
    <w:rsid w:val="78640611"/>
    <w:rsid w:val="78A526FF"/>
    <w:rsid w:val="78CE71FA"/>
    <w:rsid w:val="79294ED6"/>
    <w:rsid w:val="792A522E"/>
    <w:rsid w:val="79427FFF"/>
    <w:rsid w:val="796075AF"/>
    <w:rsid w:val="79C11BD2"/>
    <w:rsid w:val="79C1634F"/>
    <w:rsid w:val="7A03263B"/>
    <w:rsid w:val="7A6C7BF1"/>
    <w:rsid w:val="7A795AFD"/>
    <w:rsid w:val="7B8075D0"/>
    <w:rsid w:val="7C0A434D"/>
    <w:rsid w:val="7C63309F"/>
    <w:rsid w:val="7CCF01D0"/>
    <w:rsid w:val="7CE86B7B"/>
    <w:rsid w:val="7D2128BA"/>
    <w:rsid w:val="7D8D3BBE"/>
    <w:rsid w:val="7DD78119"/>
    <w:rsid w:val="7DF30332"/>
    <w:rsid w:val="7E3C61A8"/>
    <w:rsid w:val="7EED6BC1"/>
    <w:rsid w:val="7F224A84"/>
    <w:rsid w:val="7F766255"/>
    <w:rsid w:val="7F769ED9"/>
    <w:rsid w:val="7F787928"/>
    <w:rsid w:val="7FBE3468"/>
    <w:rsid w:val="7FDD7E53"/>
    <w:rsid w:val="7FF01827"/>
    <w:rsid w:val="9E23A5AC"/>
    <w:rsid w:val="AFD3B32C"/>
    <w:rsid w:val="AFEF5FC4"/>
    <w:rsid w:val="B7FC1E88"/>
    <w:rsid w:val="BD52CCA5"/>
    <w:rsid w:val="BDE5558A"/>
    <w:rsid w:val="BEFFB488"/>
    <w:rsid w:val="D9E71D7B"/>
    <w:rsid w:val="DBB7D1FF"/>
    <w:rsid w:val="DFDA2B3D"/>
    <w:rsid w:val="E7B4CB6A"/>
    <w:rsid w:val="EE5E10E3"/>
    <w:rsid w:val="EEF7CE66"/>
    <w:rsid w:val="F2E7ACE2"/>
    <w:rsid w:val="F77BD711"/>
    <w:rsid w:val="FB993BF6"/>
    <w:rsid w:val="FBEF2BE3"/>
    <w:rsid w:val="FD6E5B48"/>
    <w:rsid w:val="FE5B5013"/>
    <w:rsid w:val="FEFF1422"/>
    <w:rsid w:val="FEFFF220"/>
    <w:rsid w:val="FFCF94A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rFonts w:cs="Times New Roman"/>
      <w:color w:val="0000FF"/>
      <w:u w:val="single"/>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1 Char"/>
    <w:basedOn w:val="1"/>
    <w:qFormat/>
    <w:uiPriority w:val="0"/>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text"/>
    <w:basedOn w:val="1"/>
    <w:qFormat/>
    <w:uiPriority w:val="0"/>
    <w:pPr>
      <w:spacing w:line="360" w:lineRule="auto"/>
      <w:ind w:firstLine="420"/>
    </w:pPr>
    <w:rPr>
      <w:rFonts w:eastAsia="仿宋_GB2312"/>
      <w:sz w:val="24"/>
    </w:rPr>
  </w:style>
  <w:style w:type="paragraph" w:customStyle="1" w:styleId="14">
    <w:name w:val="Title1"/>
    <w:qFormat/>
    <w:uiPriority w:val="0"/>
    <w:pPr>
      <w:jc w:val="center"/>
    </w:pPr>
    <w:rPr>
      <w:rFonts w:ascii="Calibri" w:hAnsi="Calibri" w:eastAsia="黑体" w:cs="Times New Roman"/>
      <w:kern w:val="2"/>
      <w:sz w:val="44"/>
      <w:szCs w:val="22"/>
      <w:lang w:val="en-US" w:eastAsia="zh-CN" w:bidi="ar-SA"/>
    </w:rPr>
  </w:style>
  <w:style w:type="paragraph" w:customStyle="1" w:styleId="15">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列出段落1"/>
    <w:basedOn w:val="1"/>
    <w:qFormat/>
    <w:uiPriority w:val="34"/>
    <w:pPr>
      <w:ind w:firstLine="420" w:firstLineChars="200"/>
    </w:pPr>
  </w:style>
  <w:style w:type="paragraph" w:customStyle="1" w:styleId="17">
    <w:name w:val="列出段落2"/>
    <w:basedOn w:val="1"/>
    <w:qFormat/>
    <w:uiPriority w:val="99"/>
    <w:pPr>
      <w:ind w:firstLine="420" w:firstLineChars="200"/>
    </w:pPr>
  </w:style>
  <w:style w:type="paragraph" w:customStyle="1" w:styleId="18">
    <w:name w:val="表格"/>
    <w:basedOn w:val="1"/>
    <w:qFormat/>
    <w:uiPriority w:val="0"/>
    <w:pPr>
      <w:widowControl/>
    </w:pPr>
    <w:rPr>
      <w:rFonts w:ascii="宋体" w:hAnsi="宋体" w:eastAsia="等线"/>
      <w:color w:val="000000"/>
      <w:kern w:val="0"/>
      <w:sz w:val="18"/>
      <w:szCs w:val="22"/>
    </w:rPr>
  </w:style>
  <w:style w:type="character" w:customStyle="1" w:styleId="19">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9</Pages>
  <Words>503</Words>
  <Characters>2870</Characters>
  <Lines>23</Lines>
  <Paragraphs>6</Paragraphs>
  <ScaleCrop>false</ScaleCrop>
  <LinksUpToDate>false</LinksUpToDate>
  <CharactersWithSpaces>3367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2017-07-27T08:38:00Z</dcterms:created>
  <dc:creator>LXY</dc:creator>
  <cp:lastModifiedBy>冉亮</cp:lastModifiedBy>
  <cp:lastPrinted>2017-05-25T22:41:00Z</cp:lastPrinted>
  <dcterms:modified xsi:type="dcterms:W3CDTF">2017-08-24T14:02:46Z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