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kinsoku/>
        <w:wordWrap/>
        <w:overflowPunct/>
        <w:topLinePunct w:val="0"/>
        <w:bidi w:val="0"/>
        <w:adjustRightInd/>
        <w:snapToGrid/>
        <w:spacing w:line="240" w:lineRule="auto"/>
        <w:ind w:left="0" w:leftChars="0" w:right="0" w:rightChars="0" w:firstLine="0" w:firstLineChars="0"/>
        <w:textAlignment w:val="auto"/>
        <w:outlineLvl w:val="9"/>
        <w:rPr>
          <w:rFonts w:eastAsia="仿宋_GB2312"/>
          <w:sz w:val="32"/>
          <w:szCs w:val="32"/>
        </w:rPr>
      </w:pPr>
      <w:r>
        <w:rPr>
          <w:rFonts w:eastAsia="仿宋_GB2312"/>
          <w:sz w:val="32"/>
          <w:szCs w:val="32"/>
        </w:rPr>
        <w:t>附件1</w:t>
      </w:r>
    </w:p>
    <w:p>
      <w:pPr>
        <w:keepNext w:val="0"/>
        <w:keepLines w:val="0"/>
        <w:pageBreakBefore w:val="0"/>
        <w:kinsoku/>
        <w:wordWrap/>
        <w:overflowPunct/>
        <w:topLinePunct w:val="0"/>
        <w:bidi w:val="0"/>
        <w:adjustRightInd/>
        <w:snapToGrid/>
        <w:spacing w:line="240" w:lineRule="auto"/>
        <w:ind w:left="0" w:leftChars="0" w:right="0" w:rightChars="0" w:firstLine="0" w:firstLineChars="0"/>
        <w:textAlignment w:val="auto"/>
        <w:outlineLvl w:val="9"/>
        <w:rPr>
          <w:rFonts w:eastAsia="仿宋_GB2312"/>
          <w:sz w:val="32"/>
          <w:szCs w:val="32"/>
        </w:rPr>
      </w:pPr>
    </w:p>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spacing w:val="-20"/>
          <w:sz w:val="36"/>
          <w:szCs w:val="36"/>
        </w:rPr>
      </w:pPr>
      <w:r>
        <w:rPr>
          <w:rFonts w:hint="default" w:ascii="Times New Roman" w:hAnsi="Times New Roman" w:eastAsia="黑体" w:cs="Times New Roman"/>
          <w:b/>
          <w:spacing w:val="-20"/>
          <w:sz w:val="36"/>
          <w:szCs w:val="36"/>
        </w:rPr>
        <w:t>工程机械高压油泵、液压阀、马达</w:t>
      </w:r>
    </w:p>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spacing w:val="-20"/>
          <w:sz w:val="36"/>
          <w:szCs w:val="36"/>
        </w:rPr>
      </w:pPr>
      <w:r>
        <w:rPr>
          <w:rFonts w:hint="eastAsia" w:ascii="Times New Roman" w:hAnsi="Times New Roman" w:eastAsia="黑体" w:cs="Times New Roman"/>
          <w:b/>
          <w:spacing w:val="-20"/>
          <w:sz w:val="36"/>
          <w:szCs w:val="36"/>
          <w:lang w:eastAsia="zh-CN"/>
        </w:rPr>
        <w:t>“</w:t>
      </w:r>
      <w:r>
        <w:rPr>
          <w:rFonts w:hint="default" w:ascii="Times New Roman" w:hAnsi="Times New Roman" w:eastAsia="黑体" w:cs="Times New Roman"/>
          <w:b/>
          <w:spacing w:val="-20"/>
          <w:sz w:val="36"/>
          <w:szCs w:val="36"/>
        </w:rPr>
        <w:t>一条龙</w:t>
      </w:r>
      <w:r>
        <w:rPr>
          <w:rFonts w:hint="eastAsia" w:ascii="Times New Roman" w:hAnsi="Times New Roman" w:eastAsia="黑体" w:cs="Times New Roman"/>
          <w:b/>
          <w:spacing w:val="-20"/>
          <w:sz w:val="36"/>
          <w:szCs w:val="36"/>
          <w:lang w:eastAsia="zh-CN"/>
        </w:rPr>
        <w:t>”</w:t>
      </w:r>
      <w:r>
        <w:rPr>
          <w:rFonts w:hint="default" w:ascii="Times New Roman" w:hAnsi="Times New Roman" w:eastAsia="黑体" w:cs="Times New Roman"/>
          <w:b/>
          <w:spacing w:val="-20"/>
          <w:sz w:val="36"/>
          <w:szCs w:val="36"/>
        </w:rPr>
        <w:t>应用计划申报要求</w:t>
      </w:r>
    </w:p>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spacing w:val="-20"/>
          <w:sz w:val="36"/>
          <w:szCs w:val="36"/>
        </w:rPr>
      </w:pPr>
    </w:p>
    <w:p>
      <w:pPr>
        <w:keepNext w:val="0"/>
        <w:keepLines w:val="0"/>
        <w:pageBreakBefore w:val="0"/>
        <w:widowControl/>
        <w:numPr>
          <w:ilvl w:val="0"/>
          <w:numId w:val="1"/>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产业链构成</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20、30t级液压挖掘机和50t级以上大型汽车起重机等整机产品，立足高端高压轴向柱塞液压马达、液压泵、整体式多路阀的数字设计技术、材料、铸造技术、加工工艺技术、试验技术和检测标准等，实现工程机械急需的高端液压元件稳定批量生产及在主机上的大批量配套。</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jc w:val="center"/>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关键配套件产品链条环节</w:t>
      </w:r>
    </w:p>
    <w:tbl>
      <w:tblPr>
        <w:tblStyle w:val="9"/>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3844"/>
        <w:gridCol w:w="1087"/>
        <w:gridCol w:w="2196"/>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0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3844"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产业链环节</w:t>
            </w:r>
          </w:p>
        </w:tc>
        <w:tc>
          <w:tcPr>
            <w:tcW w:w="10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整体式多路阀</w:t>
            </w:r>
          </w:p>
        </w:tc>
        <w:tc>
          <w:tcPr>
            <w:tcW w:w="219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高压轴向柱塞回转马达、行走马达</w:t>
            </w:r>
          </w:p>
        </w:tc>
        <w:tc>
          <w:tcPr>
            <w:tcW w:w="1232"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开式轴向柱塞双泵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44"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高品质铸件</w:t>
            </w:r>
          </w:p>
        </w:tc>
        <w:tc>
          <w:tcPr>
            <w:tcW w:w="10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19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232"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44"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材料热处理和表面处理</w:t>
            </w:r>
          </w:p>
        </w:tc>
        <w:tc>
          <w:tcPr>
            <w:tcW w:w="10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219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232"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3844"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阀杆及阀芯硬度控制</w:t>
            </w:r>
          </w:p>
        </w:tc>
        <w:tc>
          <w:tcPr>
            <w:tcW w:w="10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19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232"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3844"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关键零部件加工技术</w:t>
            </w:r>
          </w:p>
        </w:tc>
        <w:tc>
          <w:tcPr>
            <w:tcW w:w="10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w:t>
            </w:r>
          </w:p>
        </w:tc>
        <w:tc>
          <w:tcPr>
            <w:tcW w:w="219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w:t>
            </w:r>
          </w:p>
        </w:tc>
        <w:tc>
          <w:tcPr>
            <w:tcW w:w="1232"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3844"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配套高强度螺栓</w:t>
            </w:r>
          </w:p>
        </w:tc>
        <w:tc>
          <w:tcPr>
            <w:tcW w:w="10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w:t>
            </w:r>
          </w:p>
        </w:tc>
        <w:tc>
          <w:tcPr>
            <w:tcW w:w="219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sz w:val="24"/>
                <w:szCs w:val="24"/>
              </w:rPr>
            </w:pPr>
          </w:p>
        </w:tc>
        <w:tc>
          <w:tcPr>
            <w:tcW w:w="1232"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3844"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配套密封件</w:t>
            </w:r>
          </w:p>
        </w:tc>
        <w:tc>
          <w:tcPr>
            <w:tcW w:w="10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w:t>
            </w:r>
          </w:p>
        </w:tc>
        <w:tc>
          <w:tcPr>
            <w:tcW w:w="219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sz w:val="24"/>
                <w:szCs w:val="24"/>
              </w:rPr>
            </w:pPr>
          </w:p>
        </w:tc>
        <w:tc>
          <w:tcPr>
            <w:tcW w:w="1232"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3844"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控制技术</w:t>
            </w:r>
          </w:p>
        </w:tc>
        <w:tc>
          <w:tcPr>
            <w:tcW w:w="10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w:t>
            </w:r>
          </w:p>
        </w:tc>
        <w:tc>
          <w:tcPr>
            <w:tcW w:w="219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sz w:val="24"/>
                <w:szCs w:val="24"/>
              </w:rPr>
            </w:pPr>
          </w:p>
        </w:tc>
        <w:tc>
          <w:tcPr>
            <w:tcW w:w="1232"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3844"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产品标准制定</w:t>
            </w:r>
          </w:p>
        </w:tc>
        <w:tc>
          <w:tcPr>
            <w:tcW w:w="10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w:t>
            </w:r>
          </w:p>
        </w:tc>
        <w:tc>
          <w:tcPr>
            <w:tcW w:w="219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w:t>
            </w:r>
          </w:p>
        </w:tc>
        <w:tc>
          <w:tcPr>
            <w:tcW w:w="1232"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3844"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试验检测技术、评估方法及设备</w:t>
            </w:r>
          </w:p>
        </w:tc>
        <w:tc>
          <w:tcPr>
            <w:tcW w:w="1087"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w:t>
            </w:r>
          </w:p>
        </w:tc>
        <w:tc>
          <w:tcPr>
            <w:tcW w:w="2196"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w:t>
            </w:r>
          </w:p>
        </w:tc>
        <w:tc>
          <w:tcPr>
            <w:tcW w:w="1232" w:type="dxa"/>
            <w:vAlign w:val="center"/>
          </w:tcPr>
          <w:p>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w:t>
            </w:r>
          </w:p>
        </w:tc>
      </w:tr>
    </w:tbl>
    <w:p>
      <w:pPr>
        <w:keepNext w:val="0"/>
        <w:keepLines w:val="0"/>
        <w:pageBreakBefore w:val="0"/>
        <w:widowControl/>
        <w:numPr>
          <w:ilvl w:val="0"/>
          <w:numId w:val="1"/>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目标和任务</w:t>
      </w:r>
    </w:p>
    <w:p>
      <w:pPr>
        <w:keepNext w:val="0"/>
        <w:keepLines w:val="0"/>
        <w:pageBreakBefore w:val="0"/>
        <w:widowControl/>
        <w:numPr>
          <w:ilvl w:val="0"/>
          <w:numId w:val="2"/>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b/>
          <w:sz w:val="30"/>
          <w:szCs w:val="30"/>
        </w:rPr>
      </w:pPr>
      <w:r>
        <w:rPr>
          <w:rFonts w:hint="default" w:ascii="Times New Roman" w:hAnsi="Times New Roman" w:eastAsia="楷体" w:cs="Times New Roman"/>
          <w:b/>
          <w:sz w:val="30"/>
          <w:szCs w:val="30"/>
        </w:rPr>
        <w:t>整体式多路阀</w:t>
      </w:r>
    </w:p>
    <w:p>
      <w:pPr>
        <w:keepNext w:val="0"/>
        <w:keepLines w:val="0"/>
        <w:pageBreakBefore w:val="0"/>
        <w:widowControl/>
        <w:numPr>
          <w:ilvl w:val="0"/>
          <w:numId w:val="3"/>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高品质铸件环节</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r>
        <w:rPr>
          <w:rFonts w:hint="default" w:ascii="Times New Roman" w:hAnsi="Times New Roman" w:eastAsia="楷体" w:cs="Times New Roman"/>
          <w:b/>
          <w:bCs/>
          <w:sz w:val="30"/>
          <w:szCs w:val="30"/>
        </w:rPr>
        <w:t>环节描述及任务。</w:t>
      </w:r>
      <w:r>
        <w:rPr>
          <w:rFonts w:hint="default" w:ascii="Times New Roman" w:hAnsi="Times New Roman" w:eastAsia="仿宋_GB2312" w:cs="Times New Roman"/>
          <w:sz w:val="30"/>
          <w:szCs w:val="30"/>
        </w:rPr>
        <w:t>采用精炼铁水、精制砂芯、砂芯应变均化、均化涂料、数字化铸造过程分析、潮模砂造型等先进铸造等工艺技术，提高生产效率和产品合格率，实现高精密液压铸件产业化生产。产品性能指标经实际使用验证达到国际先进水平。</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w:t>
      </w:r>
      <w:r>
        <w:rPr>
          <w:rFonts w:hint="default" w:ascii="Times New Roman" w:hAnsi="Times New Roman" w:eastAsia="楷体" w:cs="Times New Roman"/>
          <w:b/>
          <w:bCs/>
          <w:sz w:val="30"/>
          <w:szCs w:val="30"/>
        </w:rPr>
        <w:t>具体目标。</w:t>
      </w:r>
      <w:r>
        <w:rPr>
          <w:rFonts w:hint="default" w:ascii="Times New Roman" w:hAnsi="Times New Roman" w:eastAsia="仿宋_GB2312" w:cs="Times New Roman"/>
          <w:sz w:val="30"/>
          <w:szCs w:val="30"/>
        </w:rPr>
        <w:t>整体式阀块的精密铸造技术尺寸精度：外形：CT7；内腔:CT6；表面质量：Ra≤12.5；标准试块孔变形量≤2.0μm/10Nm；阀体流道尺寸精度≤0.25mm，耐压35MPa-42MPa；材料疲劳寿命测试＞200万次；铸造合格率达到产业化要求。</w:t>
      </w:r>
    </w:p>
    <w:p>
      <w:pPr>
        <w:keepNext w:val="0"/>
        <w:keepLines w:val="0"/>
        <w:pageBreakBefore w:val="0"/>
        <w:widowControl/>
        <w:numPr>
          <w:ilvl w:val="0"/>
          <w:numId w:val="3"/>
        </w:numPr>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阀杆及阀芯硬度控制</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 w:cs="Times New Roman"/>
          <w:sz w:val="30"/>
          <w:szCs w:val="30"/>
        </w:rPr>
        <w:t>（1）</w:t>
      </w:r>
      <w:r>
        <w:rPr>
          <w:rFonts w:hint="default" w:ascii="Times New Roman" w:hAnsi="Times New Roman" w:eastAsia="楷体" w:cs="Times New Roman"/>
          <w:b/>
          <w:bCs/>
          <w:sz w:val="30"/>
          <w:szCs w:val="30"/>
        </w:rPr>
        <w:t>环节描述及任务。</w:t>
      </w:r>
      <w:r>
        <w:rPr>
          <w:rFonts w:hint="default" w:ascii="Times New Roman" w:hAnsi="Times New Roman" w:eastAsia="仿宋_GB2312" w:cs="Times New Roman"/>
          <w:sz w:val="30"/>
          <w:szCs w:val="30"/>
        </w:rPr>
        <w:t>通过高频感应淬火或镀硬铬等表面处理方式，在保持芯部韧性的同时，达到表面高硬度、高耐磨性。高频感应淬火，通过精制感应器、实时能力监控系统及每种产品适用的淬火工艺，实现变形小、硬度和深度均匀的表面；高频感应镀硬铬，通过精制电极、小电流等，实现满足附着力、硬度等要求的镀层。</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w:t>
      </w:r>
      <w:r>
        <w:rPr>
          <w:rFonts w:hint="default" w:ascii="Times New Roman" w:hAnsi="Times New Roman" w:eastAsia="楷体" w:cs="Times New Roman"/>
          <w:b/>
          <w:bCs/>
          <w:sz w:val="30"/>
          <w:szCs w:val="30"/>
        </w:rPr>
        <w:t>具体目标。</w:t>
      </w:r>
      <w:r>
        <w:rPr>
          <w:rFonts w:hint="default" w:ascii="Times New Roman" w:hAnsi="Times New Roman" w:eastAsia="仿宋_GB2312" w:cs="Times New Roman"/>
          <w:sz w:val="30"/>
          <w:szCs w:val="30"/>
        </w:rPr>
        <w:t>淬火：芯部硬度HRC28-38表面、硬度HRC56-62、淬火深度0.3-1.2、变形增加量≤0.02、晶粒度符合GB 6354，表层脱碳符合GB 224。电镀：硬度HV≥650、镀层厚度0.3-1.2、附着力要求符合GB5270。</w:t>
      </w:r>
    </w:p>
    <w:p>
      <w:pPr>
        <w:keepNext w:val="0"/>
        <w:keepLines w:val="0"/>
        <w:pageBreakBefore w:val="0"/>
        <w:widowControl/>
        <w:numPr>
          <w:ilvl w:val="0"/>
          <w:numId w:val="3"/>
        </w:numPr>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关键零部件加工技术</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r>
        <w:rPr>
          <w:rFonts w:hint="default" w:ascii="Times New Roman" w:hAnsi="Times New Roman" w:eastAsia="楷体" w:cs="Times New Roman"/>
          <w:b/>
          <w:bCs/>
          <w:sz w:val="30"/>
          <w:szCs w:val="30"/>
        </w:rPr>
        <w:t>环节描述及任务。</w:t>
      </w:r>
      <w:r>
        <w:rPr>
          <w:rFonts w:hint="default" w:ascii="Times New Roman" w:hAnsi="Times New Roman" w:eastAsia="仿宋_GB2312" w:cs="Times New Roman"/>
          <w:sz w:val="30"/>
          <w:szCs w:val="30"/>
        </w:rPr>
        <w:t>采用虚拟制造技术与并行工程、阀体密封平面“以铣代磨”加工技术、阀芯孔成套化铰孔技术、阀芯孔沉割槽高效加工技术、成套化插装阀孔加工、检测技术、统型油口标准化加工技术、异构零件定位改进与清洗参数优化技术、球墨铸铁阀体磷化防锈技术、多冲程珩磨+单冲程珩铰精密加工技术、阀体铸造流道应用技术、高精度磨削技术、复合车削技术提高液压多路阀加工精度与加工效率，实现批量化生产。</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w:t>
      </w:r>
      <w:r>
        <w:rPr>
          <w:rFonts w:hint="default" w:ascii="Times New Roman" w:hAnsi="Times New Roman" w:eastAsia="楷体" w:cs="Times New Roman"/>
          <w:b/>
          <w:bCs/>
          <w:sz w:val="30"/>
          <w:szCs w:val="30"/>
        </w:rPr>
        <w:t>具体目标。</w:t>
      </w:r>
      <w:r>
        <w:rPr>
          <w:rFonts w:hint="default" w:ascii="Times New Roman" w:hAnsi="Times New Roman" w:eastAsia="仿宋_GB2312" w:cs="Times New Roman"/>
          <w:sz w:val="30"/>
          <w:szCs w:val="30"/>
        </w:rPr>
        <w:t>尺寸精度：阀孔、阀杆直径公差精度≤3μm；形状精度：阀孔、阀杆外圆圆柱度≤2μm、阀体配合面平行度≤0.03mm、阀体配合面平面度≤0.015mm；表面质量：关键表面粗糙度≤Ra0.2；关键特性过程能力：Cpk≥1.67。</w:t>
      </w:r>
    </w:p>
    <w:p>
      <w:pPr>
        <w:keepNext w:val="0"/>
        <w:keepLines w:val="0"/>
        <w:pageBreakBefore w:val="0"/>
        <w:widowControl/>
        <w:numPr>
          <w:ilvl w:val="0"/>
          <w:numId w:val="3"/>
        </w:numPr>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配套高强度螺栓</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r>
        <w:rPr>
          <w:rFonts w:hint="default" w:ascii="Times New Roman" w:hAnsi="Times New Roman" w:eastAsia="楷体" w:cs="Times New Roman"/>
          <w:b/>
          <w:bCs/>
          <w:sz w:val="30"/>
          <w:szCs w:val="30"/>
        </w:rPr>
        <w:t>环节描述及任务。</w:t>
      </w:r>
      <w:r>
        <w:rPr>
          <w:rFonts w:hint="default" w:ascii="Times New Roman" w:hAnsi="Times New Roman" w:eastAsia="仿宋_GB2312" w:cs="Times New Roman"/>
          <w:sz w:val="30"/>
          <w:szCs w:val="30"/>
        </w:rPr>
        <w:t>采用进口材质SWOSC-V及SWPB，对于要求高的应用场合采用SWOSC-V材质弹簧，要求相对较低的场合采用SWPB材质。</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 w:cs="Times New Roman"/>
          <w:sz w:val="30"/>
          <w:szCs w:val="30"/>
        </w:rPr>
        <w:t>（2）</w:t>
      </w:r>
      <w:r>
        <w:rPr>
          <w:rFonts w:hint="default" w:ascii="Times New Roman" w:hAnsi="Times New Roman" w:eastAsia="楷体" w:cs="Times New Roman"/>
          <w:b/>
          <w:bCs/>
          <w:sz w:val="30"/>
          <w:szCs w:val="30"/>
        </w:rPr>
        <w:t>具体目标。</w:t>
      </w:r>
      <w:r>
        <w:rPr>
          <w:rFonts w:hint="default" w:ascii="Times New Roman" w:hAnsi="Times New Roman" w:eastAsia="仿宋_GB2312" w:cs="Times New Roman"/>
          <w:sz w:val="30"/>
          <w:szCs w:val="30"/>
        </w:rPr>
        <w:t>通过改进热处理工艺。弹簧寿命≥100万次。</w:t>
      </w:r>
    </w:p>
    <w:p>
      <w:pPr>
        <w:keepNext w:val="0"/>
        <w:keepLines w:val="0"/>
        <w:pageBreakBefore w:val="0"/>
        <w:widowControl/>
        <w:numPr>
          <w:ilvl w:val="0"/>
          <w:numId w:val="3"/>
        </w:numPr>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配套密封件</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r>
        <w:rPr>
          <w:rFonts w:hint="default" w:ascii="Times New Roman" w:hAnsi="Times New Roman" w:eastAsia="楷体_GB2312" w:cs="Times New Roman"/>
          <w:b/>
          <w:bCs/>
          <w:sz w:val="30"/>
          <w:szCs w:val="30"/>
        </w:rPr>
        <w:t>环节描</w:t>
      </w:r>
      <w:r>
        <w:rPr>
          <w:rFonts w:hint="default" w:ascii="Times New Roman" w:hAnsi="Times New Roman" w:eastAsia="楷体" w:cs="Times New Roman"/>
          <w:b/>
          <w:bCs/>
          <w:sz w:val="30"/>
          <w:szCs w:val="30"/>
        </w:rPr>
        <w:t>述</w:t>
      </w:r>
      <w:r>
        <w:rPr>
          <w:rFonts w:hint="default" w:ascii="Times New Roman" w:hAnsi="Times New Roman" w:eastAsia="楷体_GB2312" w:cs="Times New Roman"/>
          <w:b/>
          <w:bCs/>
          <w:sz w:val="30"/>
          <w:szCs w:val="30"/>
        </w:rPr>
        <w:t>及任务。</w:t>
      </w:r>
      <w:r>
        <w:rPr>
          <w:rFonts w:hint="default" w:ascii="Times New Roman" w:hAnsi="Times New Roman" w:eastAsia="仿宋_GB2312" w:cs="Times New Roman"/>
          <w:sz w:val="30"/>
          <w:szCs w:val="30"/>
        </w:rPr>
        <w:t>密封性能及技术指标满足或高于Q/XGYY16001-2011规定。</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w:t>
      </w:r>
      <w:r>
        <w:rPr>
          <w:rFonts w:hint="default" w:ascii="Times New Roman" w:hAnsi="Times New Roman" w:eastAsia="楷体" w:cs="Times New Roman"/>
          <w:b/>
          <w:bCs/>
          <w:sz w:val="30"/>
          <w:szCs w:val="30"/>
        </w:rPr>
        <w:t>具体目标。</w:t>
      </w:r>
      <w:r>
        <w:rPr>
          <w:rFonts w:hint="default" w:ascii="Times New Roman" w:hAnsi="Times New Roman" w:eastAsia="仿宋_GB2312" w:cs="Times New Roman"/>
          <w:sz w:val="30"/>
          <w:szCs w:val="30"/>
        </w:rPr>
        <w:t>工作温度-40℃～250℃；密封压力≥100MPa；使用寿命≥6年。</w:t>
      </w:r>
    </w:p>
    <w:p>
      <w:pPr>
        <w:keepNext w:val="0"/>
        <w:keepLines w:val="0"/>
        <w:pageBreakBefore w:val="0"/>
        <w:widowControl/>
        <w:numPr>
          <w:ilvl w:val="0"/>
          <w:numId w:val="3"/>
        </w:numPr>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控制技术</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r>
        <w:rPr>
          <w:rFonts w:hint="default" w:ascii="Times New Roman" w:hAnsi="Times New Roman" w:eastAsia="楷体" w:cs="Times New Roman"/>
          <w:b/>
          <w:bCs/>
          <w:sz w:val="30"/>
          <w:szCs w:val="30"/>
        </w:rPr>
        <w:t>环节描述及任务</w:t>
      </w:r>
      <w:r>
        <w:rPr>
          <w:rFonts w:hint="default" w:ascii="Times New Roman" w:hAnsi="Times New Roman" w:eastAsia="仿宋" w:cs="Times New Roman"/>
          <w:b/>
          <w:bCs/>
          <w:sz w:val="30"/>
          <w:szCs w:val="30"/>
        </w:rPr>
        <w:t>。</w:t>
      </w:r>
      <w:r>
        <w:rPr>
          <w:rFonts w:hint="default" w:ascii="Times New Roman" w:hAnsi="Times New Roman" w:eastAsia="仿宋_GB2312" w:cs="Times New Roman"/>
          <w:sz w:val="30"/>
          <w:szCs w:val="30"/>
        </w:rPr>
        <w:t>控制方式：液压先导控制、电液控制；功能：负流量控制、正流量控制，适用于50t级以上大型汽车起重机、20-30t级液压挖掘机。</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w:t>
      </w:r>
      <w:r>
        <w:rPr>
          <w:rFonts w:hint="default" w:ascii="Times New Roman" w:hAnsi="Times New Roman" w:eastAsia="楷体" w:cs="Times New Roman"/>
          <w:b/>
          <w:bCs/>
          <w:sz w:val="30"/>
          <w:szCs w:val="30"/>
        </w:rPr>
        <w:t>具体目标。</w:t>
      </w:r>
      <w:r>
        <w:rPr>
          <w:rFonts w:hint="default" w:ascii="Times New Roman" w:hAnsi="Times New Roman" w:eastAsia="仿宋_GB2312" w:cs="Times New Roman"/>
          <w:sz w:val="30"/>
          <w:szCs w:val="30"/>
        </w:rPr>
        <w:t>符合或</w:t>
      </w:r>
      <w:bookmarkStart w:id="0" w:name="OLE_LINK1"/>
      <w:bookmarkStart w:id="1" w:name="OLE_LINK2"/>
      <w:r>
        <w:rPr>
          <w:rFonts w:hint="default" w:ascii="Times New Roman" w:hAnsi="Times New Roman" w:eastAsia="仿宋_GB2312" w:cs="Times New Roman"/>
          <w:sz w:val="30"/>
          <w:szCs w:val="30"/>
        </w:rPr>
        <w:t>高于JB/T 8729-2013</w:t>
      </w:r>
      <w:bookmarkEnd w:id="0"/>
      <w:bookmarkEnd w:id="1"/>
      <w:r>
        <w:rPr>
          <w:rFonts w:hint="default" w:ascii="Times New Roman" w:hAnsi="Times New Roman" w:eastAsia="仿宋_GB2312" w:cs="Times New Roman"/>
          <w:sz w:val="30"/>
          <w:szCs w:val="30"/>
        </w:rPr>
        <w:t>各指标要求，使用寿命≥2000h，性能稳定性、制造成本达到产业化要求。</w:t>
      </w:r>
    </w:p>
    <w:p>
      <w:pPr>
        <w:keepNext w:val="0"/>
        <w:keepLines w:val="0"/>
        <w:pageBreakBefore w:val="0"/>
        <w:widowControl/>
        <w:numPr>
          <w:ilvl w:val="0"/>
          <w:numId w:val="3"/>
        </w:numPr>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产品标准制定</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 w:cs="Times New Roman"/>
          <w:sz w:val="30"/>
          <w:szCs w:val="30"/>
        </w:rPr>
        <w:t>（1）</w:t>
      </w:r>
      <w:r>
        <w:rPr>
          <w:rFonts w:hint="default" w:ascii="Times New Roman" w:hAnsi="Times New Roman" w:eastAsia="楷体" w:cs="Times New Roman"/>
          <w:b/>
          <w:bCs/>
          <w:sz w:val="30"/>
          <w:szCs w:val="30"/>
        </w:rPr>
        <w:t>环节描述及任务</w:t>
      </w:r>
      <w:r>
        <w:rPr>
          <w:rFonts w:hint="default" w:ascii="Times New Roman" w:hAnsi="Times New Roman" w:eastAsia="仿宋" w:cs="Times New Roman"/>
          <w:b/>
          <w:bCs/>
          <w:sz w:val="30"/>
          <w:szCs w:val="30"/>
        </w:rPr>
        <w:t>。</w:t>
      </w:r>
      <w:r>
        <w:rPr>
          <w:rFonts w:hint="default" w:ascii="Times New Roman" w:hAnsi="Times New Roman" w:eastAsia="仿宋_GB2312" w:cs="Times New Roman"/>
          <w:sz w:val="30"/>
          <w:szCs w:val="30"/>
        </w:rPr>
        <w:t>参照国际先进产品相关指标参数、关键工艺突破成果、整体式多路阀产品企业标准，参与制定国家、行业标准、团体标准。</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w:t>
      </w:r>
      <w:r>
        <w:rPr>
          <w:rFonts w:hint="default" w:ascii="Times New Roman" w:hAnsi="Times New Roman" w:eastAsia="楷体" w:cs="Times New Roman"/>
          <w:b/>
          <w:bCs/>
          <w:sz w:val="30"/>
          <w:szCs w:val="30"/>
        </w:rPr>
        <w:t>具体目标。</w:t>
      </w:r>
      <w:r>
        <w:rPr>
          <w:rFonts w:hint="default" w:ascii="Times New Roman" w:hAnsi="Times New Roman" w:eastAsia="仿宋_GB2312" w:cs="Times New Roman"/>
          <w:sz w:val="30"/>
          <w:szCs w:val="30"/>
        </w:rPr>
        <w:t>基本参数、技术要求符合或高于JB/T 8729-2013指标，试验方法、检验规则具有行业推广条件。</w:t>
      </w:r>
    </w:p>
    <w:p>
      <w:pPr>
        <w:keepNext w:val="0"/>
        <w:keepLines w:val="0"/>
        <w:pageBreakBefore w:val="0"/>
        <w:widowControl/>
        <w:numPr>
          <w:ilvl w:val="0"/>
          <w:numId w:val="3"/>
        </w:numPr>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试验检测技术、评估方法及设备</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 w:cs="Times New Roman"/>
          <w:sz w:val="30"/>
          <w:szCs w:val="30"/>
        </w:rPr>
        <w:t>（1）</w:t>
      </w:r>
      <w:r>
        <w:rPr>
          <w:rFonts w:hint="default" w:ascii="Times New Roman" w:hAnsi="Times New Roman" w:eastAsia="楷体" w:cs="Times New Roman"/>
          <w:b/>
          <w:bCs/>
          <w:sz w:val="30"/>
          <w:szCs w:val="30"/>
        </w:rPr>
        <w:t>环节描述及任务</w:t>
      </w:r>
      <w:r>
        <w:rPr>
          <w:rFonts w:hint="default" w:ascii="Times New Roman" w:hAnsi="Times New Roman" w:eastAsia="仿宋" w:cs="Times New Roman"/>
          <w:b/>
          <w:bCs/>
          <w:sz w:val="30"/>
          <w:szCs w:val="30"/>
        </w:rPr>
        <w:t>。</w:t>
      </w:r>
      <w:r>
        <w:rPr>
          <w:rFonts w:hint="default" w:ascii="Times New Roman" w:hAnsi="Times New Roman" w:eastAsia="仿宋_GB2312" w:cs="Times New Roman"/>
          <w:sz w:val="30"/>
          <w:szCs w:val="30"/>
        </w:rPr>
        <w:t>采用综合试验或单项、多项试验设备实现多路阀全参数型式试验，满足不同主机工况需求；采用主要参数生产检测设备，满足生产需要；制定相应的评估方法和指标，满足产业化要求。</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 w:cs="Times New Roman"/>
          <w:sz w:val="30"/>
          <w:szCs w:val="30"/>
        </w:rPr>
        <w:t>（2）</w:t>
      </w:r>
      <w:r>
        <w:rPr>
          <w:rFonts w:hint="default" w:ascii="Times New Roman" w:hAnsi="Times New Roman" w:eastAsia="楷体" w:cs="Times New Roman"/>
          <w:b/>
          <w:bCs/>
          <w:sz w:val="30"/>
          <w:szCs w:val="30"/>
        </w:rPr>
        <w:t>具体目标。</w:t>
      </w:r>
      <w:r>
        <w:rPr>
          <w:rFonts w:hint="default" w:ascii="Times New Roman" w:hAnsi="Times New Roman" w:eastAsia="仿宋_GB2312" w:cs="Times New Roman"/>
          <w:sz w:val="30"/>
          <w:szCs w:val="30"/>
        </w:rPr>
        <w:t>满足不同型号主机工况测试需求，满足多路阀型式试验测试、批量化生产检测等要求。工程机械整体式多路阀额定压力：泵侧35 MPa，执行机构侧42 MPa；流量＞220 L/min，单片最大流量500L/min；控制方式：液压先导控制、电液负载敏感控制及分合流控制；功能：负流量控制、正流量控制，装机MIBF&gt;5000 h。</w:t>
      </w:r>
    </w:p>
    <w:p>
      <w:pPr>
        <w:keepNext w:val="0"/>
        <w:keepLines w:val="0"/>
        <w:pageBreakBefore w:val="0"/>
        <w:widowControl/>
        <w:numPr>
          <w:ilvl w:val="0"/>
          <w:numId w:val="2"/>
        </w:numPr>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b/>
          <w:sz w:val="30"/>
          <w:szCs w:val="30"/>
        </w:rPr>
      </w:pPr>
      <w:r>
        <w:rPr>
          <w:rFonts w:hint="default" w:ascii="Times New Roman" w:hAnsi="Times New Roman" w:eastAsia="楷体" w:cs="Times New Roman"/>
          <w:b/>
          <w:sz w:val="30"/>
          <w:szCs w:val="30"/>
        </w:rPr>
        <w:t>高压轴向柱塞回转马达、行走马达</w:t>
      </w:r>
    </w:p>
    <w:p>
      <w:pPr>
        <w:keepNext w:val="0"/>
        <w:keepLines w:val="0"/>
        <w:pageBreakBefore w:val="0"/>
        <w:widowControl/>
        <w:numPr>
          <w:ilvl w:val="0"/>
          <w:numId w:val="4"/>
        </w:numPr>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高品质铸件环节</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 w:cs="Times New Roman"/>
          <w:sz w:val="30"/>
          <w:szCs w:val="30"/>
        </w:rPr>
        <w:t>（1）</w:t>
      </w:r>
      <w:r>
        <w:rPr>
          <w:rFonts w:hint="default" w:ascii="Times New Roman" w:hAnsi="Times New Roman" w:eastAsia="楷体" w:cs="Times New Roman"/>
          <w:b/>
          <w:bCs/>
          <w:sz w:val="30"/>
          <w:szCs w:val="30"/>
        </w:rPr>
        <w:t>环节描述及任务</w:t>
      </w:r>
      <w:r>
        <w:rPr>
          <w:rFonts w:hint="default" w:ascii="Times New Roman" w:hAnsi="Times New Roman" w:eastAsia="仿宋" w:cs="Times New Roman"/>
          <w:b/>
          <w:bCs/>
          <w:sz w:val="30"/>
          <w:szCs w:val="30"/>
        </w:rPr>
        <w:t>。</w:t>
      </w:r>
      <w:r>
        <w:rPr>
          <w:rFonts w:hint="default" w:ascii="Times New Roman" w:hAnsi="Times New Roman" w:eastAsia="仿宋_GB2312" w:cs="Times New Roman"/>
          <w:sz w:val="30"/>
          <w:szCs w:val="30"/>
        </w:rPr>
        <w:t>采用高精度、高性能液压件铸造材料，开发先进造型工艺技术和制芯工艺技术，掌握先进浇铸温度控制技术。</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 w:cs="Times New Roman"/>
          <w:sz w:val="30"/>
          <w:szCs w:val="30"/>
        </w:rPr>
        <w:t>（2）</w:t>
      </w:r>
      <w:r>
        <w:rPr>
          <w:rFonts w:hint="default" w:ascii="Times New Roman" w:hAnsi="Times New Roman" w:eastAsia="楷体" w:cs="Times New Roman"/>
          <w:b/>
          <w:bCs/>
          <w:sz w:val="30"/>
          <w:szCs w:val="30"/>
        </w:rPr>
        <w:t>具体目标。</w:t>
      </w:r>
      <w:r>
        <w:rPr>
          <w:rFonts w:hint="default" w:ascii="Times New Roman" w:hAnsi="Times New Roman" w:eastAsia="仿宋_GB2312" w:cs="Times New Roman"/>
          <w:sz w:val="30"/>
          <w:szCs w:val="30"/>
        </w:rPr>
        <w:t>耐压35MPa，-40℃工况下冲击值达到技术要求，材料的疲劳强度达到200万次以上。尺寸精度：外形CT7、内腔CT6，表面质量Ra≤25。</w:t>
      </w:r>
    </w:p>
    <w:p>
      <w:pPr>
        <w:keepNext w:val="0"/>
        <w:keepLines w:val="0"/>
        <w:pageBreakBefore w:val="0"/>
        <w:widowControl/>
        <w:numPr>
          <w:ilvl w:val="0"/>
          <w:numId w:val="4"/>
        </w:numPr>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材料热处理和表面处理环节</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 w:cs="Times New Roman"/>
          <w:sz w:val="30"/>
          <w:szCs w:val="30"/>
        </w:rPr>
        <w:t>（1）</w:t>
      </w:r>
      <w:r>
        <w:rPr>
          <w:rFonts w:hint="default" w:ascii="Times New Roman" w:hAnsi="Times New Roman" w:eastAsia="楷体" w:cs="Times New Roman"/>
          <w:b/>
          <w:bCs/>
          <w:sz w:val="30"/>
          <w:szCs w:val="30"/>
        </w:rPr>
        <w:t>环节描述及任务。</w:t>
      </w:r>
      <w:r>
        <w:rPr>
          <w:rFonts w:hint="default" w:ascii="Times New Roman" w:hAnsi="Times New Roman" w:eastAsia="仿宋_GB2312" w:cs="Times New Roman"/>
          <w:sz w:val="30"/>
          <w:szCs w:val="30"/>
        </w:rPr>
        <w:t>关键球磨铸铁零件表面硬件氮化、碳氮共渗热处理工艺技术。</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 w:cs="Times New Roman"/>
          <w:sz w:val="30"/>
          <w:szCs w:val="30"/>
        </w:rPr>
        <w:t>（2）</w:t>
      </w:r>
      <w:r>
        <w:rPr>
          <w:rFonts w:hint="default" w:ascii="Times New Roman" w:hAnsi="Times New Roman" w:eastAsia="楷体" w:cs="Times New Roman"/>
          <w:b/>
          <w:bCs/>
          <w:sz w:val="30"/>
          <w:szCs w:val="30"/>
        </w:rPr>
        <w:t>具体目标。</w:t>
      </w:r>
      <w:r>
        <w:rPr>
          <w:rFonts w:hint="default" w:ascii="Times New Roman" w:hAnsi="Times New Roman" w:eastAsia="仿宋_GB2312" w:cs="Times New Roman"/>
          <w:sz w:val="30"/>
          <w:szCs w:val="30"/>
        </w:rPr>
        <w:t>表面硬度可稳定保持在900HV以上，白亮层厚度10μm左右。</w:t>
      </w:r>
    </w:p>
    <w:p>
      <w:pPr>
        <w:keepNext w:val="0"/>
        <w:keepLines w:val="0"/>
        <w:pageBreakBefore w:val="0"/>
        <w:widowControl/>
        <w:numPr>
          <w:ilvl w:val="0"/>
          <w:numId w:val="4"/>
        </w:numPr>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关键零部件加工技术</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 w:cs="Times New Roman"/>
          <w:sz w:val="30"/>
          <w:szCs w:val="30"/>
        </w:rPr>
        <w:t>（1）</w:t>
      </w:r>
      <w:r>
        <w:rPr>
          <w:rFonts w:hint="default" w:ascii="Times New Roman" w:hAnsi="Times New Roman" w:eastAsia="楷体" w:cs="Times New Roman"/>
          <w:b/>
          <w:bCs/>
          <w:sz w:val="30"/>
          <w:szCs w:val="30"/>
        </w:rPr>
        <w:t>环节描述及任务。</w:t>
      </w:r>
      <w:r>
        <w:rPr>
          <w:rFonts w:hint="default" w:ascii="Times New Roman" w:hAnsi="Times New Roman" w:eastAsia="仿宋_GB2312" w:cs="Times New Roman"/>
          <w:sz w:val="30"/>
          <w:szCs w:val="30"/>
        </w:rPr>
        <w:t>关键零部件的扣压、热能去毛刺、珩磨工艺。</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w:t>
      </w:r>
      <w:r>
        <w:rPr>
          <w:rFonts w:hint="default" w:ascii="Times New Roman" w:hAnsi="Times New Roman" w:eastAsia="楷体" w:cs="Times New Roman"/>
          <w:b/>
          <w:bCs/>
          <w:sz w:val="30"/>
          <w:szCs w:val="30"/>
        </w:rPr>
        <w:t>具体目标。</w:t>
      </w:r>
      <w:r>
        <w:rPr>
          <w:rFonts w:hint="default" w:ascii="Times New Roman" w:hAnsi="Times New Roman" w:eastAsia="仿宋_GB2312" w:cs="Times New Roman"/>
          <w:sz w:val="30"/>
          <w:szCs w:val="30"/>
        </w:rPr>
        <w:t>扣压后轴向游隙0.014-0.034mm，收口处无裂纹；热能融化毛刺，零件尺寸、表面粗糙度、金相组织及机械性能等不会受到破坏；珩磨后圆柱度可控制在3μm以内，表面粗糙度在Ra0.4以内。</w:t>
      </w:r>
    </w:p>
    <w:p>
      <w:pPr>
        <w:keepNext w:val="0"/>
        <w:keepLines w:val="0"/>
        <w:pageBreakBefore w:val="0"/>
        <w:widowControl/>
        <w:numPr>
          <w:ilvl w:val="0"/>
          <w:numId w:val="4"/>
        </w:numPr>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产品标准制定</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r>
        <w:rPr>
          <w:rFonts w:hint="default" w:ascii="Times New Roman" w:hAnsi="Times New Roman" w:eastAsia="楷体" w:cs="Times New Roman"/>
          <w:b/>
          <w:bCs/>
          <w:sz w:val="30"/>
          <w:szCs w:val="30"/>
        </w:rPr>
        <w:t>环节描述及任务。</w:t>
      </w:r>
      <w:r>
        <w:rPr>
          <w:rFonts w:hint="default" w:ascii="Times New Roman" w:hAnsi="Times New Roman" w:eastAsia="仿宋_GB2312" w:cs="Times New Roman"/>
          <w:sz w:val="30"/>
          <w:szCs w:val="30"/>
        </w:rPr>
        <w:t>根据关键工艺突破成果，参照国际先进水平相关指标参数、制定的高压轴向柱塞回转马达、行走马达产品企业标准；参与制定国家、行业标准、团体标准。</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w:t>
      </w:r>
      <w:r>
        <w:rPr>
          <w:rFonts w:hint="default" w:ascii="Times New Roman" w:hAnsi="Times New Roman" w:eastAsia="楷体" w:cs="Times New Roman"/>
          <w:b/>
          <w:bCs/>
          <w:sz w:val="30"/>
          <w:szCs w:val="30"/>
        </w:rPr>
        <w:t>具体目标。</w:t>
      </w:r>
      <w:r>
        <w:rPr>
          <w:rFonts w:hint="default" w:ascii="Times New Roman" w:hAnsi="Times New Roman" w:eastAsia="仿宋_GB2312" w:cs="Times New Roman"/>
          <w:sz w:val="30"/>
          <w:szCs w:val="30"/>
        </w:rPr>
        <w:t>基本参数、技术要求、试验方法、检验规则符合或高于GXB/WJ 0034-2015指标，具有行业推广条件。</w:t>
      </w:r>
    </w:p>
    <w:p>
      <w:pPr>
        <w:keepNext w:val="0"/>
        <w:keepLines w:val="0"/>
        <w:pageBreakBefore w:val="0"/>
        <w:widowControl/>
        <w:numPr>
          <w:ilvl w:val="0"/>
          <w:numId w:val="4"/>
        </w:numPr>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试验检测技术、评估方法及设备</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r>
        <w:rPr>
          <w:rFonts w:hint="default" w:ascii="Times New Roman" w:hAnsi="Times New Roman" w:eastAsia="楷体" w:cs="Times New Roman"/>
          <w:b/>
          <w:bCs/>
          <w:sz w:val="30"/>
          <w:szCs w:val="30"/>
        </w:rPr>
        <w:t>环节描述及任务。</w:t>
      </w:r>
      <w:r>
        <w:rPr>
          <w:rFonts w:hint="default" w:ascii="Times New Roman" w:hAnsi="Times New Roman" w:eastAsia="仿宋_GB2312" w:cs="Times New Roman"/>
          <w:sz w:val="30"/>
          <w:szCs w:val="30"/>
        </w:rPr>
        <w:t>采用综合试验或单项、多项试验设备实现高压轴向柱塞回转马达、行走马达全参数型式试验，满足不同主机工况需求；采用主要参数生产检测设备，满足生产需要；制定相应的评估方法和指标，满足产业化要求。</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w:t>
      </w:r>
      <w:r>
        <w:rPr>
          <w:rFonts w:hint="default" w:ascii="Times New Roman" w:hAnsi="Times New Roman" w:eastAsia="楷体" w:cs="Times New Roman"/>
          <w:b/>
          <w:bCs/>
          <w:sz w:val="30"/>
          <w:szCs w:val="30"/>
        </w:rPr>
        <w:t>具体目标。</w:t>
      </w:r>
      <w:r>
        <w:rPr>
          <w:rFonts w:hint="default" w:ascii="Times New Roman" w:hAnsi="Times New Roman" w:eastAsia="仿宋_GB2312" w:cs="Times New Roman"/>
          <w:sz w:val="30"/>
          <w:szCs w:val="30"/>
        </w:rPr>
        <w:t>满足不同主机工况测试需求，满足高压轴向柱塞回转马达、行走马达型式试验测试需求；满足批量化生产检测要求。高压轴向柱塞回转马达排量Q：130~180 ml/r，最高输出转速n：1850 rpm，额定压力</w:t>
      </w:r>
      <w:r>
        <w:rPr>
          <w:rFonts w:hint="default" w:ascii="Times New Roman" w:hAnsi="Times New Roman" w:eastAsia="仿宋_GB2312" w:cs="Times New Roman"/>
          <w:sz w:val="32"/>
          <w:szCs w:val="32"/>
        </w:rPr>
        <w:t>Pn</w:t>
      </w:r>
      <w:r>
        <w:rPr>
          <w:rFonts w:hint="default" w:ascii="Times New Roman" w:hAnsi="Times New Roman" w:eastAsia="仿宋_GB2312" w:cs="Times New Roman"/>
          <w:sz w:val="30"/>
          <w:szCs w:val="30"/>
        </w:rPr>
        <w:t>≥32 MPa，最高压力Pmax≥40 MPa，装机MIBF&gt;5000 h。高压轴向柱塞行走马达排量Q：170~280 ml/r，最高输出转速n：2200 rpm，额定压力</w:t>
      </w:r>
      <w:r>
        <w:rPr>
          <w:rFonts w:hint="default" w:ascii="Times New Roman" w:hAnsi="Times New Roman" w:eastAsia="仿宋_GB2312" w:cs="Times New Roman"/>
          <w:sz w:val="32"/>
          <w:szCs w:val="32"/>
        </w:rPr>
        <w:t>Pn</w:t>
      </w:r>
      <w:r>
        <w:rPr>
          <w:rFonts w:hint="default" w:ascii="Times New Roman" w:hAnsi="Times New Roman" w:eastAsia="仿宋_GB2312" w:cs="Times New Roman"/>
          <w:sz w:val="30"/>
          <w:szCs w:val="30"/>
        </w:rPr>
        <w:t>≥32 MPa，最高压力Pmax≥40 MPa，装机MIBF&gt;5000 h。（注：要求回转马达和行走马达能提供总成，且总成输出扭矩和安装尺寸满足装机要求。）</w:t>
      </w:r>
    </w:p>
    <w:p>
      <w:pPr>
        <w:keepNext w:val="0"/>
        <w:keepLines w:val="0"/>
        <w:pageBreakBefore w:val="0"/>
        <w:widowControl/>
        <w:numPr>
          <w:ilvl w:val="0"/>
          <w:numId w:val="2"/>
        </w:numPr>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b/>
          <w:sz w:val="30"/>
          <w:szCs w:val="30"/>
        </w:rPr>
      </w:pPr>
      <w:r>
        <w:rPr>
          <w:rFonts w:hint="default" w:ascii="Times New Roman" w:hAnsi="Times New Roman" w:eastAsia="楷体" w:cs="Times New Roman"/>
          <w:b/>
          <w:sz w:val="30"/>
          <w:szCs w:val="30"/>
        </w:rPr>
        <w:t>开式轴向柱塞双泵</w:t>
      </w:r>
    </w:p>
    <w:p>
      <w:pPr>
        <w:keepNext w:val="0"/>
        <w:keepLines w:val="0"/>
        <w:pageBreakBefore w:val="0"/>
        <w:widowControl/>
        <w:numPr>
          <w:ilvl w:val="0"/>
          <w:numId w:val="5"/>
        </w:numPr>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高品质铸件环节</w:t>
      </w:r>
    </w:p>
    <w:p>
      <w:pPr>
        <w:keepNext w:val="0"/>
        <w:keepLines w:val="0"/>
        <w:pageBreakBefore w:val="0"/>
        <w:widowControl/>
        <w:numPr>
          <w:ilvl w:val="0"/>
          <w:numId w:val="6"/>
        </w:numPr>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楷体" w:cs="Times New Roman"/>
          <w:b/>
          <w:bCs/>
          <w:sz w:val="30"/>
          <w:szCs w:val="30"/>
        </w:rPr>
        <w:t>环节描述及任务。</w:t>
      </w:r>
      <w:r>
        <w:rPr>
          <w:rFonts w:hint="default" w:ascii="Times New Roman" w:hAnsi="Times New Roman" w:eastAsia="仿宋_GB2312" w:cs="Times New Roman"/>
          <w:sz w:val="30"/>
          <w:szCs w:val="30"/>
        </w:rPr>
        <w:t>采用高精度、高性能液压件铸造材料，开发先进造型工艺技术和制芯工艺技术，掌握先进浇铸温度控制技术。</w:t>
      </w:r>
    </w:p>
    <w:p>
      <w:pPr>
        <w:keepNext w:val="0"/>
        <w:keepLines w:val="0"/>
        <w:pageBreakBefore w:val="0"/>
        <w:widowControl/>
        <w:numPr>
          <w:ilvl w:val="0"/>
          <w:numId w:val="6"/>
        </w:numPr>
        <w:kinsoku/>
        <w:wordWrap w:val="0"/>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bCs/>
          <w:sz w:val="30"/>
          <w:szCs w:val="30"/>
        </w:rPr>
        <w:t>具体目标。</w:t>
      </w:r>
      <w:r>
        <w:rPr>
          <w:rFonts w:hint="default" w:ascii="Times New Roman" w:hAnsi="Times New Roman" w:eastAsia="仿宋_GB2312" w:cs="Times New Roman"/>
          <w:sz w:val="30"/>
          <w:szCs w:val="30"/>
        </w:rPr>
        <w:t>耐压35MPa，-40℃工况下冲击值达到技术要求，材料的疲劳强度达到200万次以上。尺寸精度：外形CT7、内腔CT6，表面质量Ra≤25。</w:t>
      </w:r>
    </w:p>
    <w:p>
      <w:pPr>
        <w:keepNext w:val="0"/>
        <w:keepLines w:val="0"/>
        <w:pageBreakBefore w:val="0"/>
        <w:widowControl/>
        <w:numPr>
          <w:ilvl w:val="0"/>
          <w:numId w:val="5"/>
        </w:numPr>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材料热处理和表面处理环节</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 w:cs="Times New Roman"/>
          <w:sz w:val="30"/>
          <w:szCs w:val="30"/>
        </w:rPr>
        <w:t>（1）</w:t>
      </w:r>
      <w:r>
        <w:rPr>
          <w:rFonts w:hint="default" w:ascii="Times New Roman" w:hAnsi="Times New Roman" w:eastAsia="楷体" w:cs="Times New Roman"/>
          <w:b/>
          <w:bCs/>
          <w:sz w:val="30"/>
          <w:szCs w:val="30"/>
        </w:rPr>
        <w:t>环节描述及任务。</w:t>
      </w:r>
      <w:r>
        <w:rPr>
          <w:rFonts w:hint="default" w:ascii="Times New Roman" w:hAnsi="Times New Roman" w:eastAsia="仿宋_GB2312" w:cs="Times New Roman"/>
          <w:sz w:val="30"/>
          <w:szCs w:val="30"/>
        </w:rPr>
        <w:t>关键球磨铸铁零件表面硬件氮化、碳氮共渗热处理工艺技术。</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 w:cs="Times New Roman"/>
          <w:sz w:val="30"/>
          <w:szCs w:val="30"/>
        </w:rPr>
        <w:t>（2）</w:t>
      </w:r>
      <w:r>
        <w:rPr>
          <w:rFonts w:hint="default" w:ascii="Times New Roman" w:hAnsi="Times New Roman" w:eastAsia="楷体" w:cs="Times New Roman"/>
          <w:b/>
          <w:bCs/>
          <w:sz w:val="30"/>
          <w:szCs w:val="30"/>
        </w:rPr>
        <w:t>具体目标。</w:t>
      </w:r>
      <w:r>
        <w:rPr>
          <w:rFonts w:hint="default" w:ascii="Times New Roman" w:hAnsi="Times New Roman" w:eastAsia="仿宋_GB2312" w:cs="Times New Roman"/>
          <w:sz w:val="30"/>
          <w:szCs w:val="30"/>
        </w:rPr>
        <w:t>表面硬度可稳定保持在900HV以上，白亮层厚度10μm左右。</w:t>
      </w:r>
    </w:p>
    <w:p>
      <w:pPr>
        <w:keepNext w:val="0"/>
        <w:keepLines w:val="0"/>
        <w:pageBreakBefore w:val="0"/>
        <w:widowControl/>
        <w:numPr>
          <w:ilvl w:val="0"/>
          <w:numId w:val="5"/>
        </w:numPr>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关键零部件加工技术</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 w:cs="Times New Roman"/>
          <w:sz w:val="30"/>
          <w:szCs w:val="30"/>
        </w:rPr>
        <w:t>（1）</w:t>
      </w:r>
      <w:r>
        <w:rPr>
          <w:rFonts w:hint="default" w:ascii="Times New Roman" w:hAnsi="Times New Roman" w:eastAsia="楷体" w:cs="Times New Roman"/>
          <w:b/>
          <w:bCs/>
          <w:sz w:val="30"/>
          <w:szCs w:val="30"/>
        </w:rPr>
        <w:t>环节描述及任务。</w:t>
      </w:r>
      <w:r>
        <w:rPr>
          <w:rFonts w:hint="default" w:ascii="Times New Roman" w:hAnsi="Times New Roman" w:eastAsia="仿宋_GB2312" w:cs="Times New Roman"/>
          <w:sz w:val="30"/>
          <w:szCs w:val="30"/>
        </w:rPr>
        <w:t>关键零部件的扣压、热能去毛刺、珩磨工艺。</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w:t>
      </w:r>
      <w:r>
        <w:rPr>
          <w:rFonts w:hint="default" w:ascii="Times New Roman" w:hAnsi="Times New Roman" w:eastAsia="楷体" w:cs="Times New Roman"/>
          <w:b/>
          <w:bCs/>
          <w:sz w:val="30"/>
          <w:szCs w:val="30"/>
        </w:rPr>
        <w:t>具体目标。</w:t>
      </w:r>
      <w:r>
        <w:rPr>
          <w:rFonts w:hint="default" w:ascii="Times New Roman" w:hAnsi="Times New Roman" w:eastAsia="仿宋_GB2312" w:cs="Times New Roman"/>
          <w:sz w:val="30"/>
          <w:szCs w:val="30"/>
        </w:rPr>
        <w:t>扣压后轴向游隙0.014-0.034mm，收口处无裂纹；热能融化毛刺，零件尺寸、表面粗糙度、金相组织及机械性能等不会受到破坏；珩磨后圆柱度可控制在3μm以内，表面粗糙度在Ra0.4以内。</w:t>
      </w:r>
    </w:p>
    <w:p>
      <w:pPr>
        <w:keepNext w:val="0"/>
        <w:keepLines w:val="0"/>
        <w:pageBreakBefore w:val="0"/>
        <w:widowControl/>
        <w:numPr>
          <w:ilvl w:val="0"/>
          <w:numId w:val="5"/>
        </w:numPr>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控制技术</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r>
        <w:rPr>
          <w:rFonts w:hint="default" w:ascii="Times New Roman" w:hAnsi="Times New Roman" w:eastAsia="楷体" w:cs="Times New Roman"/>
          <w:b/>
          <w:bCs/>
          <w:sz w:val="30"/>
          <w:szCs w:val="30"/>
        </w:rPr>
        <w:t>环节描述及任务。</w:t>
      </w:r>
      <w:r>
        <w:rPr>
          <w:rFonts w:hint="default" w:ascii="Times New Roman" w:hAnsi="Times New Roman" w:eastAsia="仿宋_GB2312" w:cs="Times New Roman"/>
          <w:sz w:val="30"/>
          <w:szCs w:val="30"/>
        </w:rPr>
        <w:t>正流量控制技术，负流量控制技术，负荷传感控制技术。</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w:t>
      </w:r>
      <w:r>
        <w:rPr>
          <w:rFonts w:hint="default" w:ascii="Times New Roman" w:hAnsi="Times New Roman" w:eastAsia="楷体" w:cs="Times New Roman"/>
          <w:b/>
          <w:bCs/>
          <w:sz w:val="30"/>
          <w:szCs w:val="30"/>
        </w:rPr>
        <w:t>具体目标。</w:t>
      </w:r>
      <w:r>
        <w:rPr>
          <w:rFonts w:hint="default" w:ascii="Times New Roman" w:hAnsi="Times New Roman" w:eastAsia="仿宋_GB2312" w:cs="Times New Roman"/>
          <w:sz w:val="30"/>
          <w:szCs w:val="30"/>
        </w:rPr>
        <w:t>正流量控制采用电液结合控制，可实现用多少给多少的控制技术；电控与发动机控制结合，提高可操作性与节油。负流量控制是由阀产生控制信号反馈给泵，从而控制泵的排量；负荷传感控制技术具有抗饱和性，各动作根据阀芯面积控制分配流量，不受负载大小影响。</w:t>
      </w:r>
    </w:p>
    <w:p>
      <w:pPr>
        <w:keepNext w:val="0"/>
        <w:keepLines w:val="0"/>
        <w:pageBreakBefore w:val="0"/>
        <w:widowControl/>
        <w:numPr>
          <w:ilvl w:val="0"/>
          <w:numId w:val="5"/>
        </w:numPr>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产品标准制定</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r>
        <w:rPr>
          <w:rFonts w:hint="default" w:ascii="Times New Roman" w:hAnsi="Times New Roman" w:eastAsia="楷体" w:cs="Times New Roman"/>
          <w:b/>
          <w:bCs/>
          <w:sz w:val="30"/>
          <w:szCs w:val="30"/>
        </w:rPr>
        <w:t>环节描述及任务。</w:t>
      </w:r>
      <w:r>
        <w:rPr>
          <w:rFonts w:hint="default" w:ascii="Times New Roman" w:hAnsi="Times New Roman" w:eastAsia="仿宋_GB2312" w:cs="Times New Roman"/>
          <w:sz w:val="30"/>
          <w:szCs w:val="30"/>
        </w:rPr>
        <w:t>根据关键工艺突破成果，参照相关国际先进水平指标参数、开式轴向柱塞双泵产品企业标准，参与制定国家、行业标准、团体标准。</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w:t>
      </w:r>
      <w:r>
        <w:rPr>
          <w:rFonts w:hint="default" w:ascii="Times New Roman" w:hAnsi="Times New Roman" w:eastAsia="楷体" w:cs="Times New Roman"/>
          <w:b/>
          <w:bCs/>
          <w:sz w:val="30"/>
          <w:szCs w:val="30"/>
        </w:rPr>
        <w:t>具体目标。</w:t>
      </w:r>
      <w:r>
        <w:rPr>
          <w:rFonts w:hint="default" w:ascii="Times New Roman" w:hAnsi="Times New Roman" w:eastAsia="仿宋_GB2312" w:cs="Times New Roman"/>
          <w:sz w:val="30"/>
          <w:szCs w:val="30"/>
        </w:rPr>
        <w:t>基本参数、技术要求、试验方法、检验规则符合或高于GXB/WJ 0032-2015液压挖掘机用双联轴向柱塞泵试验室耐久性试验要求，具有行业推广条件。</w:t>
      </w:r>
    </w:p>
    <w:p>
      <w:pPr>
        <w:keepNext w:val="0"/>
        <w:keepLines w:val="0"/>
        <w:pageBreakBefore w:val="0"/>
        <w:widowControl/>
        <w:numPr>
          <w:ilvl w:val="0"/>
          <w:numId w:val="5"/>
        </w:numPr>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试验检测技术、评估方法及设备</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r>
        <w:rPr>
          <w:rFonts w:hint="default" w:ascii="Times New Roman" w:hAnsi="Times New Roman" w:eastAsia="楷体" w:cs="Times New Roman"/>
          <w:b/>
          <w:bCs/>
          <w:sz w:val="30"/>
          <w:szCs w:val="30"/>
        </w:rPr>
        <w:t>环节描述及任务。</w:t>
      </w:r>
      <w:r>
        <w:rPr>
          <w:rFonts w:hint="default" w:ascii="Times New Roman" w:hAnsi="Times New Roman" w:eastAsia="仿宋_GB2312" w:cs="Times New Roman"/>
          <w:sz w:val="30"/>
          <w:szCs w:val="30"/>
        </w:rPr>
        <w:t>采用综合试验或单项、多项试验设备实现开式轴向柱塞双泵全参数型式试验，满足不同主机工况需求；采用主要参数检测设备，满足生产需要；制定相应的评估方法和指标，满足产业化要求。</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w:t>
      </w:r>
      <w:r>
        <w:rPr>
          <w:rFonts w:hint="default" w:ascii="Times New Roman" w:hAnsi="Times New Roman" w:eastAsia="楷体" w:cs="Times New Roman"/>
          <w:b/>
          <w:bCs/>
          <w:sz w:val="30"/>
          <w:szCs w:val="30"/>
        </w:rPr>
        <w:t>具体目标。</w:t>
      </w:r>
      <w:r>
        <w:rPr>
          <w:rFonts w:hint="default" w:ascii="Times New Roman" w:hAnsi="Times New Roman" w:eastAsia="仿宋_GB2312" w:cs="Times New Roman"/>
          <w:sz w:val="30"/>
          <w:szCs w:val="30"/>
        </w:rPr>
        <w:t>满足不同主机工况测试需求，满足开式轴向柱塞双泵型式试验测试需求；满足批量化生产检测要求。开式轴向柱塞双泵，变量方式：压力控制，功率控制，电比例功率，电比例排量及上述变量组合；额定转速n≥1900rpm；排量范围：210-420mL/r；额定压力P≥35MPa，最高压力Pmax≥42MPa；装机MIBF&gt;8000h。</w:t>
      </w:r>
    </w:p>
    <w:p>
      <w:pPr>
        <w:keepNext w:val="0"/>
        <w:keepLines w:val="0"/>
        <w:pageBreakBefore w:val="0"/>
        <w:widowControl/>
        <w:numPr>
          <w:ilvl w:val="0"/>
          <w:numId w:val="1"/>
        </w:numPr>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咨询电话</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机械工业规划研究院  王 万   010-68732009</w:t>
      </w: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0"/>
          <w:szCs w:val="30"/>
        </w:rPr>
      </w:pPr>
    </w:p>
    <w:p>
      <w:pPr>
        <w:keepNext w:val="0"/>
        <w:keepLines w:val="0"/>
        <w:pageBreakBefore w:val="0"/>
        <w:widowControl/>
        <w:kinsoku/>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附：2017年工程机械高压油泵、液压阀、马达“一条龙”应用计</w:t>
      </w:r>
    </w:p>
    <w:p>
      <w:pPr>
        <w:keepNext w:val="0"/>
        <w:keepLines w:val="0"/>
        <w:pageBreakBefore w:val="0"/>
        <w:widowControl/>
        <w:kinsoku/>
        <w:wordWrap/>
        <w:overflowPunct/>
        <w:topLinePunct w:val="0"/>
        <w:autoSpaceDE w:val="0"/>
        <w:autoSpaceDN w:val="0"/>
        <w:bidi w:val="0"/>
        <w:adjustRightInd/>
        <w:snapToGrid/>
        <w:spacing w:line="560" w:lineRule="exact"/>
        <w:ind w:left="630" w:leftChars="300" w:right="0" w:rightChars="0" w:firstLine="600" w:firstLineChars="200"/>
        <w:jc w:val="both"/>
        <w:textAlignment w:val="auto"/>
        <w:outlineLvl w:val="9"/>
        <w:rPr>
          <w:rFonts w:hint="default" w:ascii="Times New Roman" w:hAnsi="Times New Roman" w:eastAsia="仿宋_GB2312" w:cs="Times New Roman"/>
          <w:sz w:val="30"/>
          <w:szCs w:val="30"/>
        </w:rPr>
        <w:sectPr>
          <w:headerReference r:id="rId3" w:type="default"/>
          <w:footerReference r:id="rId4" w:type="default"/>
          <w:pgSz w:w="11850" w:h="16783"/>
          <w:pgMar w:top="1587" w:right="1474" w:bottom="1474" w:left="1587" w:header="851" w:footer="992" w:gutter="0"/>
          <w:cols w:space="720" w:num="1"/>
          <w:docGrid w:type="lines" w:linePitch="317" w:charSpace="0"/>
        </w:sectPr>
      </w:pPr>
      <w:r>
        <w:rPr>
          <w:rFonts w:hint="default" w:ascii="Times New Roman" w:hAnsi="Times New Roman" w:eastAsia="仿宋_GB2312" w:cs="Times New Roman"/>
          <w:sz w:val="30"/>
          <w:szCs w:val="30"/>
        </w:rPr>
        <w:t>划申报书</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0" w:firstLineChars="0"/>
        <w:jc w:val="both"/>
        <w:textAlignment w:val="auto"/>
        <w:outlineLvl w:val="9"/>
        <w:rPr>
          <w:rFonts w:ascii="Times New Roman" w:hAnsi="Times New Roman" w:eastAsia="仿宋_GB2312" w:cs="Times New Roman"/>
          <w:sz w:val="32"/>
          <w:szCs w:val="32"/>
        </w:rPr>
      </w:pPr>
      <w:r>
        <w:rPr>
          <w:rFonts w:eastAsia="仿宋_GB2312"/>
          <w:sz w:val="30"/>
          <w:szCs w:val="30"/>
        </w:rPr>
        <w:br w:type="page"/>
      </w:r>
      <w:r>
        <w:rPr>
          <w:rFonts w:ascii="Times New Roman" w:hAnsi="Times New Roman" w:eastAsia="仿宋_GB2312" w:cs="Times New Roman"/>
          <w:sz w:val="32"/>
          <w:szCs w:val="32"/>
        </w:rPr>
        <w:t>附</w:t>
      </w:r>
    </w:p>
    <w:p>
      <w:pPr/>
    </w:p>
    <w:p>
      <w:pPr/>
    </w:p>
    <w:p>
      <w:pPr>
        <w:jc w:val="center"/>
        <w:rPr>
          <w:rFonts w:eastAsia="黑体"/>
          <w:sz w:val="44"/>
        </w:rPr>
      </w:pPr>
    </w:p>
    <w:p>
      <w:pPr>
        <w:snapToGrid w:val="0"/>
        <w:spacing w:line="300" w:lineRule="auto"/>
        <w:jc w:val="center"/>
        <w:rPr>
          <w:rFonts w:eastAsia="黑体"/>
          <w:b/>
          <w:bCs/>
          <w:sz w:val="36"/>
          <w:szCs w:val="36"/>
        </w:rPr>
      </w:pPr>
      <w:r>
        <w:rPr>
          <w:rFonts w:eastAsia="黑体"/>
          <w:b/>
          <w:bCs/>
          <w:sz w:val="36"/>
          <w:szCs w:val="36"/>
        </w:rPr>
        <w:t>工程机械高压油泵、液压阀、马达</w:t>
      </w:r>
    </w:p>
    <w:p>
      <w:pPr>
        <w:snapToGrid w:val="0"/>
        <w:spacing w:line="300" w:lineRule="auto"/>
        <w:jc w:val="center"/>
        <w:rPr>
          <w:rFonts w:eastAsia="黑体"/>
          <w:b/>
          <w:bCs/>
          <w:sz w:val="36"/>
          <w:szCs w:val="36"/>
        </w:rPr>
      </w:pPr>
      <w:r>
        <w:rPr>
          <w:rFonts w:hint="eastAsia" w:eastAsia="黑体"/>
          <w:b/>
          <w:bCs/>
          <w:sz w:val="36"/>
          <w:szCs w:val="36"/>
        </w:rPr>
        <w:t>“一条龙”</w:t>
      </w:r>
      <w:r>
        <w:rPr>
          <w:rFonts w:eastAsia="黑体"/>
          <w:b/>
          <w:bCs/>
          <w:sz w:val="36"/>
          <w:szCs w:val="36"/>
        </w:rPr>
        <w:t>应用计划申报书</w:t>
      </w:r>
    </w:p>
    <w:p>
      <w:pPr>
        <w:jc w:val="center"/>
        <w:outlineLvl w:val="0"/>
        <w:rPr>
          <w:rFonts w:eastAsia="仿宋_GB2312"/>
          <w:bCs/>
          <w:sz w:val="36"/>
        </w:rPr>
      </w:pPr>
    </w:p>
    <w:p>
      <w:pPr>
        <w:jc w:val="center"/>
        <w:outlineLvl w:val="0"/>
        <w:rPr>
          <w:rFonts w:eastAsia="仿宋_GB2312"/>
          <w:bCs/>
          <w:sz w:val="36"/>
        </w:rPr>
      </w:pPr>
    </w:p>
    <w:p>
      <w:pPr>
        <w:adjustRightInd w:val="0"/>
        <w:snapToGrid w:val="0"/>
        <w:spacing w:line="360" w:lineRule="auto"/>
        <w:ind w:firstLine="640" w:firstLineChars="200"/>
        <w:rPr>
          <w:rFonts w:eastAsia="黑体"/>
          <w:sz w:val="32"/>
          <w:szCs w:val="32"/>
        </w:rPr>
      </w:pPr>
    </w:p>
    <w:p>
      <w:pPr>
        <w:adjustRightInd w:val="0"/>
        <w:snapToGrid w:val="0"/>
        <w:spacing w:line="360" w:lineRule="auto"/>
        <w:ind w:firstLine="640" w:firstLineChars="200"/>
        <w:rPr>
          <w:rFonts w:eastAsia="黑体"/>
          <w:sz w:val="32"/>
          <w:szCs w:val="32"/>
        </w:rPr>
      </w:pPr>
    </w:p>
    <w:p>
      <w:pPr>
        <w:spacing w:line="480" w:lineRule="auto"/>
        <w:ind w:firstLine="576" w:firstLineChars="192"/>
        <w:rPr>
          <w:rFonts w:eastAsia="黑体"/>
          <w:sz w:val="30"/>
          <w:szCs w:val="30"/>
          <w:lang w:val="zh-CN"/>
        </w:rPr>
      </w:pPr>
      <w:r>
        <w:rPr>
          <w:rFonts w:eastAsia="黑体"/>
          <w:sz w:val="30"/>
          <w:szCs w:val="30"/>
          <w:lang w:val="zh-CN"/>
        </w:rPr>
        <w:t>企业名称：</w:t>
      </w:r>
    </w:p>
    <w:p>
      <w:pPr>
        <w:spacing w:line="480" w:lineRule="auto"/>
        <w:ind w:firstLine="576" w:firstLineChars="192"/>
        <w:rPr>
          <w:rFonts w:eastAsia="黑体"/>
          <w:sz w:val="30"/>
          <w:szCs w:val="30"/>
          <w:lang w:val="zh-CN"/>
        </w:rPr>
      </w:pPr>
      <w:r>
        <w:rPr>
          <w:rFonts w:eastAsia="黑体"/>
          <w:sz w:val="30"/>
          <w:szCs w:val="30"/>
          <w:lang w:val="zh-CN"/>
        </w:rPr>
        <w:t>项目名称：</w:t>
      </w:r>
    </w:p>
    <w:p>
      <w:pPr>
        <w:spacing w:line="480" w:lineRule="auto"/>
        <w:ind w:firstLine="576" w:firstLineChars="192"/>
        <w:rPr>
          <w:rFonts w:eastAsia="黑体"/>
          <w:sz w:val="30"/>
          <w:szCs w:val="30"/>
        </w:rPr>
      </w:pPr>
      <w:r>
        <w:rPr>
          <w:rFonts w:eastAsia="黑体"/>
          <w:sz w:val="30"/>
          <w:szCs w:val="30"/>
        </w:rPr>
        <w:t>责任人（法人代表）：</w:t>
      </w:r>
    </w:p>
    <w:p>
      <w:pPr>
        <w:spacing w:line="480" w:lineRule="auto"/>
        <w:ind w:firstLine="576" w:firstLineChars="192"/>
        <w:rPr>
          <w:rFonts w:eastAsia="黑体"/>
          <w:color w:val="FF0000"/>
          <w:sz w:val="30"/>
          <w:szCs w:val="30"/>
          <w:lang w:val="zh-CN"/>
        </w:rPr>
      </w:pPr>
      <w:r>
        <w:rPr>
          <w:rFonts w:eastAsia="黑体"/>
          <w:sz w:val="30"/>
          <w:szCs w:val="30"/>
          <w:lang w:val="zh-CN"/>
        </w:rPr>
        <w:t>项目技术负责人：</w:t>
      </w:r>
    </w:p>
    <w:p>
      <w:pPr>
        <w:spacing w:line="480" w:lineRule="auto"/>
        <w:ind w:firstLine="576" w:firstLineChars="192"/>
        <w:rPr>
          <w:rFonts w:eastAsia="黑体"/>
          <w:sz w:val="30"/>
          <w:szCs w:val="30"/>
          <w:lang w:val="zh-CN"/>
        </w:rPr>
      </w:pPr>
      <w:r>
        <w:rPr>
          <w:rFonts w:eastAsia="黑体"/>
          <w:sz w:val="30"/>
          <w:szCs w:val="30"/>
          <w:lang w:val="zh-CN"/>
        </w:rPr>
        <w:t>实施年限：20</w:t>
      </w:r>
      <w:r>
        <w:rPr>
          <w:rFonts w:hint="eastAsia" w:eastAsia="黑体"/>
          <w:sz w:val="30"/>
          <w:szCs w:val="30"/>
          <w:u w:val="single"/>
          <w:lang w:val="zh-CN"/>
        </w:rPr>
        <w:t xml:space="preserve">    </w:t>
      </w:r>
      <w:r>
        <w:rPr>
          <w:rFonts w:eastAsia="黑体"/>
          <w:sz w:val="30"/>
          <w:szCs w:val="30"/>
          <w:lang w:val="zh-CN"/>
        </w:rPr>
        <w:t>年</w:t>
      </w:r>
      <w:r>
        <w:rPr>
          <w:rFonts w:hint="eastAsia" w:eastAsia="黑体"/>
          <w:sz w:val="30"/>
          <w:szCs w:val="30"/>
          <w:u w:val="single"/>
          <w:lang w:val="zh-CN"/>
        </w:rPr>
        <w:t xml:space="preserve">    </w:t>
      </w:r>
      <w:r>
        <w:rPr>
          <w:rFonts w:eastAsia="黑体"/>
          <w:sz w:val="30"/>
          <w:szCs w:val="30"/>
          <w:lang w:val="zh-CN"/>
        </w:rPr>
        <w:t>月至20</w:t>
      </w:r>
      <w:r>
        <w:rPr>
          <w:rFonts w:hint="eastAsia" w:eastAsia="黑体"/>
          <w:sz w:val="30"/>
          <w:szCs w:val="30"/>
          <w:u w:val="single"/>
          <w:lang w:val="zh-CN"/>
        </w:rPr>
        <w:t xml:space="preserve">    </w:t>
      </w:r>
      <w:r>
        <w:rPr>
          <w:rFonts w:eastAsia="黑体"/>
          <w:sz w:val="30"/>
          <w:szCs w:val="30"/>
          <w:lang w:val="zh-CN"/>
        </w:rPr>
        <w:t>年</w:t>
      </w:r>
      <w:r>
        <w:rPr>
          <w:rFonts w:hint="eastAsia" w:eastAsia="黑体"/>
          <w:sz w:val="30"/>
          <w:szCs w:val="30"/>
          <w:u w:val="single"/>
          <w:lang w:val="zh-CN"/>
        </w:rPr>
        <w:t xml:space="preserve">    </w:t>
      </w:r>
      <w:r>
        <w:rPr>
          <w:rFonts w:eastAsia="黑体"/>
          <w:sz w:val="30"/>
          <w:szCs w:val="30"/>
          <w:lang w:val="zh-CN"/>
        </w:rPr>
        <w:t>月</w:t>
      </w:r>
    </w:p>
    <w:p>
      <w:pPr>
        <w:spacing w:line="480" w:lineRule="auto"/>
        <w:ind w:firstLine="576" w:firstLineChars="192"/>
        <w:rPr>
          <w:rFonts w:eastAsia="黑体"/>
          <w:sz w:val="30"/>
          <w:szCs w:val="30"/>
          <w:lang w:val="zh-CN"/>
        </w:rPr>
      </w:pPr>
      <w:r>
        <w:rPr>
          <w:rFonts w:eastAsia="黑体"/>
          <w:sz w:val="30"/>
          <w:szCs w:val="30"/>
          <w:lang w:val="zh-CN"/>
        </w:rPr>
        <w:t>填报日期：20</w:t>
      </w:r>
      <w:r>
        <w:rPr>
          <w:rFonts w:hint="eastAsia" w:eastAsia="黑体"/>
          <w:sz w:val="30"/>
          <w:szCs w:val="30"/>
          <w:u w:val="single"/>
          <w:lang w:val="zh-CN"/>
        </w:rPr>
        <w:t xml:space="preserve">    </w:t>
      </w:r>
      <w:r>
        <w:rPr>
          <w:rFonts w:eastAsia="黑体"/>
          <w:sz w:val="30"/>
          <w:szCs w:val="30"/>
          <w:lang w:val="zh-CN"/>
        </w:rPr>
        <w:t>年</w:t>
      </w:r>
      <w:r>
        <w:rPr>
          <w:rFonts w:hint="eastAsia" w:eastAsia="黑体"/>
          <w:sz w:val="30"/>
          <w:szCs w:val="30"/>
          <w:u w:val="single"/>
          <w:lang w:val="zh-CN"/>
        </w:rPr>
        <w:t xml:space="preserve">    </w:t>
      </w:r>
      <w:r>
        <w:rPr>
          <w:rFonts w:eastAsia="黑体"/>
          <w:sz w:val="30"/>
          <w:szCs w:val="30"/>
          <w:lang w:val="zh-CN"/>
        </w:rPr>
        <w:t>月</w:t>
      </w:r>
      <w:r>
        <w:rPr>
          <w:rFonts w:hint="eastAsia" w:eastAsia="黑体"/>
          <w:sz w:val="30"/>
          <w:szCs w:val="30"/>
          <w:u w:val="single"/>
          <w:lang w:val="zh-CN"/>
        </w:rPr>
        <w:t xml:space="preserve">    </w:t>
      </w:r>
      <w:r>
        <w:rPr>
          <w:rFonts w:eastAsia="黑体"/>
          <w:sz w:val="30"/>
          <w:szCs w:val="30"/>
          <w:lang w:val="zh-CN"/>
        </w:rPr>
        <w:t>日</w:t>
      </w:r>
    </w:p>
    <w:p>
      <w:pPr>
        <w:adjustRightInd w:val="0"/>
        <w:snapToGrid w:val="0"/>
        <w:spacing w:line="480" w:lineRule="auto"/>
        <w:ind w:firstLine="640" w:firstLineChars="200"/>
        <w:rPr>
          <w:rFonts w:eastAsia="黑体"/>
          <w:sz w:val="32"/>
          <w:szCs w:val="32"/>
        </w:rPr>
      </w:pPr>
    </w:p>
    <w:p>
      <w:pPr>
        <w:tabs>
          <w:tab w:val="left" w:pos="2300"/>
        </w:tabs>
        <w:adjustRightInd w:val="0"/>
        <w:snapToGrid w:val="0"/>
        <w:spacing w:line="360" w:lineRule="auto"/>
        <w:rPr>
          <w:rFonts w:eastAsia="黑体"/>
          <w:sz w:val="32"/>
          <w:szCs w:val="32"/>
        </w:rPr>
      </w:pPr>
      <w:r>
        <w:rPr>
          <w:rFonts w:eastAsia="黑体"/>
          <w:sz w:val="32"/>
          <w:szCs w:val="32"/>
        </w:rPr>
        <w:tab/>
      </w:r>
    </w:p>
    <w:p>
      <w:pPr>
        <w:adjustRightInd w:val="0"/>
        <w:snapToGrid w:val="0"/>
        <w:spacing w:line="360" w:lineRule="auto"/>
        <w:rPr>
          <w:rFonts w:eastAsia="黑体"/>
          <w:sz w:val="32"/>
          <w:szCs w:val="32"/>
        </w:rPr>
      </w:pPr>
    </w:p>
    <w:p>
      <w:pPr>
        <w:adjustRightInd w:val="0"/>
        <w:snapToGrid w:val="0"/>
        <w:spacing w:line="360" w:lineRule="auto"/>
        <w:rPr>
          <w:rFonts w:eastAsia="黑体"/>
          <w:sz w:val="32"/>
          <w:szCs w:val="32"/>
        </w:rPr>
      </w:pPr>
    </w:p>
    <w:p>
      <w:pPr>
        <w:spacing w:line="360" w:lineRule="auto"/>
        <w:jc w:val="center"/>
        <w:rPr>
          <w:rFonts w:eastAsia="黑体"/>
          <w:sz w:val="30"/>
          <w:szCs w:val="30"/>
        </w:rPr>
      </w:pPr>
      <w:r>
        <w:rPr>
          <w:rFonts w:eastAsia="黑体"/>
          <w:sz w:val="30"/>
          <w:szCs w:val="30"/>
        </w:rPr>
        <w:t>中华人民共和国工业和信息化部制</w:t>
      </w:r>
    </w:p>
    <w:p>
      <w:pPr>
        <w:spacing w:line="360" w:lineRule="auto"/>
        <w:jc w:val="center"/>
        <w:rPr>
          <w:rFonts w:eastAsia="黑体"/>
          <w:sz w:val="30"/>
          <w:szCs w:val="30"/>
        </w:rPr>
        <w:sectPr>
          <w:type w:val="continuous"/>
          <w:pgSz w:w="11850" w:h="16783"/>
          <w:pgMar w:top="1587" w:right="1474" w:bottom="1474" w:left="1587" w:header="851" w:footer="992" w:gutter="0"/>
          <w:cols w:space="720" w:num="1"/>
          <w:docGrid w:type="lines" w:linePitch="317" w:charSpace="0"/>
        </w:sectPr>
      </w:pPr>
      <w:r>
        <w:rPr>
          <w:rFonts w:eastAsia="黑体"/>
          <w:sz w:val="30"/>
          <w:szCs w:val="30"/>
        </w:rPr>
        <w:t>二〇    年    月</w:t>
      </w:r>
    </w:p>
    <w:tbl>
      <w:tblPr>
        <w:tblStyle w:val="9"/>
        <w:tblW w:w="8853" w:type="dxa"/>
        <w:jc w:val="center"/>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291"/>
        <w:gridCol w:w="154"/>
        <w:gridCol w:w="576"/>
        <w:gridCol w:w="170"/>
        <w:gridCol w:w="476"/>
        <w:gridCol w:w="283"/>
        <w:gridCol w:w="88"/>
        <w:gridCol w:w="1093"/>
        <w:gridCol w:w="1058"/>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18" w:type="dxa"/>
            <w:vAlign w:val="center"/>
          </w:tcPr>
          <w:p>
            <w:pPr>
              <w:pStyle w:val="14"/>
              <w:snapToGrid w:val="0"/>
              <w:jc w:val="center"/>
              <w:rPr>
                <w:rFonts w:ascii="Times New Roman" w:hAnsi="Times New Roman" w:eastAsia="黑体"/>
                <w:color w:val="auto"/>
                <w:sz w:val="21"/>
              </w:rPr>
            </w:pPr>
            <w:r>
              <w:rPr>
                <w:rFonts w:ascii="Times New Roman" w:hAnsi="Times New Roman" w:eastAsia="黑体"/>
                <w:color w:val="auto"/>
                <w:sz w:val="21"/>
              </w:rPr>
              <w:t>单位名称</w:t>
            </w:r>
          </w:p>
        </w:tc>
        <w:tc>
          <w:tcPr>
            <w:tcW w:w="3021" w:type="dxa"/>
            <w:gridSpan w:val="3"/>
            <w:vAlign w:val="center"/>
          </w:tcPr>
          <w:p>
            <w:pPr>
              <w:pStyle w:val="14"/>
              <w:snapToGrid w:val="0"/>
              <w:rPr>
                <w:rFonts w:ascii="Times New Roman" w:hAnsi="Times New Roman" w:eastAsia="仿宋_GB2312"/>
                <w:color w:val="auto"/>
                <w:sz w:val="21"/>
              </w:rPr>
            </w:pPr>
          </w:p>
        </w:tc>
        <w:tc>
          <w:tcPr>
            <w:tcW w:w="929" w:type="dxa"/>
            <w:gridSpan w:val="3"/>
            <w:vAlign w:val="center"/>
          </w:tcPr>
          <w:p>
            <w:pPr>
              <w:pStyle w:val="14"/>
              <w:snapToGrid w:val="0"/>
              <w:rPr>
                <w:rFonts w:ascii="Times New Roman" w:hAnsi="Times New Roman" w:eastAsia="仿宋_GB2312"/>
                <w:color w:val="auto"/>
                <w:sz w:val="21"/>
              </w:rPr>
            </w:pPr>
            <w:r>
              <w:rPr>
                <w:rFonts w:ascii="Times New Roman" w:hAnsi="Times New Roman" w:eastAsia="黑体"/>
                <w:color w:val="auto"/>
                <w:sz w:val="21"/>
              </w:rPr>
              <w:t>注册地</w:t>
            </w:r>
          </w:p>
        </w:tc>
        <w:tc>
          <w:tcPr>
            <w:tcW w:w="1181" w:type="dxa"/>
            <w:gridSpan w:val="2"/>
            <w:vAlign w:val="center"/>
          </w:tcPr>
          <w:p>
            <w:pPr>
              <w:pStyle w:val="14"/>
              <w:snapToGrid w:val="0"/>
              <w:rPr>
                <w:rFonts w:ascii="Times New Roman" w:hAnsi="Times New Roman" w:eastAsia="仿宋_GB2312"/>
                <w:color w:val="auto"/>
                <w:sz w:val="21"/>
              </w:rPr>
            </w:pPr>
          </w:p>
        </w:tc>
        <w:tc>
          <w:tcPr>
            <w:tcW w:w="1058" w:type="dxa"/>
            <w:vAlign w:val="center"/>
          </w:tcPr>
          <w:p>
            <w:pPr>
              <w:pStyle w:val="14"/>
              <w:snapToGrid w:val="0"/>
              <w:rPr>
                <w:rFonts w:ascii="Times New Roman" w:hAnsi="Times New Roman" w:eastAsia="仿宋_GB2312"/>
                <w:color w:val="auto"/>
                <w:sz w:val="21"/>
              </w:rPr>
            </w:pPr>
            <w:r>
              <w:rPr>
                <w:rFonts w:ascii="Times New Roman" w:hAnsi="Times New Roman" w:eastAsia="黑体"/>
                <w:color w:val="auto"/>
                <w:sz w:val="21"/>
              </w:rPr>
              <w:t>机构代码</w:t>
            </w:r>
          </w:p>
        </w:tc>
        <w:tc>
          <w:tcPr>
            <w:tcW w:w="1146" w:type="dxa"/>
            <w:vAlign w:val="center"/>
          </w:tcPr>
          <w:p>
            <w:pPr>
              <w:pStyle w:val="14"/>
              <w:snapToGrid w:val="0"/>
              <w:rPr>
                <w:rFonts w:ascii="Times New Roman" w:hAns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18" w:type="dxa"/>
            <w:vAlign w:val="center"/>
          </w:tcPr>
          <w:p>
            <w:pPr>
              <w:pStyle w:val="14"/>
              <w:snapToGrid w:val="0"/>
              <w:jc w:val="center"/>
              <w:rPr>
                <w:rFonts w:ascii="Times New Roman" w:hAnsi="Times New Roman" w:eastAsia="黑体"/>
                <w:color w:val="auto"/>
                <w:sz w:val="21"/>
              </w:rPr>
            </w:pPr>
            <w:r>
              <w:rPr>
                <w:rFonts w:ascii="Times New Roman" w:hAnsi="Times New Roman" w:eastAsia="黑体"/>
                <w:color w:val="auto"/>
                <w:sz w:val="21"/>
              </w:rPr>
              <w:t>项目名称</w:t>
            </w:r>
          </w:p>
        </w:tc>
        <w:tc>
          <w:tcPr>
            <w:tcW w:w="2445" w:type="dxa"/>
            <w:gridSpan w:val="2"/>
            <w:vAlign w:val="center"/>
          </w:tcPr>
          <w:p>
            <w:pPr>
              <w:pStyle w:val="14"/>
              <w:snapToGrid w:val="0"/>
              <w:rPr>
                <w:rFonts w:ascii="Times New Roman" w:hAnsi="Times New Roman" w:eastAsia="仿宋_GB2312"/>
                <w:color w:val="auto"/>
                <w:sz w:val="21"/>
              </w:rPr>
            </w:pPr>
          </w:p>
        </w:tc>
        <w:tc>
          <w:tcPr>
            <w:tcW w:w="1505" w:type="dxa"/>
            <w:gridSpan w:val="4"/>
            <w:vAlign w:val="center"/>
          </w:tcPr>
          <w:p>
            <w:pPr>
              <w:pStyle w:val="14"/>
              <w:snapToGrid w:val="0"/>
              <w:rPr>
                <w:rFonts w:ascii="Times New Roman" w:hAnsi="Times New Roman" w:eastAsia="仿宋_GB2312"/>
                <w:color w:val="auto"/>
                <w:sz w:val="21"/>
              </w:rPr>
            </w:pPr>
            <w:r>
              <w:rPr>
                <w:rFonts w:hint="eastAsia" w:ascii="Times New Roman" w:hAnsi="Times New Roman" w:eastAsia="黑体"/>
                <w:color w:val="auto"/>
                <w:sz w:val="21"/>
              </w:rPr>
              <w:t>项目</w:t>
            </w:r>
            <w:r>
              <w:rPr>
                <w:rFonts w:ascii="Times New Roman" w:hAnsi="Times New Roman" w:eastAsia="黑体"/>
                <w:color w:val="auto"/>
                <w:sz w:val="21"/>
              </w:rPr>
              <w:t>实施期</w:t>
            </w:r>
          </w:p>
        </w:tc>
        <w:tc>
          <w:tcPr>
            <w:tcW w:w="3385" w:type="dxa"/>
            <w:gridSpan w:val="4"/>
            <w:vAlign w:val="center"/>
          </w:tcPr>
          <w:p>
            <w:pPr>
              <w:pStyle w:val="14"/>
              <w:snapToGrid w:val="0"/>
              <w:rPr>
                <w:rFonts w:ascii="Times New Roman" w:hAnsi="Times New Roman" w:eastAsia="仿宋_GB2312"/>
                <w:color w:val="auto"/>
                <w:sz w:val="21"/>
              </w:rPr>
            </w:pPr>
            <w:r>
              <w:rPr>
                <w:rFonts w:ascii="Times New Roman" w:hAnsi="Times New Roman" w:eastAsia="仿宋_GB2312"/>
                <w:color w:val="auto"/>
                <w:sz w:val="21"/>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18" w:type="dxa"/>
            <w:vMerge w:val="restart"/>
            <w:vAlign w:val="center"/>
          </w:tcPr>
          <w:p>
            <w:pPr>
              <w:pStyle w:val="14"/>
              <w:snapToGrid w:val="0"/>
              <w:jc w:val="center"/>
              <w:rPr>
                <w:rFonts w:ascii="Times New Roman" w:hAnsi="Times New Roman" w:eastAsia="黑体"/>
                <w:color w:val="auto"/>
                <w:sz w:val="21"/>
              </w:rPr>
            </w:pPr>
            <w:r>
              <w:rPr>
                <w:rFonts w:ascii="Times New Roman" w:hAnsi="Times New Roman" w:eastAsia="黑体"/>
                <w:color w:val="auto"/>
                <w:sz w:val="21"/>
              </w:rPr>
              <w:t>所属产业链</w:t>
            </w:r>
          </w:p>
        </w:tc>
        <w:tc>
          <w:tcPr>
            <w:tcW w:w="3191" w:type="dxa"/>
            <w:gridSpan w:val="4"/>
            <w:tcBorders>
              <w:bottom w:val="nil"/>
              <w:right w:val="nil"/>
            </w:tcBorders>
            <w:vAlign w:val="center"/>
          </w:tcPr>
          <w:p>
            <w:pPr>
              <w:pStyle w:val="14"/>
              <w:snapToGrid w:val="0"/>
              <w:rPr>
                <w:rFonts w:ascii="Times New Roman" w:hAnsi="Times New Roman" w:eastAsia="仿宋"/>
                <w:color w:val="auto"/>
                <w:sz w:val="21"/>
              </w:rPr>
            </w:pPr>
            <w:r>
              <w:rPr>
                <w:rFonts w:hint="eastAsia" w:ascii="Times New Roman" w:hAnsi="Times New Roman" w:eastAsia="仿宋"/>
                <w:color w:val="auto"/>
                <w:sz w:val="21"/>
                <w:szCs w:val="20"/>
              </w:rPr>
              <w:t>□整体式多路阀产业链</w:t>
            </w:r>
          </w:p>
        </w:tc>
        <w:tc>
          <w:tcPr>
            <w:tcW w:w="4144" w:type="dxa"/>
            <w:gridSpan w:val="6"/>
            <w:tcBorders>
              <w:left w:val="nil"/>
              <w:bottom w:val="nil"/>
            </w:tcBorders>
            <w:vAlign w:val="center"/>
          </w:tcPr>
          <w:p>
            <w:pPr>
              <w:pStyle w:val="14"/>
              <w:snapToGrid w:val="0"/>
              <w:rPr>
                <w:rFonts w:ascii="Times New Roman" w:hAnsi="Times New Roman" w:eastAsia="仿宋"/>
                <w:color w:val="auto"/>
                <w:sz w:val="21"/>
              </w:rPr>
            </w:pPr>
            <w:r>
              <w:rPr>
                <w:rFonts w:hint="eastAsia" w:ascii="Times New Roman" w:hAnsi="Times New Roman" w:eastAsia="仿宋"/>
                <w:color w:val="auto"/>
                <w:sz w:val="21"/>
                <w:szCs w:val="20"/>
              </w:rPr>
              <w:t>□高压轴向柱塞回转马达产业链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18" w:type="dxa"/>
            <w:vMerge w:val="continue"/>
            <w:vAlign w:val="center"/>
          </w:tcPr>
          <w:p>
            <w:pPr>
              <w:pStyle w:val="14"/>
              <w:snapToGrid w:val="0"/>
              <w:rPr>
                <w:rFonts w:ascii="Times New Roman" w:hAnsi="Times New Roman" w:eastAsia="黑体"/>
              </w:rPr>
            </w:pPr>
          </w:p>
        </w:tc>
        <w:tc>
          <w:tcPr>
            <w:tcW w:w="3191" w:type="dxa"/>
            <w:gridSpan w:val="4"/>
            <w:tcBorders>
              <w:top w:val="nil"/>
              <w:right w:val="nil"/>
            </w:tcBorders>
            <w:vAlign w:val="center"/>
          </w:tcPr>
          <w:p>
            <w:pPr>
              <w:pStyle w:val="14"/>
              <w:snapToGrid w:val="0"/>
              <w:rPr>
                <w:rFonts w:ascii="Times New Roman" w:hAnsi="Times New Roman" w:eastAsia="仿宋"/>
              </w:rPr>
            </w:pPr>
            <w:r>
              <w:rPr>
                <w:rFonts w:hint="eastAsia" w:ascii="Times New Roman" w:hAnsi="Times New Roman" w:eastAsia="仿宋"/>
                <w:color w:val="auto"/>
                <w:sz w:val="21"/>
                <w:szCs w:val="20"/>
              </w:rPr>
              <w:t>□高压轴向柱塞行走马达产业链</w:t>
            </w:r>
          </w:p>
        </w:tc>
        <w:tc>
          <w:tcPr>
            <w:tcW w:w="4144" w:type="dxa"/>
            <w:gridSpan w:val="6"/>
            <w:tcBorders>
              <w:top w:val="nil"/>
              <w:left w:val="nil"/>
            </w:tcBorders>
            <w:vAlign w:val="center"/>
          </w:tcPr>
          <w:p>
            <w:pPr>
              <w:pStyle w:val="14"/>
              <w:snapToGrid w:val="0"/>
              <w:rPr>
                <w:rFonts w:ascii="Times New Roman" w:hAnsi="Times New Roman" w:eastAsia="仿宋"/>
                <w:color w:val="auto"/>
                <w:sz w:val="21"/>
              </w:rPr>
            </w:pPr>
            <w:r>
              <w:rPr>
                <w:rFonts w:hint="eastAsia" w:ascii="Times New Roman" w:hAnsi="Times New Roman" w:eastAsia="仿宋"/>
                <w:color w:val="auto"/>
                <w:sz w:val="21"/>
                <w:szCs w:val="20"/>
              </w:rPr>
              <w:t>□开式轴向柱塞双泵产业链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18" w:type="dxa"/>
            <w:vAlign w:val="center"/>
          </w:tcPr>
          <w:p>
            <w:pPr>
              <w:pStyle w:val="14"/>
              <w:snapToGrid w:val="0"/>
              <w:jc w:val="center"/>
              <w:rPr>
                <w:rFonts w:ascii="Times New Roman" w:hAnsi="Times New Roman" w:eastAsia="黑体"/>
                <w:color w:val="auto"/>
                <w:sz w:val="21"/>
              </w:rPr>
            </w:pPr>
            <w:r>
              <w:rPr>
                <w:rFonts w:ascii="Times New Roman" w:hAnsi="Times New Roman" w:eastAsia="黑体"/>
                <w:color w:val="auto"/>
                <w:sz w:val="21"/>
              </w:rPr>
              <w:t>所属产业链</w:t>
            </w:r>
          </w:p>
          <w:p>
            <w:pPr>
              <w:pStyle w:val="14"/>
              <w:snapToGrid w:val="0"/>
              <w:jc w:val="center"/>
              <w:rPr>
                <w:rFonts w:ascii="Times New Roman" w:hAnsi="Times New Roman" w:eastAsia="黑体"/>
                <w:color w:val="auto"/>
                <w:sz w:val="21"/>
              </w:rPr>
            </w:pPr>
            <w:r>
              <w:rPr>
                <w:rFonts w:ascii="Times New Roman" w:hAnsi="Times New Roman" w:eastAsia="黑体"/>
                <w:color w:val="auto"/>
                <w:sz w:val="21"/>
              </w:rPr>
              <w:t>关键环节</w:t>
            </w:r>
          </w:p>
        </w:tc>
        <w:tc>
          <w:tcPr>
            <w:tcW w:w="7335" w:type="dxa"/>
            <w:gridSpan w:val="10"/>
            <w:vAlign w:val="center"/>
          </w:tcPr>
          <w:p>
            <w:pPr>
              <w:pStyle w:val="14"/>
              <w:snapToGrid w:val="0"/>
              <w:rPr>
                <w:rFonts w:hint="eastAsia" w:ascii="仿宋_GB2312" w:hAnsi="仿宋_GB2312" w:eastAsia="仿宋_GB2312" w:cs="仿宋_GB2312"/>
                <w:color w:val="auto"/>
                <w:sz w:val="21"/>
                <w:szCs w:val="20"/>
              </w:rPr>
            </w:pPr>
            <w:r>
              <w:rPr>
                <w:rFonts w:hint="eastAsia" w:ascii="仿宋_GB2312" w:hAnsi="仿宋_GB2312" w:eastAsia="仿宋_GB2312" w:cs="仿宋_GB2312"/>
                <w:color w:val="auto"/>
                <w:sz w:val="21"/>
                <w:szCs w:val="20"/>
              </w:rPr>
              <w:t xml:space="preserve">□高品质铸件  </w:t>
            </w:r>
            <w:r>
              <w:rPr>
                <w:rFonts w:hint="eastAsia" w:ascii="仿宋_GB2312" w:hAnsi="仿宋_GB2312" w:eastAsia="仿宋_GB2312" w:cs="仿宋_GB2312"/>
                <w:color w:val="auto"/>
                <w:sz w:val="21"/>
                <w:szCs w:val="20"/>
                <w:lang w:val="en-US" w:eastAsia="zh-CN"/>
              </w:rPr>
              <w:t xml:space="preserve">       </w:t>
            </w:r>
            <w:r>
              <w:rPr>
                <w:rFonts w:hint="eastAsia" w:ascii="仿宋_GB2312" w:hAnsi="仿宋_GB2312" w:eastAsia="仿宋_GB2312" w:cs="仿宋_GB2312"/>
                <w:color w:val="auto"/>
                <w:sz w:val="21"/>
                <w:szCs w:val="20"/>
              </w:rPr>
              <w:t xml:space="preserve">□材料热处理和表面处理 □阀杆及阀芯硬度控制  </w:t>
            </w:r>
          </w:p>
          <w:p>
            <w:pPr>
              <w:pStyle w:val="14"/>
              <w:snapToGrid w:val="0"/>
              <w:rPr>
                <w:rFonts w:hint="eastAsia" w:ascii="仿宋_GB2312" w:hAnsi="仿宋_GB2312" w:eastAsia="仿宋_GB2312" w:cs="仿宋_GB2312"/>
                <w:color w:val="auto"/>
                <w:sz w:val="21"/>
                <w:szCs w:val="20"/>
              </w:rPr>
            </w:pPr>
            <w:r>
              <w:rPr>
                <w:rFonts w:hint="eastAsia" w:ascii="仿宋_GB2312" w:hAnsi="仿宋_GB2312" w:eastAsia="仿宋_GB2312" w:cs="仿宋_GB2312"/>
                <w:color w:val="auto"/>
                <w:sz w:val="21"/>
                <w:szCs w:val="20"/>
              </w:rPr>
              <w:t xml:space="preserve">□关键零部件加工技术 □配套高强度螺栓  </w:t>
            </w:r>
            <w:r>
              <w:rPr>
                <w:rFonts w:hint="eastAsia" w:ascii="仿宋_GB2312" w:hAnsi="仿宋_GB2312" w:eastAsia="仿宋_GB2312" w:cs="仿宋_GB2312"/>
                <w:color w:val="auto"/>
                <w:sz w:val="21"/>
                <w:szCs w:val="20"/>
                <w:lang w:val="en-US" w:eastAsia="zh-CN"/>
              </w:rPr>
              <w:t xml:space="preserve">     </w:t>
            </w:r>
            <w:r>
              <w:rPr>
                <w:rFonts w:hint="eastAsia" w:ascii="仿宋_GB2312" w:hAnsi="仿宋_GB2312" w:eastAsia="仿宋_GB2312" w:cs="仿宋_GB2312"/>
                <w:color w:val="auto"/>
                <w:sz w:val="21"/>
                <w:szCs w:val="20"/>
              </w:rPr>
              <w:t xml:space="preserve">□配套密封件□控制技术  </w:t>
            </w:r>
          </w:p>
          <w:p>
            <w:pPr>
              <w:pStyle w:val="14"/>
              <w:snapToGrid w:val="0"/>
              <w:rPr>
                <w:rFonts w:ascii="Times New Roman" w:hAnsi="Times New Roman" w:eastAsia="仿宋"/>
                <w:color w:val="auto"/>
                <w:sz w:val="21"/>
              </w:rPr>
            </w:pPr>
            <w:r>
              <w:rPr>
                <w:rFonts w:hint="eastAsia" w:ascii="仿宋_GB2312" w:hAnsi="仿宋_GB2312" w:eastAsia="仿宋_GB2312" w:cs="仿宋_GB2312"/>
                <w:color w:val="auto"/>
                <w:sz w:val="21"/>
                <w:szCs w:val="20"/>
              </w:rPr>
              <w:t>□产品标准制定</w:t>
            </w:r>
            <w:r>
              <w:rPr>
                <w:rFonts w:hint="eastAsia" w:ascii="仿宋_GB2312" w:hAnsi="仿宋_GB2312" w:eastAsia="仿宋_GB2312" w:cs="仿宋_GB2312"/>
                <w:color w:val="auto"/>
                <w:sz w:val="21"/>
                <w:szCs w:val="20"/>
                <w:lang w:val="en-US" w:eastAsia="zh-CN"/>
              </w:rPr>
              <w:t xml:space="preserve">       </w:t>
            </w:r>
            <w:r>
              <w:rPr>
                <w:rFonts w:hint="eastAsia" w:ascii="仿宋_GB2312" w:hAnsi="仿宋_GB2312" w:eastAsia="仿宋_GB2312" w:cs="仿宋_GB2312"/>
                <w:color w:val="auto"/>
                <w:sz w:val="21"/>
                <w:szCs w:val="20"/>
              </w:rPr>
              <w:t>□试验检测、评估及设备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518" w:type="dxa"/>
            <w:vMerge w:val="restart"/>
            <w:vAlign w:val="center"/>
          </w:tcPr>
          <w:p>
            <w:pPr>
              <w:pStyle w:val="14"/>
              <w:snapToGrid w:val="0"/>
              <w:jc w:val="center"/>
              <w:rPr>
                <w:rFonts w:ascii="Times New Roman" w:hAnsi="Times New Roman" w:eastAsia="黑体"/>
                <w:color w:val="auto"/>
                <w:sz w:val="21"/>
              </w:rPr>
            </w:pPr>
            <w:r>
              <w:rPr>
                <w:rFonts w:ascii="Times New Roman" w:hAnsi="Times New Roman" w:eastAsia="黑体"/>
                <w:color w:val="auto"/>
                <w:sz w:val="21"/>
              </w:rPr>
              <w:t>所属整机产品</w:t>
            </w:r>
          </w:p>
        </w:tc>
        <w:tc>
          <w:tcPr>
            <w:tcW w:w="3667" w:type="dxa"/>
            <w:gridSpan w:val="5"/>
            <w:tcBorders>
              <w:bottom w:val="nil"/>
              <w:right w:val="nil"/>
            </w:tcBorders>
            <w:vAlign w:val="center"/>
          </w:tcPr>
          <w:p>
            <w:pPr>
              <w:pStyle w:val="14"/>
              <w:snapToGrid w:val="0"/>
              <w:rPr>
                <w:rFonts w:ascii="Times New Roman" w:hAnsi="Times New Roman" w:eastAsia="仿宋"/>
                <w:color w:val="auto"/>
                <w:sz w:val="21"/>
              </w:rPr>
            </w:pPr>
            <w:r>
              <w:rPr>
                <w:rFonts w:hint="eastAsia" w:ascii="Times New Roman" w:hAnsi="Times New Roman" w:eastAsia="仿宋"/>
                <w:color w:val="auto"/>
                <w:sz w:val="21"/>
                <w:szCs w:val="20"/>
              </w:rPr>
              <w:t>□</w:t>
            </w:r>
            <w:r>
              <w:rPr>
                <w:rFonts w:ascii="Times New Roman" w:hAnsi="Times New Roman" w:eastAsia="仿宋"/>
                <w:color w:val="auto"/>
                <w:sz w:val="21"/>
                <w:szCs w:val="20"/>
              </w:rPr>
              <w:t>20级液压挖掘机</w:t>
            </w:r>
          </w:p>
        </w:tc>
        <w:tc>
          <w:tcPr>
            <w:tcW w:w="3668" w:type="dxa"/>
            <w:gridSpan w:val="5"/>
            <w:tcBorders>
              <w:left w:val="nil"/>
              <w:bottom w:val="nil"/>
            </w:tcBorders>
            <w:vAlign w:val="center"/>
          </w:tcPr>
          <w:p>
            <w:pPr>
              <w:pStyle w:val="14"/>
              <w:snapToGrid w:val="0"/>
              <w:rPr>
                <w:rFonts w:ascii="Times New Roman" w:hAnsi="Times New Roman" w:eastAsia="仿宋"/>
                <w:color w:val="auto"/>
                <w:sz w:val="21"/>
              </w:rPr>
            </w:pPr>
            <w:r>
              <w:rPr>
                <w:rFonts w:hint="eastAsia" w:ascii="Times New Roman" w:hAnsi="Times New Roman" w:eastAsia="仿宋"/>
                <w:color w:val="auto"/>
                <w:sz w:val="21"/>
                <w:szCs w:val="20"/>
              </w:rPr>
              <w:t>□</w:t>
            </w:r>
            <w:r>
              <w:rPr>
                <w:rFonts w:ascii="Times New Roman" w:hAnsi="Times New Roman" w:eastAsia="仿宋"/>
                <w:color w:val="auto"/>
                <w:sz w:val="21"/>
                <w:szCs w:val="20"/>
              </w:rPr>
              <w:t>30t级液压挖掘机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1518" w:type="dxa"/>
            <w:vMerge w:val="continue"/>
            <w:vAlign w:val="center"/>
          </w:tcPr>
          <w:p>
            <w:pPr>
              <w:pStyle w:val="14"/>
              <w:snapToGrid w:val="0"/>
              <w:jc w:val="center"/>
              <w:rPr>
                <w:rFonts w:ascii="Times New Roman" w:hAnsi="Times New Roman" w:eastAsia="黑体"/>
                <w:color w:val="auto"/>
                <w:sz w:val="21"/>
              </w:rPr>
            </w:pPr>
          </w:p>
        </w:tc>
        <w:tc>
          <w:tcPr>
            <w:tcW w:w="3667" w:type="dxa"/>
            <w:gridSpan w:val="5"/>
            <w:tcBorders>
              <w:bottom w:val="nil"/>
              <w:right w:val="nil"/>
            </w:tcBorders>
            <w:vAlign w:val="center"/>
          </w:tcPr>
          <w:p>
            <w:pPr>
              <w:pStyle w:val="14"/>
              <w:snapToGrid w:val="0"/>
              <w:rPr>
                <w:rFonts w:ascii="Times New Roman" w:hAnsi="Times New Roman" w:eastAsia="仿宋"/>
                <w:color w:val="auto"/>
                <w:sz w:val="21"/>
                <w:szCs w:val="20"/>
              </w:rPr>
            </w:pPr>
            <w:r>
              <w:rPr>
                <w:rFonts w:hint="eastAsia" w:ascii="Times New Roman" w:hAnsi="Times New Roman" w:eastAsia="仿宋"/>
                <w:color w:val="auto"/>
                <w:sz w:val="21"/>
                <w:szCs w:val="20"/>
              </w:rPr>
              <w:t>□</w:t>
            </w:r>
            <w:r>
              <w:rPr>
                <w:rFonts w:ascii="Times New Roman" w:hAnsi="Times New Roman" w:eastAsia="仿宋"/>
                <w:color w:val="auto"/>
                <w:sz w:val="21"/>
                <w:szCs w:val="20"/>
              </w:rPr>
              <w:t>50t级以上大型汽车起重机</w:t>
            </w:r>
          </w:p>
        </w:tc>
        <w:tc>
          <w:tcPr>
            <w:tcW w:w="3668" w:type="dxa"/>
            <w:gridSpan w:val="5"/>
            <w:tcBorders>
              <w:left w:val="nil"/>
              <w:bottom w:val="nil"/>
            </w:tcBorders>
            <w:vAlign w:val="center"/>
          </w:tcPr>
          <w:p>
            <w:pPr>
              <w:pStyle w:val="14"/>
              <w:snapToGrid w:val="0"/>
              <w:rPr>
                <w:rFonts w:ascii="Times New Roman" w:hAnsi="Times New Roman" w:eastAsia="仿宋"/>
                <w:color w:val="auto"/>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18" w:type="dxa"/>
            <w:vAlign w:val="center"/>
          </w:tcPr>
          <w:p>
            <w:pPr>
              <w:pStyle w:val="14"/>
              <w:snapToGrid w:val="0"/>
              <w:jc w:val="center"/>
              <w:rPr>
                <w:rFonts w:ascii="Times New Roman" w:hAnsi="Times New Roman" w:eastAsia="黑体"/>
                <w:color w:val="auto"/>
                <w:sz w:val="21"/>
              </w:rPr>
            </w:pPr>
            <w:r>
              <w:rPr>
                <w:rFonts w:ascii="Times New Roman" w:hAnsi="Times New Roman" w:eastAsia="黑体"/>
                <w:color w:val="auto"/>
                <w:sz w:val="21"/>
              </w:rPr>
              <w:t>主要负责人</w:t>
            </w:r>
          </w:p>
        </w:tc>
        <w:tc>
          <w:tcPr>
            <w:tcW w:w="2291" w:type="dxa"/>
            <w:vAlign w:val="center"/>
          </w:tcPr>
          <w:p>
            <w:pPr>
              <w:pStyle w:val="14"/>
              <w:snapToGrid w:val="0"/>
              <w:rPr>
                <w:rFonts w:ascii="Times New Roman" w:hAnsi="Times New Roman" w:eastAsia="仿宋_GB2312"/>
                <w:color w:val="auto"/>
                <w:sz w:val="21"/>
              </w:rPr>
            </w:pPr>
          </w:p>
        </w:tc>
        <w:tc>
          <w:tcPr>
            <w:tcW w:w="1747" w:type="dxa"/>
            <w:gridSpan w:val="6"/>
            <w:vAlign w:val="center"/>
          </w:tcPr>
          <w:p>
            <w:pPr>
              <w:pStyle w:val="14"/>
              <w:snapToGrid w:val="0"/>
              <w:jc w:val="center"/>
              <w:rPr>
                <w:rFonts w:ascii="Times New Roman" w:hAnsi="Times New Roman" w:eastAsia="黑体"/>
                <w:color w:val="auto"/>
                <w:sz w:val="21"/>
              </w:rPr>
            </w:pPr>
            <w:r>
              <w:rPr>
                <w:rFonts w:ascii="Times New Roman" w:hAnsi="Times New Roman" w:eastAsia="黑体"/>
                <w:color w:val="auto"/>
                <w:sz w:val="21"/>
              </w:rPr>
              <w:t>联系电话（手机）</w:t>
            </w:r>
          </w:p>
        </w:tc>
        <w:tc>
          <w:tcPr>
            <w:tcW w:w="3297" w:type="dxa"/>
            <w:gridSpan w:val="3"/>
            <w:vAlign w:val="center"/>
          </w:tcPr>
          <w:p>
            <w:pPr>
              <w:pStyle w:val="14"/>
              <w:snapToGrid w:val="0"/>
              <w:rPr>
                <w:rFonts w:ascii="Times New Roman" w:hAns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18" w:type="dxa"/>
            <w:vAlign w:val="center"/>
          </w:tcPr>
          <w:p>
            <w:pPr>
              <w:pStyle w:val="14"/>
              <w:snapToGrid w:val="0"/>
              <w:jc w:val="center"/>
              <w:rPr>
                <w:rFonts w:ascii="Times New Roman" w:hAnsi="Times New Roman" w:eastAsia="黑体"/>
                <w:color w:val="auto"/>
                <w:sz w:val="21"/>
              </w:rPr>
            </w:pPr>
            <w:r>
              <w:rPr>
                <w:rFonts w:ascii="Times New Roman" w:hAnsi="Times New Roman" w:eastAsia="黑体"/>
                <w:color w:val="auto"/>
                <w:sz w:val="21"/>
              </w:rPr>
              <w:t>电子邮箱</w:t>
            </w:r>
          </w:p>
        </w:tc>
        <w:tc>
          <w:tcPr>
            <w:tcW w:w="2291" w:type="dxa"/>
            <w:vAlign w:val="center"/>
          </w:tcPr>
          <w:p>
            <w:pPr>
              <w:pStyle w:val="14"/>
              <w:snapToGrid w:val="0"/>
              <w:rPr>
                <w:rFonts w:ascii="Times New Roman" w:hAnsi="Times New Roman" w:eastAsia="仿宋_GB2312"/>
                <w:color w:val="auto"/>
                <w:sz w:val="21"/>
              </w:rPr>
            </w:pPr>
          </w:p>
        </w:tc>
        <w:tc>
          <w:tcPr>
            <w:tcW w:w="1747" w:type="dxa"/>
            <w:gridSpan w:val="6"/>
            <w:vAlign w:val="center"/>
          </w:tcPr>
          <w:p>
            <w:pPr>
              <w:pStyle w:val="14"/>
              <w:snapToGrid w:val="0"/>
              <w:jc w:val="center"/>
              <w:rPr>
                <w:rFonts w:ascii="Times New Roman" w:hAnsi="Times New Roman" w:eastAsia="黑体"/>
                <w:color w:val="auto"/>
                <w:sz w:val="21"/>
              </w:rPr>
            </w:pPr>
            <w:r>
              <w:rPr>
                <w:rFonts w:ascii="Times New Roman" w:hAnsi="Times New Roman" w:eastAsia="黑体"/>
                <w:color w:val="auto"/>
                <w:sz w:val="21"/>
              </w:rPr>
              <w:t>传   真</w:t>
            </w:r>
          </w:p>
        </w:tc>
        <w:tc>
          <w:tcPr>
            <w:tcW w:w="3297" w:type="dxa"/>
            <w:gridSpan w:val="3"/>
            <w:vAlign w:val="center"/>
          </w:tcPr>
          <w:p>
            <w:pPr>
              <w:pStyle w:val="14"/>
              <w:snapToGrid w:val="0"/>
              <w:rPr>
                <w:rFonts w:ascii="Times New Roman" w:hAns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4" w:hRule="atLeast"/>
          <w:jc w:val="center"/>
        </w:trPr>
        <w:tc>
          <w:tcPr>
            <w:tcW w:w="8853" w:type="dxa"/>
            <w:gridSpan w:val="11"/>
          </w:tcPr>
          <w:p>
            <w:pPr>
              <w:pStyle w:val="14"/>
              <w:snapToGrid w:val="0"/>
              <w:rPr>
                <w:rFonts w:ascii="Times New Roman" w:hAnsi="Times New Roman" w:eastAsia="仿宋_GB2312"/>
                <w:color w:val="auto"/>
                <w:sz w:val="21"/>
              </w:rPr>
            </w:pPr>
            <w:r>
              <w:rPr>
                <w:rFonts w:ascii="Times New Roman" w:hAnsi="Times New Roman" w:eastAsia="黑体"/>
                <w:color w:val="auto"/>
                <w:sz w:val="21"/>
              </w:rPr>
              <w:t>参与单位满足所属</w:t>
            </w:r>
            <w:r>
              <w:rPr>
                <w:rFonts w:hint="eastAsia" w:ascii="Times New Roman" w:hAnsi="Times New Roman" w:eastAsia="黑体"/>
                <w:color w:val="auto"/>
                <w:sz w:val="21"/>
              </w:rPr>
              <w:t>“一条龙”</w:t>
            </w:r>
            <w:r>
              <w:rPr>
                <w:rFonts w:ascii="Times New Roman" w:hAnsi="Times New Roman" w:eastAsia="黑体"/>
                <w:color w:val="auto"/>
                <w:sz w:val="21"/>
              </w:rPr>
              <w:t>环节</w:t>
            </w:r>
            <w:r>
              <w:rPr>
                <w:rFonts w:hint="eastAsia" w:ascii="Times New Roman" w:hAnsi="Times New Roman" w:eastAsia="黑体"/>
                <w:color w:val="auto"/>
                <w:sz w:val="21"/>
              </w:rPr>
              <w:t>供</w:t>
            </w:r>
            <w:r>
              <w:rPr>
                <w:rFonts w:ascii="Times New Roman" w:hAnsi="Times New Roman" w:eastAsia="黑体"/>
                <w:color w:val="auto"/>
                <w:sz w:val="21"/>
              </w:rPr>
              <w:t>需概述</w:t>
            </w:r>
            <w:r>
              <w:rPr>
                <w:rFonts w:ascii="Times New Roman" w:hAnsi="Times New Roman" w:eastAsia="仿宋_GB2312"/>
                <w:color w:val="auto"/>
                <w:sz w:val="21"/>
              </w:rPr>
              <w:t>（包括：</w:t>
            </w:r>
          </w:p>
          <w:p>
            <w:pPr>
              <w:pStyle w:val="14"/>
              <w:numPr>
                <w:ilvl w:val="0"/>
                <w:numId w:val="7"/>
              </w:numPr>
              <w:snapToGrid w:val="0"/>
              <w:ind w:firstLine="420" w:firstLineChars="200"/>
              <w:rPr>
                <w:rFonts w:ascii="Times New Roman" w:hAnsi="Times New Roman" w:eastAsia="仿宋_GB2312"/>
                <w:color w:val="auto"/>
                <w:sz w:val="21"/>
              </w:rPr>
            </w:pPr>
            <w:r>
              <w:rPr>
                <w:rFonts w:hint="eastAsia" w:ascii="Times New Roman" w:hAnsi="Times New Roman" w:eastAsia="仿宋_GB2312"/>
                <w:color w:val="auto"/>
                <w:sz w:val="21"/>
              </w:rPr>
              <w:t>企业基本情况；</w:t>
            </w:r>
          </w:p>
          <w:p>
            <w:pPr>
              <w:pStyle w:val="14"/>
              <w:numPr>
                <w:ilvl w:val="0"/>
                <w:numId w:val="7"/>
              </w:numPr>
              <w:snapToGrid w:val="0"/>
              <w:ind w:firstLine="420" w:firstLineChars="200"/>
              <w:rPr>
                <w:rFonts w:ascii="Times New Roman" w:hAnsi="Times New Roman" w:eastAsia="仿宋_GB2312"/>
                <w:color w:val="auto"/>
                <w:sz w:val="21"/>
              </w:rPr>
            </w:pPr>
            <w:r>
              <w:rPr>
                <w:rFonts w:hint="eastAsia" w:ascii="Times New Roman" w:hAnsi="Times New Roman" w:eastAsia="仿宋_GB2312"/>
                <w:color w:val="auto"/>
                <w:sz w:val="21"/>
              </w:rPr>
              <w:t>重点产品、工艺符合性质，与“一条龙”其他环节在产品、工艺上的直接关联性；</w:t>
            </w:r>
          </w:p>
          <w:p>
            <w:pPr>
              <w:pStyle w:val="14"/>
              <w:numPr>
                <w:ilvl w:val="0"/>
                <w:numId w:val="7"/>
              </w:numPr>
              <w:snapToGrid w:val="0"/>
              <w:ind w:firstLine="420" w:firstLineChars="200"/>
              <w:rPr>
                <w:rFonts w:ascii="Times New Roman" w:hAnsi="Times New Roman" w:eastAsia="仿宋_GB2312"/>
                <w:color w:val="auto"/>
                <w:sz w:val="21"/>
              </w:rPr>
            </w:pPr>
            <w:r>
              <w:rPr>
                <w:rFonts w:hint="eastAsia" w:ascii="Times New Roman" w:hAnsi="Times New Roman" w:eastAsia="仿宋_GB2312"/>
                <w:color w:val="auto"/>
                <w:sz w:val="21"/>
              </w:rPr>
              <w:t>创新能力、产品技术和工艺水平领先情况；</w:t>
            </w:r>
          </w:p>
          <w:p>
            <w:pPr>
              <w:pStyle w:val="14"/>
              <w:numPr>
                <w:ilvl w:val="0"/>
                <w:numId w:val="7"/>
              </w:numPr>
              <w:snapToGrid w:val="0"/>
              <w:ind w:firstLine="420" w:firstLineChars="200"/>
              <w:rPr>
                <w:rFonts w:ascii="Times New Roman" w:hAnsi="Times New Roman" w:eastAsia="仿宋_GB2312"/>
                <w:color w:val="auto"/>
                <w:sz w:val="21"/>
              </w:rPr>
            </w:pPr>
            <w:r>
              <w:rPr>
                <w:rFonts w:hint="eastAsia" w:ascii="Times New Roman" w:hAnsi="Times New Roman" w:eastAsia="仿宋_GB2312"/>
                <w:color w:val="auto"/>
                <w:sz w:val="21"/>
              </w:rPr>
              <w:t>对产业链上游的需求，以及对下游可提供的产品或服务；近年来企业产品和技术实际使用和应用情况；</w:t>
            </w:r>
          </w:p>
          <w:p>
            <w:pPr>
              <w:pStyle w:val="14"/>
              <w:numPr>
                <w:ilvl w:val="0"/>
                <w:numId w:val="7"/>
              </w:numPr>
              <w:snapToGrid w:val="0"/>
              <w:ind w:firstLine="420" w:firstLineChars="200"/>
              <w:rPr>
                <w:rFonts w:hint="eastAsia" w:ascii="Times New Roman" w:hAnsi="Times New Roman" w:eastAsia="仿宋_GB2312"/>
                <w:color w:val="auto"/>
                <w:sz w:val="21"/>
              </w:rPr>
            </w:pPr>
            <w:r>
              <w:rPr>
                <w:rFonts w:hint="eastAsia" w:ascii="Times New Roman" w:hAnsi="Times New Roman" w:eastAsia="仿宋_GB2312"/>
                <w:color w:val="auto"/>
                <w:sz w:val="21"/>
              </w:rPr>
              <w:t>近三年经营业绩，遵纪守法情况，管理制度建设情况；并填列下表：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2014、2015、</w:t>
            </w:r>
            <w:r>
              <w:rPr>
                <w:rFonts w:hint="eastAsia" w:ascii="黑体" w:hAnsi="黑体" w:eastAsia="黑体" w:cs="黑体"/>
                <w:b/>
                <w:bCs/>
                <w:sz w:val="21"/>
                <w:szCs w:val="21"/>
                <w:lang w:val="en-US" w:eastAsia="zh-CN"/>
              </w:rPr>
              <w:t>2016</w:t>
            </w:r>
            <w:r>
              <w:rPr>
                <w:rFonts w:hint="eastAsia" w:ascii="黑体" w:hAnsi="黑体" w:eastAsia="黑体" w:cs="黑体"/>
                <w:b/>
                <w:bCs/>
                <w:sz w:val="21"/>
                <w:szCs w:val="21"/>
                <w:lang w:val="en-US" w:eastAsia="zh-CN"/>
              </w:rPr>
              <w:t>年企业情况</w:t>
            </w:r>
          </w:p>
          <w:tbl>
            <w:tblPr>
              <w:tblStyle w:val="10"/>
              <w:tblW w:w="5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5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技术</w:t>
                  </w:r>
                </w:p>
              </w:tc>
              <w:tc>
                <w:tcPr>
                  <w:tcW w:w="441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研发投入占营收比例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5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p>
              </w:tc>
              <w:tc>
                <w:tcPr>
                  <w:tcW w:w="441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当年申请专利数，截至年底累计授权专利数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5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市场</w:t>
                  </w:r>
                </w:p>
              </w:tc>
              <w:tc>
                <w:tcPr>
                  <w:tcW w:w="441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细分领域市场份额、市场排名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5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财务</w:t>
                  </w:r>
                </w:p>
              </w:tc>
              <w:tc>
                <w:tcPr>
                  <w:tcW w:w="441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总资产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5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p>
              </w:tc>
              <w:tc>
                <w:tcPr>
                  <w:tcW w:w="441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5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p>
              </w:tc>
              <w:tc>
                <w:tcPr>
                  <w:tcW w:w="441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年度营业收入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5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p>
              </w:tc>
              <w:tc>
                <w:tcPr>
                  <w:tcW w:w="441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年度净利润</w:t>
                  </w:r>
                </w:p>
              </w:tc>
            </w:tr>
          </w:tbl>
          <w:p>
            <w:pPr>
              <w:pStyle w:val="14"/>
              <w:numPr>
                <w:ilvl w:val="0"/>
                <w:numId w:val="0"/>
              </w:numPr>
              <w:snapToGrid w:val="0"/>
              <w:ind w:left="420" w:firstLine="360" w:firstLineChars="0"/>
              <w:rPr>
                <w:rFonts w:ascii="Times New Roman" w:hAnsi="Times New Roman" w:eastAsia="仿宋_GB2312"/>
                <w:color w:val="auto"/>
                <w:sz w:val="21"/>
              </w:rPr>
            </w:pPr>
          </w:p>
          <w:p>
            <w:pPr>
              <w:pStyle w:val="14"/>
              <w:numPr>
                <w:ilvl w:val="0"/>
                <w:numId w:val="7"/>
              </w:numPr>
              <w:snapToGrid w:val="0"/>
              <w:ind w:firstLine="420" w:firstLineChars="200"/>
              <w:rPr>
                <w:rFonts w:ascii="Times New Roman" w:hAnsi="Times New Roman" w:eastAsia="仿宋_GB2312"/>
                <w:color w:val="auto"/>
                <w:sz w:val="21"/>
              </w:rPr>
            </w:pPr>
            <w:r>
              <w:rPr>
                <w:rFonts w:hint="eastAsia" w:ascii="Times New Roman" w:hAnsi="Times New Roman" w:eastAsia="仿宋_GB2312"/>
                <w:color w:val="auto"/>
                <w:sz w:val="21"/>
              </w:rPr>
              <w:t>企业参与“一条龙”应用计划的运行工作机制及措施；</w:t>
            </w:r>
          </w:p>
          <w:p>
            <w:pPr>
              <w:pStyle w:val="14"/>
              <w:numPr>
                <w:ilvl w:val="0"/>
                <w:numId w:val="7"/>
              </w:numPr>
              <w:snapToGrid w:val="0"/>
              <w:ind w:firstLine="420" w:firstLineChars="200"/>
              <w:rPr>
                <w:rFonts w:ascii="Times New Roman" w:hAnsi="Times New Roman" w:eastAsia="仿宋_GB2312"/>
                <w:color w:val="auto"/>
                <w:sz w:val="21"/>
              </w:rPr>
            </w:pPr>
            <w:r>
              <w:rPr>
                <w:rFonts w:hint="eastAsia" w:ascii="Times New Roman" w:hAnsi="Times New Roman" w:eastAsia="仿宋_GB2312"/>
                <w:color w:val="auto"/>
                <w:sz w:val="21"/>
              </w:rPr>
              <w:t>推荐的龙头企业、参与单位和示范工程；</w:t>
            </w:r>
          </w:p>
          <w:p>
            <w:pPr>
              <w:pStyle w:val="14"/>
              <w:numPr>
                <w:ilvl w:val="0"/>
                <w:numId w:val="7"/>
              </w:numPr>
              <w:snapToGrid w:val="0"/>
              <w:ind w:firstLine="420" w:firstLineChars="200"/>
              <w:rPr>
                <w:rFonts w:ascii="Times New Roman" w:hAnsi="Times New Roman" w:eastAsia="仿宋_GB2312"/>
                <w:color w:val="auto"/>
                <w:sz w:val="21"/>
              </w:rPr>
            </w:pPr>
            <w:r>
              <w:rPr>
                <w:rFonts w:hint="eastAsia" w:ascii="Times New Roman" w:hAnsi="Times New Roman" w:eastAsia="仿宋_GB2312"/>
                <w:color w:val="auto"/>
                <w:sz w:val="21"/>
              </w:rPr>
              <w:t>存在的问题和建议等）。</w:t>
            </w:r>
          </w:p>
          <w:p>
            <w:pPr>
              <w:pStyle w:val="14"/>
              <w:snapToGrid w:val="0"/>
              <w:rPr>
                <w:rFonts w:ascii="Times New Roman" w:hAnsi="Times New Roman" w:eastAsia="仿宋_GB2312"/>
                <w:color w:val="auto"/>
                <w:sz w:val="21"/>
              </w:rPr>
            </w:pPr>
          </w:p>
          <w:p>
            <w:pPr>
              <w:pStyle w:val="14"/>
              <w:snapToGrid w:val="0"/>
              <w:rPr>
                <w:rFonts w:ascii="Times New Roman" w:hAnsi="Times New Roman" w:eastAsia="仿宋_GB2312"/>
                <w:color w:val="auto"/>
                <w:sz w:val="21"/>
              </w:rPr>
            </w:pPr>
          </w:p>
          <w:p>
            <w:pPr>
              <w:pStyle w:val="14"/>
              <w:snapToGrid w:val="0"/>
              <w:rPr>
                <w:rFonts w:ascii="Times New Roman" w:hAnsi="Times New Roman" w:eastAsia="仿宋_GB2312"/>
                <w:color w:val="auto"/>
                <w:sz w:val="21"/>
              </w:rPr>
            </w:pPr>
          </w:p>
          <w:p>
            <w:pPr>
              <w:pStyle w:val="14"/>
              <w:snapToGrid w:val="0"/>
              <w:rPr>
                <w:rFonts w:ascii="Times New Roman" w:hAnsi="Times New Roman" w:eastAsia="仿宋_GB2312"/>
                <w:color w:val="auto"/>
                <w:sz w:val="21"/>
              </w:rPr>
            </w:pPr>
          </w:p>
          <w:p>
            <w:pPr>
              <w:pStyle w:val="14"/>
              <w:snapToGrid w:val="0"/>
              <w:rPr>
                <w:rFonts w:ascii="Times New Roman" w:hAns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jc w:val="center"/>
        </w:trPr>
        <w:tc>
          <w:tcPr>
            <w:tcW w:w="8853" w:type="dxa"/>
            <w:gridSpan w:val="11"/>
          </w:tcPr>
          <w:p>
            <w:pPr>
              <w:pStyle w:val="14"/>
              <w:snapToGrid w:val="0"/>
              <w:rPr>
                <w:rFonts w:ascii="Times New Roman" w:hAnsi="Times New Roman" w:eastAsia="仿宋_GB2312"/>
                <w:color w:val="auto"/>
                <w:sz w:val="21"/>
              </w:rPr>
            </w:pPr>
            <w:r>
              <w:rPr>
                <w:rFonts w:hint="eastAsia" w:ascii="Times New Roman" w:hAnsi="Times New Roman" w:eastAsia="黑体"/>
              </w:rPr>
              <w:t>项目基本情况</w:t>
            </w:r>
            <w:r>
              <w:rPr>
                <w:rFonts w:hint="eastAsia" w:ascii="Times New Roman" w:hAnsi="Times New Roman" w:eastAsia="仿宋_GB2312"/>
                <w:color w:val="auto"/>
                <w:sz w:val="21"/>
              </w:rPr>
              <w:t>（总投资、主要建设内容、预期效果等）；并填列下表：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项目</w:t>
            </w:r>
            <w:bookmarkStart w:id="2" w:name="_GoBack"/>
            <w:bookmarkEnd w:id="2"/>
            <w:r>
              <w:rPr>
                <w:rFonts w:hint="eastAsia" w:ascii="黑体" w:hAnsi="黑体" w:eastAsia="黑体" w:cs="黑体"/>
                <w:b/>
                <w:bCs/>
                <w:sz w:val="21"/>
                <w:szCs w:val="21"/>
                <w:lang w:val="en-US" w:eastAsia="zh-CN"/>
              </w:rPr>
              <w:t>目前</w:t>
            </w:r>
            <w:r>
              <w:rPr>
                <w:rFonts w:hint="eastAsia" w:ascii="黑体" w:hAnsi="黑体" w:eastAsia="黑体" w:cs="黑体"/>
                <w:b/>
                <w:bCs/>
                <w:sz w:val="21"/>
                <w:szCs w:val="21"/>
                <w:lang w:val="en-US" w:eastAsia="zh-CN"/>
              </w:rPr>
              <w:t>情况</w:t>
            </w:r>
          </w:p>
          <w:tbl>
            <w:tblPr>
              <w:tblStyle w:val="10"/>
              <w:tblW w:w="5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05"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项目成熟度</w:t>
                  </w:r>
                </w:p>
              </w:tc>
              <w:tc>
                <w:tcPr>
                  <w:tcW w:w="4064"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是否已经完成可研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05"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项目总投资</w:t>
                  </w:r>
                </w:p>
              </w:tc>
              <w:tc>
                <w:tcPr>
                  <w:tcW w:w="4064"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总投资额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05"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项目资本金</w:t>
                  </w:r>
                </w:p>
              </w:tc>
              <w:tc>
                <w:tcPr>
                  <w:tcW w:w="4064"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项目资本金额度</w:t>
                  </w:r>
                </w:p>
              </w:tc>
            </w:tr>
          </w:tbl>
          <w:p>
            <w:pPr>
              <w:pStyle w:val="14"/>
              <w:snapToGrid w:val="0"/>
              <w:rPr>
                <w:rFonts w:ascii="Times New Roman" w:hAnsi="Times New Roman" w:eastAsia="仿宋_GB2312"/>
                <w:color w:val="auto"/>
                <w:sz w:val="21"/>
              </w:rPr>
            </w:pPr>
          </w:p>
          <w:p>
            <w:pPr>
              <w:pStyle w:val="14"/>
              <w:snapToGrid w:val="0"/>
              <w:rPr>
                <w:rFonts w:ascii="Times New Roman" w:hAnsi="Times New Roman" w:eastAsia="仿宋_GB2312"/>
                <w:color w:val="auto"/>
                <w:sz w:val="21"/>
              </w:rPr>
            </w:pPr>
          </w:p>
          <w:p>
            <w:pPr>
              <w:pStyle w:val="14"/>
              <w:snapToGrid w:val="0"/>
              <w:rPr>
                <w:rFonts w:ascii="Times New Roman" w:hAnsi="Times New Roman" w:eastAsia="仿宋_GB2312"/>
                <w:color w:val="auto"/>
                <w:sz w:val="21"/>
              </w:rPr>
            </w:pPr>
          </w:p>
          <w:p>
            <w:pPr>
              <w:pStyle w:val="14"/>
              <w:snapToGrid w:val="0"/>
              <w:rPr>
                <w:rFonts w:ascii="Times New Roman" w:hAnsi="Times New Roman" w:eastAsia="仿宋_GB2312"/>
                <w:color w:val="auto"/>
                <w:sz w:val="21"/>
              </w:rPr>
            </w:pPr>
          </w:p>
          <w:p>
            <w:pPr>
              <w:pStyle w:val="14"/>
              <w:snapToGrid w:val="0"/>
              <w:rPr>
                <w:rFonts w:ascii="Times New Roman" w:hAnsi="Times New Roman" w:eastAsia="仿宋_GB2312"/>
                <w:color w:val="auto"/>
                <w:sz w:val="21"/>
              </w:rPr>
            </w:pPr>
          </w:p>
          <w:p>
            <w:pPr>
              <w:pStyle w:val="14"/>
              <w:snapToGrid w:val="0"/>
              <w:rPr>
                <w:rFonts w:ascii="Times New Roman" w:hAns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1518" w:type="dxa"/>
            <w:vAlign w:val="center"/>
          </w:tcPr>
          <w:p>
            <w:pPr>
              <w:pStyle w:val="14"/>
              <w:snapToGrid w:val="0"/>
              <w:jc w:val="center"/>
              <w:rPr>
                <w:rFonts w:ascii="Times New Roman" w:hAnsi="Times New Roman" w:eastAsia="黑体"/>
                <w:color w:val="auto"/>
                <w:sz w:val="21"/>
              </w:rPr>
            </w:pPr>
            <w:r>
              <w:rPr>
                <w:rFonts w:ascii="Times New Roman" w:hAnsi="Times New Roman" w:eastAsia="黑体"/>
                <w:color w:val="auto"/>
                <w:sz w:val="21"/>
              </w:rPr>
              <w:t>参与单位</w:t>
            </w:r>
          </w:p>
          <w:p>
            <w:pPr>
              <w:pStyle w:val="14"/>
              <w:snapToGrid w:val="0"/>
              <w:jc w:val="center"/>
              <w:rPr>
                <w:rFonts w:ascii="Times New Roman" w:hAnsi="Times New Roman" w:eastAsia="黑体"/>
                <w:color w:val="auto"/>
                <w:sz w:val="21"/>
              </w:rPr>
            </w:pPr>
            <w:r>
              <w:rPr>
                <w:rFonts w:ascii="Times New Roman" w:hAnsi="Times New Roman" w:eastAsia="黑体"/>
                <w:color w:val="auto"/>
                <w:sz w:val="21"/>
              </w:rPr>
              <w:t>自评意见</w:t>
            </w:r>
          </w:p>
        </w:tc>
        <w:tc>
          <w:tcPr>
            <w:tcW w:w="7335" w:type="dxa"/>
            <w:gridSpan w:val="10"/>
            <w:vAlign w:val="center"/>
          </w:tcPr>
          <w:p>
            <w:pPr>
              <w:pStyle w:val="14"/>
              <w:snapToGrid w:val="0"/>
              <w:rPr>
                <w:rFonts w:ascii="Times New Roman" w:hAnsi="Times New Roman"/>
                <w:color w:val="auto"/>
                <w:sz w:val="21"/>
              </w:rPr>
            </w:pPr>
            <w:r>
              <w:rPr>
                <w:rFonts w:hint="eastAsia" w:ascii="Times New Roman" w:hAnsi="Times New Roman"/>
                <w:color w:val="auto"/>
                <w:sz w:val="21"/>
              </w:rPr>
              <w:t>本单位承诺申报内容真实有效。</w:t>
            </w:r>
          </w:p>
          <w:p>
            <w:pPr>
              <w:pStyle w:val="14"/>
              <w:snapToGrid w:val="0"/>
              <w:rPr>
                <w:rFonts w:ascii="Times New Roman" w:hAnsi="Times New Roman"/>
                <w:color w:val="auto"/>
                <w:sz w:val="21"/>
              </w:rPr>
            </w:pPr>
          </w:p>
          <w:p>
            <w:pPr>
              <w:pStyle w:val="14"/>
              <w:snapToGrid w:val="0"/>
              <w:rPr>
                <w:rFonts w:ascii="Times New Roman" w:hAnsi="Times New Roman" w:eastAsia="仿宋_GB2312"/>
                <w:color w:val="auto"/>
                <w:sz w:val="21"/>
              </w:rPr>
            </w:pPr>
            <w:r>
              <w:rPr>
                <w:rFonts w:ascii="Times New Roman" w:hAnsi="Times New Roman" w:eastAsia="仿宋_GB2312"/>
                <w:color w:val="auto"/>
                <w:sz w:val="21"/>
              </w:rPr>
              <w:t xml:space="preserve">                  法定代表人（签字）</w:t>
            </w:r>
            <w:r>
              <w:rPr>
                <w:rFonts w:hint="eastAsia" w:ascii="Times New Roman" w:hAnsi="Times New Roman" w:eastAsia="仿宋_GB2312"/>
                <w:color w:val="auto"/>
                <w:sz w:val="21"/>
              </w:rPr>
              <w:t>：</w:t>
            </w:r>
            <w:r>
              <w:rPr>
                <w:rFonts w:ascii="Times New Roman" w:hAnsi="Times New Roman" w:eastAsia="仿宋_GB2312"/>
                <w:color w:val="auto"/>
                <w:sz w:val="21"/>
              </w:rPr>
              <w:t xml:space="preserve">   （盖章）</w:t>
            </w:r>
          </w:p>
          <w:p>
            <w:pPr>
              <w:pStyle w:val="14"/>
              <w:snapToGrid w:val="0"/>
              <w:rPr>
                <w:rFonts w:ascii="Times New Roman" w:hAnsi="Times New Roman"/>
              </w:rPr>
            </w:pPr>
            <w:r>
              <w:rPr>
                <w:rFonts w:ascii="Times New Roman" w:hAnsi="Times New Roman" w:eastAsia="仿宋_GB2312"/>
                <w:color w:val="auto"/>
                <w:sz w:val="21"/>
              </w:rPr>
              <w:t xml:space="preserve">                                            年   月   日</w:t>
            </w:r>
          </w:p>
        </w:tc>
      </w:tr>
    </w:tbl>
    <w:p>
      <w:pPr>
        <w:spacing w:line="460" w:lineRule="exact"/>
        <w:ind w:left="420" w:leftChars="200"/>
        <w:rPr>
          <w:rFonts w:eastAsia="仿宋_GB2312"/>
          <w:sz w:val="28"/>
          <w:szCs w:val="28"/>
        </w:rPr>
      </w:pPr>
    </w:p>
    <w:sectPr>
      <w:headerReference r:id="rId5" w:type="default"/>
      <w:footerReference r:id="rId6" w:type="default"/>
      <w:pgSz w:w="11906" w:h="16838"/>
      <w:pgMar w:top="1587" w:right="1474"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altName w:val="Shruti"/>
    <w:panose1 w:val="02040503050406030204"/>
    <w:charset w:val="00"/>
    <w:family w:val="modern"/>
    <w:pitch w:val="default"/>
    <w:sig w:usb0="00000000" w:usb1="00000000" w:usb2="00000000" w:usb3="00000000" w:csb0="0000019F" w:csb1="00000000"/>
  </w:font>
  <w:font w:name="Calibri">
    <w:altName w:val="Century Gothic"/>
    <w:panose1 w:val="020F0502020204030204"/>
    <w:charset w:val="00"/>
    <w:family w:val="decorative"/>
    <w:pitch w:val="default"/>
    <w:sig w:usb0="00000000" w:usb1="00000000" w:usb2="00000001" w:usb3="00000000" w:csb0="0000019F" w:csb1="00000000"/>
  </w:font>
  <w:font w:name="Century Gothic">
    <w:panose1 w:val="020B0502020202020204"/>
    <w:charset w:val="00"/>
    <w:family w:val="decorative"/>
    <w:pitch w:val="default"/>
    <w:sig w:usb0="00000287" w:usb1="00000000" w:usb2="00000000" w:usb3="00000000" w:csb0="2000009F" w:csb1="DFD70000"/>
  </w:font>
  <w:font w:name="Cambria">
    <w:altName w:val="Shruti"/>
    <w:panose1 w:val="02040503050406030204"/>
    <w:charset w:val="00"/>
    <w:family w:val="swiss"/>
    <w:pitch w:val="default"/>
    <w:sig w:usb0="00000000" w:usb1="00000000" w:usb2="00000000" w:usb3="00000000" w:csb0="0000019F" w:csb1="00000000"/>
  </w:font>
  <w:font w:name="Calibri">
    <w:altName w:val="Century Gothic"/>
    <w:panose1 w:val="020F0502020204030204"/>
    <w:charset w:val="00"/>
    <w:family w:val="roman"/>
    <w:pitch w:val="default"/>
    <w:sig w:usb0="00000000" w:usb1="00000000" w:usb2="00000001" w:usb3="00000000" w:csb0="0000019F" w:csb1="00000000"/>
  </w:font>
  <w:font w:name="Century Gothic">
    <w:panose1 w:val="020B0502020202020204"/>
    <w:charset w:val="00"/>
    <w:family w:val="roman"/>
    <w:pitch w:val="default"/>
    <w:sig w:usb0="00000287" w:usb1="00000000" w:usb2="00000000" w:usb3="00000000" w:csb0="2000009F" w:csb1="DFD70000"/>
  </w:font>
  <w:font w:name="Cambria">
    <w:altName w:val="Shruti"/>
    <w:panose1 w:val="02040503050406030204"/>
    <w:charset w:val="00"/>
    <w:family w:val="decorative"/>
    <w:pitch w:val="default"/>
    <w:sig w:usb0="00000000" w:usb1="00000000" w:usb2="00000000" w:usb3="00000000" w:csb0="0000019F" w:csb1="00000000"/>
  </w:font>
  <w:font w:name="Calibri">
    <w:altName w:val="Century Gothic"/>
    <w:panose1 w:val="020F0502020204030204"/>
    <w:charset w:val="00"/>
    <w:family w:val="modern"/>
    <w:pitch w:val="default"/>
    <w:sig w:usb0="00000000" w:usb1="00000000" w:usb2="00000001" w:usb3="00000000" w:csb0="0000019F" w:csb1="00000000"/>
  </w:font>
  <w:font w:name="Century Gothic">
    <w:panose1 w:val="020B0502020202020204"/>
    <w:charset w:val="00"/>
    <w:family w:val="modern"/>
    <w:pitch w:val="default"/>
    <w:sig w:usb0="00000287" w:usb1="00000000" w:usb2="00000000" w:usb3="00000000" w:csb0="2000009F" w:csb1="DFD70000"/>
  </w:font>
  <w:font w:name="黑体">
    <w:panose1 w:val="02010600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Sylfaen">
    <w:panose1 w:val="010A0502050306030303"/>
    <w:charset w:val="00"/>
    <w:family w:val="modern"/>
    <w:pitch w:val="default"/>
    <w:sig w:usb0="04000687" w:usb1="00000000" w:usb2="00000000" w:usb3="00000000" w:csb0="2000009F" w:csb1="00000000"/>
  </w:font>
  <w:font w:name="Arial">
    <w:panose1 w:val="020B0604020202020204"/>
    <w:charset w:val="00"/>
    <w:family w:val="auto"/>
    <w:pitch w:val="default"/>
    <w:sig w:usb0="00007A87" w:usb1="80000000" w:usb2="00000008" w:usb3="00000000" w:csb0="400001FF" w:csb1="FFFF0000"/>
  </w:font>
  <w:font w:name="Shruti">
    <w:panose1 w:val="02000500000000000000"/>
    <w:charset w:val="00"/>
    <w:family w:val="modern"/>
    <w:pitch w:val="default"/>
    <w:sig w:usb0="00040000" w:usb1="00000000" w:usb2="00000000" w:usb3="00000000" w:csb0="00000000" w:csb1="00000000"/>
  </w:font>
  <w:font w:name="黑体">
    <w:panose1 w:val="02010600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Sylfaen">
    <w:panose1 w:val="010A0502050306030303"/>
    <w:charset w:val="00"/>
    <w:family w:val="swiss"/>
    <w:pitch w:val="default"/>
    <w:sig w:usb0="04000687" w:usb1="00000000" w:usb2="00000000" w:usb3="00000000" w:csb0="2000009F" w:csb1="00000000"/>
  </w:font>
  <w:font w:name="Shruti">
    <w:panose1 w:val="02000500000000000000"/>
    <w:charset w:val="00"/>
    <w:family w:val="swiss"/>
    <w:pitch w:val="default"/>
    <w:sig w:usb0="00040000" w:usb1="00000000" w:usb2="00000000" w:usb3="00000000" w:csb0="00000000" w:csb1="00000000"/>
  </w:font>
  <w:font w:name="黑体">
    <w:panose1 w:val="02010600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Sylfaen">
    <w:panose1 w:val="010A0502050306030303"/>
    <w:charset w:val="00"/>
    <w:family w:val="decorative"/>
    <w:pitch w:val="default"/>
    <w:sig w:usb0="04000687" w:usb1="00000000" w:usb2="00000000" w:usb3="00000000" w:csb0="2000009F" w:csb1="00000000"/>
  </w:font>
  <w:font w:name="Shruti">
    <w:panose1 w:val="02000500000000000000"/>
    <w:charset w:val="00"/>
    <w:family w:val="decorative"/>
    <w:pitch w:val="default"/>
    <w:sig w:usb0="00040000" w:usb1="00000000" w:usb2="00000000" w:usb3="00000000" w:csb0="00000000" w:csb1="00000000"/>
  </w:font>
  <w:font w:name="黑体">
    <w:panose1 w:val="02010600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ylfaen">
    <w:panose1 w:val="010A0502050306030303"/>
    <w:charset w:val="00"/>
    <w:family w:val="roman"/>
    <w:pitch w:val="default"/>
    <w:sig w:usb0="04000687" w:usb1="00000000" w:usb2="00000000" w:usb3="00000000" w:csb0="2000009F" w:csb1="00000000"/>
  </w:font>
  <w:font w:name="Shruti">
    <w:panose1 w:val="02000500000000000000"/>
    <w:charset w:val="00"/>
    <w:family w:val="roman"/>
    <w:pitch w:val="default"/>
    <w:sig w:usb0="00040000" w:usb1="00000000" w:usb2="00000000" w:usb3="00000000" w:csb0="00000000" w:csb1="00000000"/>
  </w:font>
  <w:font w:name="微软雅黑">
    <w:altName w:val="黑体"/>
    <w:panose1 w:val="020B0503020204020204"/>
    <w:charset w:val="86"/>
    <w:family w:val="auto"/>
    <w:pitch w:val="default"/>
    <w:sig w:usb0="00000000" w:usb1="00000000" w:usb2="00000016" w:usb3="00000000" w:csb0="0004001F" w:csb1="00000000"/>
  </w:font>
  <w:font w:name="仿宋">
    <w:altName w:val="仿宋_GB2312"/>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华文仿宋">
    <w:panose1 w:val="02010600040101010101"/>
    <w:charset w:val="50"/>
    <w:family w:val="auto"/>
    <w:pitch w:val="default"/>
    <w:sig w:usb0="00000287" w:usb1="080F0000" w:usb2="00000000" w:usb3="00000000" w:csb0="0004009F" w:csb1="DFD70000"/>
  </w:font>
  <w:font w:name="仿宋">
    <w:altName w:val="仿宋_GB2312"/>
    <w:panose1 w:val="02010609060101010101"/>
    <w:charset w:val="86"/>
    <w:family w:val="swiss"/>
    <w:pitch w:val="default"/>
    <w:sig w:usb0="00000000" w:usb1="00000000" w:usb2="00000016" w:usb3="00000000" w:csb0="00040001" w:csb1="00000000"/>
  </w:font>
  <w:font w:name="仿宋">
    <w:altName w:val="仿宋_GB2312"/>
    <w:panose1 w:val="02010609060101010101"/>
    <w:charset w:val="86"/>
    <w:family w:val="modern"/>
    <w:pitch w:val="default"/>
    <w:sig w:usb0="00000000" w:usb1="00000000" w:usb2="00000016" w:usb3="00000000" w:csb0="00040001" w:csb1="00000000"/>
  </w:font>
  <w:font w:name="仿宋">
    <w:altName w:val="仿宋_GB2312"/>
    <w:panose1 w:val="02010609060101010101"/>
    <w:charset w:val="86"/>
    <w:family w:val="roman"/>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仿宋">
    <w:altName w:val="仿宋_GB2312"/>
    <w:panose1 w:val="02010609060101010101"/>
    <w:charset w:val="86"/>
    <w:family w:val="decorative"/>
    <w:pitch w:val="default"/>
    <w:sig w:usb0="00000000" w:usb1="00000000" w:usb2="00000016" w:usb3="00000000" w:csb0="00040001" w:csb1="00000000"/>
  </w:font>
  <w:font w:name="Lucida Sans Unicode">
    <w:panose1 w:val="020B0602030504020204"/>
    <w:charset w:val="00"/>
    <w:family w:val="roman"/>
    <w:pitch w:val="default"/>
    <w:sig w:usb0="80001AFF" w:usb1="0000396B" w:usb2="00000000" w:usb3="00000000" w:csb0="0000003F" w:csb1="D7F70000"/>
  </w:font>
  <w:font w:name="Lucida Sans Unicode">
    <w:panose1 w:val="020B0602030504020204"/>
    <w:charset w:val="00"/>
    <w:family w:val="modern"/>
    <w:pitch w:val="default"/>
    <w:sig w:usb0="80001AFF" w:usb1="0000396B" w:usb2="00000000" w:usb3="00000000" w:csb0="0000003F" w:csb1="D7F70000"/>
  </w:font>
  <w:font w:name="Lucida Sans Unicode">
    <w:panose1 w:val="020B0602030504020204"/>
    <w:charset w:val="00"/>
    <w:family w:val="swiss"/>
    <w:pitch w:val="default"/>
    <w:sig w:usb0="80001AFF" w:usb1="0000396B" w:usb2="00000000" w:usb3="00000000" w:csb0="0000003F" w:csb1="D7F70000"/>
  </w:font>
  <w:font w:name="Tahoma">
    <w:panose1 w:val="020B0604030504040204"/>
    <w:charset w:val="00"/>
    <w:family w:val="auto"/>
    <w:pitch w:val="default"/>
    <w:sig w:usb0="61007A87" w:usb1="80000000" w:usb2="00000008" w:usb3="00000000" w:csb0="200101FF" w:csb1="20280000"/>
  </w:font>
  <w:font w:name="+西文正文">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等线">
    <w:altName w:val="宋体"/>
    <w:panose1 w:val="00000000000000000000"/>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decorative"/>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roman"/>
    <w:pitch w:val="default"/>
    <w:sig w:usb0="00000000" w:usb1="00000000" w:usb2="00000016" w:usb3="00000000" w:csb0="00040001" w:csb1="00000000"/>
  </w:font>
  <w:font w:name="黑体">
    <w:panose1 w:val="02010600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楷体">
    <w:altName w:val="楷体_GB2312"/>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swiss"/>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pict>
        <v:shape id="_x0000_s4097" o:spid="_x0000_s4097"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pict>
        <v:shape id="Quad Arrow 2049" o:spid="_x0000_s4098"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top w:val="none" w:color="auto" w:sz="0" w:space="1"/>
        <w:left w:val="none" w:color="auto" w:sz="0" w:space="4"/>
        <w:bottom w:val="none" w:color="auto" w:sz="0" w:space="1"/>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1056404">
    <w:nsid w:val="59784D94"/>
    <w:multiLevelType w:val="singleLevel"/>
    <w:tmpl w:val="59784D94"/>
    <w:lvl w:ilvl="0" w:tentative="1">
      <w:start w:val="1"/>
      <w:numFmt w:val="chineseCounting"/>
      <w:suff w:val="nothing"/>
      <w:lvlText w:val="%1、"/>
      <w:lvlJc w:val="left"/>
    </w:lvl>
  </w:abstractNum>
  <w:abstractNum w:abstractNumId="1501516325">
    <w:nsid w:val="597F5225"/>
    <w:multiLevelType w:val="singleLevel"/>
    <w:tmpl w:val="597F5225"/>
    <w:lvl w:ilvl="0" w:tentative="1">
      <w:start w:val="1"/>
      <w:numFmt w:val="chineseCounting"/>
      <w:suff w:val="nothing"/>
      <w:lvlText w:val="（%1）"/>
      <w:lvlJc w:val="left"/>
      <w:pPr>
        <w:ind w:left="0" w:firstLine="420"/>
      </w:pPr>
      <w:rPr>
        <w:rFonts w:hint="eastAsia"/>
      </w:rPr>
    </w:lvl>
  </w:abstractNum>
  <w:abstractNum w:abstractNumId="1501516458">
    <w:nsid w:val="597F52AA"/>
    <w:multiLevelType w:val="singleLevel"/>
    <w:tmpl w:val="597F52AA"/>
    <w:lvl w:ilvl="0" w:tentative="1">
      <w:start w:val="1"/>
      <w:numFmt w:val="decimal"/>
      <w:suff w:val="nothing"/>
      <w:lvlText w:val="%1．"/>
      <w:lvlJc w:val="left"/>
      <w:pPr>
        <w:ind w:left="0" w:firstLine="400"/>
      </w:pPr>
      <w:rPr>
        <w:rFonts w:hint="default"/>
      </w:rPr>
    </w:lvl>
  </w:abstractNum>
  <w:abstractNum w:abstractNumId="1501516430">
    <w:nsid w:val="597F528E"/>
    <w:multiLevelType w:val="singleLevel"/>
    <w:tmpl w:val="597F528E"/>
    <w:lvl w:ilvl="0" w:tentative="1">
      <w:start w:val="1"/>
      <w:numFmt w:val="decimal"/>
      <w:suff w:val="nothing"/>
      <w:lvlText w:val="%1．"/>
      <w:lvlJc w:val="left"/>
      <w:pPr>
        <w:ind w:left="0" w:firstLine="400"/>
      </w:pPr>
      <w:rPr>
        <w:rFonts w:hint="default"/>
      </w:rPr>
    </w:lvl>
  </w:abstractNum>
  <w:abstractNum w:abstractNumId="1501592784">
    <w:nsid w:val="59807CD0"/>
    <w:multiLevelType w:val="singleLevel"/>
    <w:tmpl w:val="59807CD0"/>
    <w:lvl w:ilvl="0" w:tentative="1">
      <w:start w:val="1"/>
      <w:numFmt w:val="decimal"/>
      <w:suff w:val="nothing"/>
      <w:lvlText w:val="（%1）"/>
      <w:lvlJc w:val="left"/>
    </w:lvl>
  </w:abstractNum>
  <w:abstractNum w:abstractNumId="1501516387">
    <w:nsid w:val="597F5263"/>
    <w:multiLevelType w:val="singleLevel"/>
    <w:tmpl w:val="597F5263"/>
    <w:lvl w:ilvl="0" w:tentative="1">
      <w:start w:val="1"/>
      <w:numFmt w:val="decimal"/>
      <w:suff w:val="nothing"/>
      <w:lvlText w:val="%1．"/>
      <w:lvlJc w:val="left"/>
      <w:pPr>
        <w:ind w:left="0" w:firstLine="400"/>
      </w:pPr>
      <w:rPr>
        <w:rFonts w:hint="default"/>
      </w:rPr>
    </w:lvl>
  </w:abstractNum>
  <w:abstractNum w:abstractNumId="1501515486">
    <w:nsid w:val="597F4EDE"/>
    <w:multiLevelType w:val="singleLevel"/>
    <w:tmpl w:val="597F4EDE"/>
    <w:lvl w:ilvl="0" w:tentative="1">
      <w:start w:val="1"/>
      <w:numFmt w:val="decimal"/>
      <w:suff w:val="nothing"/>
      <w:lvlText w:val="%1."/>
      <w:lvlJc w:val="left"/>
    </w:lvl>
  </w:abstractNum>
  <w:num w:numId="1">
    <w:abstractNumId w:val="1501056404"/>
  </w:num>
  <w:num w:numId="2">
    <w:abstractNumId w:val="1501516325"/>
  </w:num>
  <w:num w:numId="3">
    <w:abstractNumId w:val="1501516387"/>
  </w:num>
  <w:num w:numId="4">
    <w:abstractNumId w:val="1501516430"/>
  </w:num>
  <w:num w:numId="5">
    <w:abstractNumId w:val="1501516458"/>
  </w:num>
  <w:num w:numId="6">
    <w:abstractNumId w:val="1501592784"/>
  </w:num>
  <w:num w:numId="7">
    <w:abstractNumId w:val="15015154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AA0"/>
    <w:rsid w:val="00015CAB"/>
    <w:rsid w:val="00051017"/>
    <w:rsid w:val="000942FD"/>
    <w:rsid w:val="000C6968"/>
    <w:rsid w:val="000C6E1D"/>
    <w:rsid w:val="000E359D"/>
    <w:rsid w:val="00144F57"/>
    <w:rsid w:val="00184A01"/>
    <w:rsid w:val="001C05E3"/>
    <w:rsid w:val="00235F03"/>
    <w:rsid w:val="00250233"/>
    <w:rsid w:val="002E07DA"/>
    <w:rsid w:val="00332B85"/>
    <w:rsid w:val="00336DFE"/>
    <w:rsid w:val="00374C83"/>
    <w:rsid w:val="003A7AEB"/>
    <w:rsid w:val="003E6244"/>
    <w:rsid w:val="0040014C"/>
    <w:rsid w:val="00406DF1"/>
    <w:rsid w:val="004118D2"/>
    <w:rsid w:val="00434E9E"/>
    <w:rsid w:val="004454C4"/>
    <w:rsid w:val="004736AC"/>
    <w:rsid w:val="0048316F"/>
    <w:rsid w:val="004E2454"/>
    <w:rsid w:val="004F7177"/>
    <w:rsid w:val="00502214"/>
    <w:rsid w:val="005C2632"/>
    <w:rsid w:val="006B0CD5"/>
    <w:rsid w:val="006F47E8"/>
    <w:rsid w:val="00795CD8"/>
    <w:rsid w:val="007F60CF"/>
    <w:rsid w:val="00857208"/>
    <w:rsid w:val="008B3226"/>
    <w:rsid w:val="009400B9"/>
    <w:rsid w:val="009553E6"/>
    <w:rsid w:val="009B7673"/>
    <w:rsid w:val="009E337D"/>
    <w:rsid w:val="00A14A62"/>
    <w:rsid w:val="00A15468"/>
    <w:rsid w:val="00A379F0"/>
    <w:rsid w:val="00A86342"/>
    <w:rsid w:val="00AD129A"/>
    <w:rsid w:val="00AE77D1"/>
    <w:rsid w:val="00BC4961"/>
    <w:rsid w:val="00C43907"/>
    <w:rsid w:val="00CA355D"/>
    <w:rsid w:val="00CB4836"/>
    <w:rsid w:val="00CE1A36"/>
    <w:rsid w:val="00D71A65"/>
    <w:rsid w:val="00F607C9"/>
    <w:rsid w:val="00FB3AA0"/>
    <w:rsid w:val="0186020E"/>
    <w:rsid w:val="027A3CC3"/>
    <w:rsid w:val="028176CC"/>
    <w:rsid w:val="02CA1A1F"/>
    <w:rsid w:val="02F538E8"/>
    <w:rsid w:val="03F20308"/>
    <w:rsid w:val="03F4071D"/>
    <w:rsid w:val="041617C1"/>
    <w:rsid w:val="0416504E"/>
    <w:rsid w:val="04847877"/>
    <w:rsid w:val="04BB57D2"/>
    <w:rsid w:val="04BB6D2A"/>
    <w:rsid w:val="05284C8E"/>
    <w:rsid w:val="05F46388"/>
    <w:rsid w:val="06A27BF1"/>
    <w:rsid w:val="077730CD"/>
    <w:rsid w:val="096C2283"/>
    <w:rsid w:val="0AC460B7"/>
    <w:rsid w:val="0C9D11C1"/>
    <w:rsid w:val="0EF05350"/>
    <w:rsid w:val="0F6E4D38"/>
    <w:rsid w:val="0FA35C35"/>
    <w:rsid w:val="0FEC3AAB"/>
    <w:rsid w:val="104457BF"/>
    <w:rsid w:val="10DF7BBC"/>
    <w:rsid w:val="10F76794"/>
    <w:rsid w:val="11807745"/>
    <w:rsid w:val="11AE0768"/>
    <w:rsid w:val="121247E0"/>
    <w:rsid w:val="12124AB5"/>
    <w:rsid w:val="12DE15D7"/>
    <w:rsid w:val="13110DD5"/>
    <w:rsid w:val="14445CCF"/>
    <w:rsid w:val="14B4154E"/>
    <w:rsid w:val="14C120A7"/>
    <w:rsid w:val="151627A4"/>
    <w:rsid w:val="153D11EC"/>
    <w:rsid w:val="16864F84"/>
    <w:rsid w:val="179D474C"/>
    <w:rsid w:val="19846B6B"/>
    <w:rsid w:val="19D96275"/>
    <w:rsid w:val="1AE844B6"/>
    <w:rsid w:val="1B464203"/>
    <w:rsid w:val="1BE93A56"/>
    <w:rsid w:val="1C3E7EFA"/>
    <w:rsid w:val="1CFD04B4"/>
    <w:rsid w:val="1D754862"/>
    <w:rsid w:val="1E7F2796"/>
    <w:rsid w:val="1EC24504"/>
    <w:rsid w:val="1EC55022"/>
    <w:rsid w:val="1F4D1EEA"/>
    <w:rsid w:val="1F6C111A"/>
    <w:rsid w:val="1FD0114C"/>
    <w:rsid w:val="202C1558"/>
    <w:rsid w:val="203E5DA7"/>
    <w:rsid w:val="20633C30"/>
    <w:rsid w:val="20986689"/>
    <w:rsid w:val="20A13715"/>
    <w:rsid w:val="2163185D"/>
    <w:rsid w:val="21765602"/>
    <w:rsid w:val="219A3A50"/>
    <w:rsid w:val="221E3F06"/>
    <w:rsid w:val="22C75DD6"/>
    <w:rsid w:val="22F80638"/>
    <w:rsid w:val="237F064A"/>
    <w:rsid w:val="23C76B72"/>
    <w:rsid w:val="24504374"/>
    <w:rsid w:val="247C2AEC"/>
    <w:rsid w:val="249D0C55"/>
    <w:rsid w:val="25B305EA"/>
    <w:rsid w:val="25C81489"/>
    <w:rsid w:val="25F2004C"/>
    <w:rsid w:val="26903450"/>
    <w:rsid w:val="26BB597A"/>
    <w:rsid w:val="274A6102"/>
    <w:rsid w:val="280E540E"/>
    <w:rsid w:val="28A11F36"/>
    <w:rsid w:val="28C518DA"/>
    <w:rsid w:val="28EB146D"/>
    <w:rsid w:val="296B557D"/>
    <w:rsid w:val="2AEE3D21"/>
    <w:rsid w:val="2BA970F0"/>
    <w:rsid w:val="2C680FE8"/>
    <w:rsid w:val="2DC25DA1"/>
    <w:rsid w:val="31930FE5"/>
    <w:rsid w:val="31B63A9D"/>
    <w:rsid w:val="31BB2CC7"/>
    <w:rsid w:val="31DC6E5B"/>
    <w:rsid w:val="32273C28"/>
    <w:rsid w:val="330D2A50"/>
    <w:rsid w:val="33C83183"/>
    <w:rsid w:val="344D70E3"/>
    <w:rsid w:val="345E10F8"/>
    <w:rsid w:val="35B63925"/>
    <w:rsid w:val="376D09FB"/>
    <w:rsid w:val="3808667B"/>
    <w:rsid w:val="381E340C"/>
    <w:rsid w:val="3B00415A"/>
    <w:rsid w:val="3C0C6F4E"/>
    <w:rsid w:val="3C0E4317"/>
    <w:rsid w:val="3C240A39"/>
    <w:rsid w:val="3E076650"/>
    <w:rsid w:val="3E6B6375"/>
    <w:rsid w:val="3F676C24"/>
    <w:rsid w:val="3FAA101F"/>
    <w:rsid w:val="3FD9148B"/>
    <w:rsid w:val="40543C97"/>
    <w:rsid w:val="40D52E34"/>
    <w:rsid w:val="40F66344"/>
    <w:rsid w:val="411B67E1"/>
    <w:rsid w:val="41220E6C"/>
    <w:rsid w:val="4137558E"/>
    <w:rsid w:val="417575F2"/>
    <w:rsid w:val="41D711DB"/>
    <w:rsid w:val="41F060A9"/>
    <w:rsid w:val="41F72149"/>
    <w:rsid w:val="42BD5F68"/>
    <w:rsid w:val="42D417A1"/>
    <w:rsid w:val="43FE4A9D"/>
    <w:rsid w:val="44593EB2"/>
    <w:rsid w:val="44644441"/>
    <w:rsid w:val="446F49BB"/>
    <w:rsid w:val="44B52F47"/>
    <w:rsid w:val="44F94935"/>
    <w:rsid w:val="45EE436C"/>
    <w:rsid w:val="460D0F7A"/>
    <w:rsid w:val="46610A04"/>
    <w:rsid w:val="46714521"/>
    <w:rsid w:val="46C8475E"/>
    <w:rsid w:val="471B368C"/>
    <w:rsid w:val="472069EE"/>
    <w:rsid w:val="47B944B8"/>
    <w:rsid w:val="48043633"/>
    <w:rsid w:val="4843441C"/>
    <w:rsid w:val="487923E8"/>
    <w:rsid w:val="487C1FF8"/>
    <w:rsid w:val="49092EE1"/>
    <w:rsid w:val="491D5404"/>
    <w:rsid w:val="493C57C4"/>
    <w:rsid w:val="497F17F3"/>
    <w:rsid w:val="49B145F3"/>
    <w:rsid w:val="4A3D66E2"/>
    <w:rsid w:val="4A6D27A8"/>
    <w:rsid w:val="4A8B676B"/>
    <w:rsid w:val="4ADE3D60"/>
    <w:rsid w:val="4AE14CE5"/>
    <w:rsid w:val="4C5C0CF7"/>
    <w:rsid w:val="4C7E5A0B"/>
    <w:rsid w:val="4CA542F4"/>
    <w:rsid w:val="4D1E7B13"/>
    <w:rsid w:val="4D686C8D"/>
    <w:rsid w:val="4D9B0E50"/>
    <w:rsid w:val="4DC075F0"/>
    <w:rsid w:val="4DE578DC"/>
    <w:rsid w:val="4E0D2E4A"/>
    <w:rsid w:val="4E18259D"/>
    <w:rsid w:val="4E1B4533"/>
    <w:rsid w:val="4E24727E"/>
    <w:rsid w:val="4E676BB0"/>
    <w:rsid w:val="4EC826F5"/>
    <w:rsid w:val="4FF31BBA"/>
    <w:rsid w:val="503D150A"/>
    <w:rsid w:val="51560911"/>
    <w:rsid w:val="515F6B11"/>
    <w:rsid w:val="51E72E82"/>
    <w:rsid w:val="52A46B89"/>
    <w:rsid w:val="53C85A03"/>
    <w:rsid w:val="53DC07BE"/>
    <w:rsid w:val="556131C1"/>
    <w:rsid w:val="55B961B3"/>
    <w:rsid w:val="56B43E4C"/>
    <w:rsid w:val="57195401"/>
    <w:rsid w:val="57CB6E97"/>
    <w:rsid w:val="58EE5CF5"/>
    <w:rsid w:val="59234C9A"/>
    <w:rsid w:val="5A554343"/>
    <w:rsid w:val="5AD374DE"/>
    <w:rsid w:val="5AF50649"/>
    <w:rsid w:val="5B4D6AD9"/>
    <w:rsid w:val="5DB46EC8"/>
    <w:rsid w:val="5E0D665D"/>
    <w:rsid w:val="5F701B31"/>
    <w:rsid w:val="60256ADC"/>
    <w:rsid w:val="60A04417"/>
    <w:rsid w:val="60BE0144"/>
    <w:rsid w:val="610D6FCA"/>
    <w:rsid w:val="615B12C7"/>
    <w:rsid w:val="61E7472F"/>
    <w:rsid w:val="62090166"/>
    <w:rsid w:val="628110AA"/>
    <w:rsid w:val="62BE310D"/>
    <w:rsid w:val="62D00E29"/>
    <w:rsid w:val="62D81AB9"/>
    <w:rsid w:val="63267639"/>
    <w:rsid w:val="63876F31"/>
    <w:rsid w:val="6389143A"/>
    <w:rsid w:val="64B018BD"/>
    <w:rsid w:val="64BE0654"/>
    <w:rsid w:val="64F64031"/>
    <w:rsid w:val="66293129"/>
    <w:rsid w:val="67187034"/>
    <w:rsid w:val="678D07F2"/>
    <w:rsid w:val="67EA0B8C"/>
    <w:rsid w:val="68954F40"/>
    <w:rsid w:val="68A4383E"/>
    <w:rsid w:val="68B43AD8"/>
    <w:rsid w:val="69075AE0"/>
    <w:rsid w:val="69A81DE6"/>
    <w:rsid w:val="69B82081"/>
    <w:rsid w:val="69D86E6B"/>
    <w:rsid w:val="69F51EE6"/>
    <w:rsid w:val="6B876DF9"/>
    <w:rsid w:val="6BC65827"/>
    <w:rsid w:val="6BE84A7D"/>
    <w:rsid w:val="6CEF50C6"/>
    <w:rsid w:val="6DD94706"/>
    <w:rsid w:val="6E437F76"/>
    <w:rsid w:val="6EA64D9F"/>
    <w:rsid w:val="6EAF1936"/>
    <w:rsid w:val="6F32657A"/>
    <w:rsid w:val="6FEB37AA"/>
    <w:rsid w:val="70A409DA"/>
    <w:rsid w:val="70A74850"/>
    <w:rsid w:val="712F0176"/>
    <w:rsid w:val="715352FB"/>
    <w:rsid w:val="71CA07BD"/>
    <w:rsid w:val="72EA6696"/>
    <w:rsid w:val="730B244E"/>
    <w:rsid w:val="73497EBC"/>
    <w:rsid w:val="74A96A99"/>
    <w:rsid w:val="75244CBB"/>
    <w:rsid w:val="77BD201F"/>
    <w:rsid w:val="77E757C4"/>
    <w:rsid w:val="7904051A"/>
    <w:rsid w:val="79492F01"/>
    <w:rsid w:val="798619ED"/>
    <w:rsid w:val="79E82E42"/>
    <w:rsid w:val="7A256073"/>
    <w:rsid w:val="7A7810EF"/>
    <w:rsid w:val="7A905722"/>
    <w:rsid w:val="7B0556E1"/>
    <w:rsid w:val="7B4464CB"/>
    <w:rsid w:val="7B754A9B"/>
    <w:rsid w:val="7D1B284D"/>
    <w:rsid w:val="7DD16AF9"/>
    <w:rsid w:val="7DF50FEE"/>
    <w:rsid w:val="7E125364"/>
    <w:rsid w:val="7E6A37F4"/>
    <w:rsid w:val="7F284EA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7"/>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99"/>
  </w:style>
  <w:style w:type="character" w:styleId="8">
    <w:name w:val="annotation reference"/>
    <w:unhideWhenUsed/>
    <w:uiPriority w:val="99"/>
    <w:rPr>
      <w:sz w:val="21"/>
      <w:szCs w:val="21"/>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1 Char"/>
    <w:basedOn w:val="1"/>
    <w:qFormat/>
    <w:uiPriority w:val="0"/>
  </w:style>
  <w:style w:type="paragraph" w:customStyle="1" w:styleId="12">
    <w:name w:val="列出段落1"/>
    <w:basedOn w:val="1"/>
    <w:qFormat/>
    <w:uiPriority w:val="99"/>
    <w:pPr>
      <w:ind w:firstLine="420" w:firstLineChars="200"/>
    </w:pPr>
  </w:style>
  <w:style w:type="paragraph" w:customStyle="1" w:styleId="13">
    <w:name w:val="Title1"/>
    <w:qFormat/>
    <w:uiPriority w:val="0"/>
    <w:pPr>
      <w:jc w:val="center"/>
    </w:pPr>
    <w:rPr>
      <w:rFonts w:ascii="Calibri" w:hAnsi="Calibri" w:eastAsia="黑体" w:cs="黑体"/>
      <w:kern w:val="2"/>
      <w:sz w:val="44"/>
      <w:szCs w:val="22"/>
      <w:lang w:val="en-US" w:eastAsia="zh-CN" w:bidi="ar-SA"/>
    </w:rPr>
  </w:style>
  <w:style w:type="paragraph" w:customStyle="1" w:styleId="14">
    <w:name w:val="表格"/>
    <w:basedOn w:val="1"/>
    <w:qFormat/>
    <w:uiPriority w:val="0"/>
    <w:pPr>
      <w:widowControl/>
    </w:pPr>
    <w:rPr>
      <w:rFonts w:ascii="宋体" w:hAnsi="宋体" w:eastAsia="等线"/>
      <w:color w:val="000000"/>
      <w:kern w:val="0"/>
      <w:sz w:val="18"/>
      <w:szCs w:val="22"/>
    </w:rPr>
  </w:style>
  <w:style w:type="character" w:customStyle="1" w:styleId="15">
    <w:name w:val="页眉 Char"/>
    <w:link w:val="5"/>
    <w:semiHidden/>
    <w:qFormat/>
    <w:uiPriority w:val="99"/>
    <w:rPr>
      <w:sz w:val="18"/>
      <w:szCs w:val="18"/>
    </w:rPr>
  </w:style>
  <w:style w:type="character" w:customStyle="1" w:styleId="16">
    <w:name w:val="页脚 Char"/>
    <w:link w:val="4"/>
    <w:semiHidden/>
    <w:qFormat/>
    <w:uiPriority w:val="99"/>
    <w:rPr>
      <w:sz w:val="18"/>
      <w:szCs w:val="18"/>
    </w:rPr>
  </w:style>
  <w:style w:type="character" w:customStyle="1" w:styleId="17">
    <w:name w:val="批注框文本 Char"/>
    <w:link w:val="3"/>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723</Words>
  <Characters>4127</Characters>
  <Lines>34</Lines>
  <Paragraphs>9</Paragraphs>
  <ScaleCrop>false</ScaleCrop>
  <LinksUpToDate>false</LinksUpToDate>
  <CharactersWithSpaces>4841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2017-07-26T01:21:00Z</dcterms:created>
  <dc:creator>lv</dc:creator>
  <cp:lastModifiedBy>冉亮</cp:lastModifiedBy>
  <dcterms:modified xsi:type="dcterms:W3CDTF">2017-08-24T14:02:49Z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