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textAlignment w:val="center"/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highlight w:val="none"/>
          <w:lang w:val="en-US" w:eastAsia="zh-CN" w:bidi="ar-SA"/>
        </w:rPr>
        <w:t>附件2</w:t>
      </w:r>
    </w:p>
    <w:tbl>
      <w:tblPr>
        <w:tblStyle w:val="5"/>
        <w:tblW w:w="10348" w:type="dxa"/>
        <w:jc w:val="center"/>
        <w:tblInd w:w="-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556"/>
        <w:gridCol w:w="1500"/>
        <w:gridCol w:w="2006"/>
        <w:gridCol w:w="1110"/>
        <w:gridCol w:w="2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10348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 w:val="44"/>
                <w:szCs w:val="44"/>
                <w:highlight w:val="none"/>
                <w:lang w:val="en-US" w:eastAsia="zh-CN" w:bidi="ar-SA"/>
              </w:rPr>
              <w:t>全国工业领域电力需求侧管理示范企业申报表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企业法人代表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企业简介（包括发展历程、经营情况等）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用电基本情况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          年度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内容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2014年度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2015年度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装机容量（千伏安）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用电量（万千瓦时）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产值（亿元）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计费容量（千伏安）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最大需量（千瓦）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电费(万元）、基本电费（万元）、电度电费（万元）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电力需求侧管理实施背景（包括工艺流程、行业或产业用电特征等）</w:t>
            </w:r>
          </w:p>
        </w:tc>
        <w:tc>
          <w:tcPr>
            <w:tcW w:w="7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电力需求侧管理实施情况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时段及内容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阶段        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时段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具体内容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诊断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C0C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C0C0C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指能源管理现状及存在的问题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优化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C0C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C0C0C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包括管理手段和技术手段，含具体内容、使用方法及优化前后能效对比等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评价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C0C0C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C0C0C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评价结论及机构简介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03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  <w:t>实施成效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       年度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内容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2014年度</w:t>
            </w: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2015年度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削减或转移负荷（千瓦）</w:t>
            </w: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节约电量（万千瓦时）</w:t>
            </w: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7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产能与效益提升</w:t>
            </w: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社会效益及推广价值</w:t>
            </w:r>
          </w:p>
        </w:tc>
        <w:tc>
          <w:tcPr>
            <w:tcW w:w="3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0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手机号码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邮箱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spacing w:beforeLines="0" w:afterLines="0"/>
      </w:pPr>
    </w:p>
    <w:tbl>
      <w:tblPr>
        <w:tblStyle w:val="5"/>
        <w:tblpPr w:leftFromText="180" w:rightFromText="180" w:vertAnchor="text" w:horzAnchor="page" w:tblpX="1229" w:tblpY="-3414"/>
        <w:tblOverlap w:val="never"/>
        <w:tblW w:w="9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2190"/>
        <w:gridCol w:w="819"/>
        <w:gridCol w:w="396"/>
        <w:gridCol w:w="1944"/>
        <w:gridCol w:w="786"/>
        <w:gridCol w:w="2550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11" w:hRule="atLeast"/>
        </w:trPr>
        <w:tc>
          <w:tcPr>
            <w:tcW w:w="9675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44"/>
                <w:szCs w:val="44"/>
                <w:highlight w:val="none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/>
                <w:b/>
                <w:kern w:val="0"/>
                <w:sz w:val="44"/>
                <w:szCs w:val="44"/>
                <w:highlight w:val="none"/>
                <w:lang w:val="en-US" w:eastAsia="zh-CN" w:bidi="ar-SA"/>
              </w:rPr>
              <w:t>全国工业领域电力需求侧管理示范</w:t>
            </w:r>
            <w:r>
              <w:rPr>
                <w:rFonts w:hint="eastAsia" w:ascii="宋体" w:hAnsi="宋体"/>
                <w:b/>
                <w:kern w:val="0"/>
                <w:sz w:val="44"/>
                <w:szCs w:val="44"/>
                <w:highlight w:val="none"/>
                <w:lang w:val="en-US" w:eastAsia="zh-CN" w:bidi="ar-SA"/>
              </w:rPr>
              <w:t>园区</w:t>
            </w:r>
            <w:r>
              <w:rPr>
                <w:rFonts w:hint="eastAsia" w:ascii="宋体" w:hAnsi="宋体" w:eastAsia="宋体"/>
                <w:b/>
                <w:kern w:val="0"/>
                <w:sz w:val="44"/>
                <w:szCs w:val="44"/>
                <w:highlight w:val="none"/>
                <w:lang w:val="en-US" w:eastAsia="zh-CN" w:bidi="ar-SA"/>
              </w:rPr>
              <w:t>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9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583" w:leftChars="-8" w:firstLine="16" w:firstLineChars="6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园区名称</w:t>
            </w:r>
          </w:p>
        </w:tc>
        <w:tc>
          <w:tcPr>
            <w:tcW w:w="5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园区管理机构简介</w:t>
            </w:r>
          </w:p>
        </w:tc>
        <w:tc>
          <w:tcPr>
            <w:tcW w:w="5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9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园区简介（包括发展历程、经营情况等）</w:t>
            </w:r>
          </w:p>
        </w:tc>
        <w:tc>
          <w:tcPr>
            <w:tcW w:w="5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9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用电基本情况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年度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内容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2014年度</w:t>
            </w: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2015年度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装机容量（千伏安）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用电量（万千瓦时）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工业增加值（亿元）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电费（亿元）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yellow"/>
                <w:u w:val="none"/>
                <w:lang w:eastAsia="zh-CN"/>
              </w:rPr>
            </w:pPr>
          </w:p>
        </w:tc>
        <w:tc>
          <w:tcPr>
            <w:tcW w:w="3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yellow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电力需求侧管理实施背景（包括园区用电特性、产业特征、自发电源建设情况、能源管理现状及存在问题等）</w:t>
            </w: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94" w:hRule="atLeast"/>
        </w:trPr>
        <w:tc>
          <w:tcPr>
            <w:tcW w:w="9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电力需求侧管理工作情况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54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时段及情况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内容        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时段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电力需求侧管理机构组建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电力需求侧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管理制度建立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电力需求侧管理平台建设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源网荷储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协调优化运营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配电网升级改造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分布式电源建设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  <w:t>能源互联网建设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智能微电网建设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充电设施建设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需求响应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eastAsia="zh-CN"/>
              </w:rPr>
              <w:t>其他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9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实施成效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584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年度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内容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2014年度</w:t>
            </w: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2015年度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节约电量（万千瓦时）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削减或转移负荷（千瓦）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社会效益及推广价值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64" w:hRule="atLeast"/>
        </w:trPr>
        <w:tc>
          <w:tcPr>
            <w:tcW w:w="96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169" w:rightChars="557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对企业实施需求侧管理等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给予的政策支持</w:t>
            </w: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22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是否为国家新型工业化产业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示范基地</w:t>
            </w:r>
          </w:p>
        </w:tc>
        <w:tc>
          <w:tcPr>
            <w:tcW w:w="6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□ 是（第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lang w:val="en-US" w:eastAsia="zh-CN" w:bidi="ar-SA"/>
              </w:rPr>
              <w:t>批）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      □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47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邮箱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Lines="0" w:afterLines="0"/>
      </w:pPr>
    </w:p>
    <w:p>
      <w:pPr>
        <w:spacing w:beforeLines="0" w:afterLines="0"/>
      </w:pPr>
    </w:p>
    <w:p>
      <w:pPr>
        <w:spacing w:beforeLines="0" w:afterLines="0"/>
      </w:pPr>
    </w:p>
    <w:p>
      <w:pPr/>
    </w:p>
    <w:sectPr>
      <w:pgSz w:w="11906" w:h="16838"/>
      <w:pgMar w:top="820" w:right="1800" w:bottom="79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2159"/>
    <w:rsid w:val="01FB23CB"/>
    <w:rsid w:val="07721E5F"/>
    <w:rsid w:val="0AAC0A11"/>
    <w:rsid w:val="17E625C2"/>
    <w:rsid w:val="189F55F4"/>
    <w:rsid w:val="1B822DAD"/>
    <w:rsid w:val="1BC303F0"/>
    <w:rsid w:val="1CFD391F"/>
    <w:rsid w:val="224A024D"/>
    <w:rsid w:val="22750198"/>
    <w:rsid w:val="23C50DBF"/>
    <w:rsid w:val="25A30350"/>
    <w:rsid w:val="293D5638"/>
    <w:rsid w:val="2ABB0021"/>
    <w:rsid w:val="2AF00502"/>
    <w:rsid w:val="31B859A2"/>
    <w:rsid w:val="3621205E"/>
    <w:rsid w:val="394F2215"/>
    <w:rsid w:val="39FD3633"/>
    <w:rsid w:val="3D0038A0"/>
    <w:rsid w:val="401776B5"/>
    <w:rsid w:val="42FB4E6F"/>
    <w:rsid w:val="43254DBA"/>
    <w:rsid w:val="442B2FE3"/>
    <w:rsid w:val="48516FB5"/>
    <w:rsid w:val="501F267E"/>
    <w:rsid w:val="58316836"/>
    <w:rsid w:val="5BFD0E7B"/>
    <w:rsid w:val="5FAE2505"/>
    <w:rsid w:val="60A81824"/>
    <w:rsid w:val="617556F4"/>
    <w:rsid w:val="632905BE"/>
    <w:rsid w:val="63D619DB"/>
    <w:rsid w:val="69F05A5E"/>
    <w:rsid w:val="6A9E6E7B"/>
    <w:rsid w:val="6AE964A2"/>
    <w:rsid w:val="6C272092"/>
    <w:rsid w:val="6DA170E8"/>
    <w:rsid w:val="6E7064BC"/>
    <w:rsid w:val="718722D2"/>
    <w:rsid w:val="75024B07"/>
    <w:rsid w:val="784F7772"/>
    <w:rsid w:val="7B1C0B89"/>
    <w:rsid w:val="7B1D38DE"/>
    <w:rsid w:val="7C63309F"/>
    <w:rsid w:val="7E006343"/>
    <w:rsid w:val="7F590EFE"/>
    <w:rsid w:val="7FE63F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2016-08-04T01:51:02Z</cp:lastPrinted>
  <dcterms:modified xsi:type="dcterms:W3CDTF">2016-08-04T01:52:40Z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