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34" w:rsidRDefault="008D7C34">
      <w:pPr>
        <w:ind w:leftChars="-472" w:left="-991" w:firstLineChars="132" w:firstLine="422"/>
        <w:rPr>
          <w:rFonts w:ascii="黑体" w:eastAsia="黑体"/>
          <w:bCs/>
          <w:kern w:val="0"/>
          <w:sz w:val="32"/>
          <w:szCs w:val="32"/>
        </w:rPr>
      </w:pPr>
      <w:r>
        <w:rPr>
          <w:rFonts w:ascii="黑体" w:eastAsia="黑体" w:hint="eastAsia"/>
          <w:bCs/>
          <w:kern w:val="0"/>
          <w:sz w:val="32"/>
          <w:szCs w:val="32"/>
        </w:rPr>
        <w:t>附件</w:t>
      </w:r>
      <w:r>
        <w:rPr>
          <w:rFonts w:ascii="黑体" w:eastAsia="黑体"/>
          <w:bCs/>
          <w:kern w:val="0"/>
          <w:sz w:val="32"/>
          <w:szCs w:val="32"/>
        </w:rPr>
        <w:t>2</w:t>
      </w:r>
    </w:p>
    <w:p w:rsidR="008D7C34" w:rsidRDefault="008D7C34">
      <w:pPr>
        <w:ind w:leftChars="-472" w:left="-991" w:firstLineChars="132" w:firstLine="422"/>
        <w:rPr>
          <w:rFonts w:ascii="黑体" w:eastAsia="黑体"/>
          <w:bCs/>
          <w:kern w:val="0"/>
          <w:sz w:val="32"/>
          <w:szCs w:val="32"/>
        </w:rPr>
      </w:pPr>
    </w:p>
    <w:p w:rsidR="008D7C34" w:rsidRDefault="008D7C34">
      <w:pPr>
        <w:ind w:leftChars="-472" w:left="-991" w:firstLineChars="50" w:firstLine="180"/>
        <w:jc w:val="center"/>
        <w:rPr>
          <w:rFonts w:ascii="黑体" w:eastAsia="黑体"/>
          <w:bCs/>
          <w:kern w:val="0"/>
          <w:sz w:val="36"/>
          <w:szCs w:val="36"/>
        </w:rPr>
      </w:pPr>
      <w:r>
        <w:rPr>
          <w:rFonts w:ascii="黑体" w:eastAsia="黑体"/>
          <w:bCs/>
          <w:sz w:val="36"/>
          <w:szCs w:val="36"/>
        </w:rPr>
        <w:t xml:space="preserve"> </w:t>
      </w:r>
      <w:r>
        <w:rPr>
          <w:rFonts w:ascii="黑体" w:eastAsia="黑体"/>
          <w:bCs/>
          <w:kern w:val="0"/>
          <w:sz w:val="36"/>
          <w:szCs w:val="36"/>
        </w:rPr>
        <w:t xml:space="preserve"> </w:t>
      </w:r>
      <w:r>
        <w:rPr>
          <w:rFonts w:ascii="黑体" w:eastAsia="黑体" w:hint="eastAsia"/>
          <w:bCs/>
          <w:kern w:val="0"/>
          <w:sz w:val="36"/>
          <w:szCs w:val="36"/>
        </w:rPr>
        <w:t>省级食盐批发企业名单</w:t>
      </w:r>
    </w:p>
    <w:p w:rsidR="008D7C34" w:rsidRDefault="008D7C34">
      <w:pPr>
        <w:ind w:leftChars="-472" w:left="-991" w:firstLineChars="50" w:firstLine="180"/>
        <w:jc w:val="center"/>
        <w:rPr>
          <w:rFonts w:ascii="黑体" w:eastAsia="黑体"/>
          <w:bCs/>
          <w:kern w:val="0"/>
          <w:sz w:val="36"/>
          <w:szCs w:val="36"/>
        </w:rPr>
      </w:pPr>
    </w:p>
    <w:tbl>
      <w:tblPr>
        <w:tblW w:w="10207" w:type="dxa"/>
        <w:tblInd w:w="-885" w:type="dxa"/>
        <w:tblLayout w:type="fixed"/>
        <w:tblLook w:val="00A0"/>
      </w:tblPr>
      <w:tblGrid>
        <w:gridCol w:w="1135"/>
        <w:gridCol w:w="1559"/>
        <w:gridCol w:w="7513"/>
      </w:tblGrid>
      <w:tr w:rsidR="008D7C34" w:rsidRPr="004560CC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省（区、市）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省级食盐批发企业名称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中盐北京市盐业公司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kern w:val="0"/>
                <w:sz w:val="24"/>
              </w:rPr>
              <w:t>中盐天津市长芦盐业有限公司</w:t>
            </w:r>
          </w:p>
        </w:tc>
      </w:tr>
      <w:bookmarkEnd w:id="0"/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河北省盐业专营集团公司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山西省盐业公司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kern w:val="0"/>
                <w:sz w:val="24"/>
              </w:rPr>
              <w:t>内蒙古自治区盐业公司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辽宁省盐业集团公司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kern w:val="0"/>
                <w:sz w:val="24"/>
              </w:rPr>
              <w:t>吉林省盐业集团有限公司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中盐黑龙江盐业集团有限公司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中盐上海市盐业公司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江苏省盐业集团有限责任公司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浙江省盐业集团有限公司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安徽省盐业总公司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福建省盐业集团有限责任公司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江西省盐业集团有限责任公司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山东省盐业集团有限公司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河南省盐业总公司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湖北盐业集团有限公司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湖南盐业股份有限公司</w:t>
            </w: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广东省盐业集团有限公司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广西壮族自治区盐业公司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海南省盐业总公司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重庆市盐业</w:t>
            </w: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集团</w:t>
            </w: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四川省盐业总公司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贵州盐业（集团）有限责任公司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云南盐化股份有限公司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西藏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西藏自治区盐业总公司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陕西省盐业专营公司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中盐甘肃省盐业</w:t>
            </w: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集团</w:t>
            </w: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有限责任公司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青海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青海省盐业股份有限公司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宁夏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宁夏回族自治区盐业公司</w:t>
            </w:r>
          </w:p>
        </w:tc>
      </w:tr>
      <w:tr w:rsidR="008D7C34" w:rsidRPr="004560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34" w:rsidRPr="004560CC" w:rsidRDefault="008D7C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中盐新疆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维吾尔自治区</w:t>
            </w:r>
            <w:r w:rsidRPr="004560CC">
              <w:rPr>
                <w:rFonts w:ascii="宋体" w:hAnsi="宋体" w:cs="宋体" w:hint="eastAsia"/>
                <w:color w:val="000000"/>
                <w:kern w:val="0"/>
                <w:sz w:val="24"/>
              </w:rPr>
              <w:t>盐业有限公司</w:t>
            </w:r>
          </w:p>
        </w:tc>
      </w:tr>
    </w:tbl>
    <w:p w:rsidR="008D7C34" w:rsidRDefault="008D7C34">
      <w:pPr>
        <w:rPr>
          <w:rFonts w:ascii="仿宋_GB2312" w:eastAsia="仿宋_GB2312" w:hAnsi="仿宋_GB2312" w:cs="仿宋_GB2312"/>
          <w:sz w:val="32"/>
          <w:szCs w:val="21"/>
        </w:rPr>
      </w:pPr>
    </w:p>
    <w:p w:rsidR="008D7C34" w:rsidRDefault="008D7C34"/>
    <w:sectPr w:rsidR="008D7C34" w:rsidSect="00DF4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34" w:rsidRDefault="008D7C34">
      <w:r>
        <w:separator/>
      </w:r>
    </w:p>
  </w:endnote>
  <w:endnote w:type="continuationSeparator" w:id="0">
    <w:p w:rsidR="008D7C34" w:rsidRDefault="008D7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34" w:rsidRDefault="008D7C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34" w:rsidRDefault="008D7C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34" w:rsidRDefault="008D7C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34" w:rsidRDefault="008D7C34">
      <w:r>
        <w:separator/>
      </w:r>
    </w:p>
  </w:footnote>
  <w:footnote w:type="continuationSeparator" w:id="0">
    <w:p w:rsidR="008D7C34" w:rsidRDefault="008D7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34" w:rsidRDefault="008D7C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34" w:rsidRDefault="008D7C34" w:rsidP="007E1C0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34" w:rsidRDefault="008D7C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2B5CC3"/>
    <w:rsid w:val="003810AD"/>
    <w:rsid w:val="004560CC"/>
    <w:rsid w:val="007E1C0A"/>
    <w:rsid w:val="008D7C34"/>
    <w:rsid w:val="00DF4A6C"/>
    <w:rsid w:val="2F2C6CE3"/>
    <w:rsid w:val="732B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1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255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E1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025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92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MC SYSTEM</cp:lastModifiedBy>
  <cp:revision>2</cp:revision>
  <dcterms:created xsi:type="dcterms:W3CDTF">2016-08-23T07:33:00Z</dcterms:created>
  <dcterms:modified xsi:type="dcterms:W3CDTF">2017-02-13T07:25:00Z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