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20"/>
        <w:jc w:val="left"/>
        <w:rPr>
          <w:rFonts w:ascii="仿宋_GB2312" w:hAnsi="仿宋_GB2312" w:eastAsia="仿宋_GB2312"/>
          <w:color w:val="000000"/>
          <w:sz w:val="30"/>
          <w:szCs w:val="21"/>
        </w:rPr>
      </w:pPr>
      <w:r>
        <w:rPr>
          <w:rFonts w:hint="eastAsia" w:ascii="仿宋_GB2312" w:hAnsi="仿宋_GB2312" w:eastAsia="仿宋_GB2312"/>
          <w:color w:val="000000"/>
          <w:sz w:val="30"/>
          <w:szCs w:val="21"/>
        </w:rPr>
        <w:t>附件：</w:t>
      </w:r>
    </w:p>
    <w:p>
      <w:pPr>
        <w:jc w:val="center"/>
        <w:rPr>
          <w:rStyle w:val="6"/>
          <w:rFonts w:hint="eastAsia" w:ascii="黑体" w:hAnsi="黑体" w:eastAsia="黑体" w:cs="黑体"/>
          <w:b w:val="0"/>
          <w:bCs w:val="0"/>
          <w:color w:val="000000"/>
          <w:sz w:val="32"/>
          <w:szCs w:val="27"/>
        </w:rPr>
      </w:pPr>
      <w:r>
        <w:rPr>
          <w:rStyle w:val="6"/>
          <w:rFonts w:hint="eastAsia" w:ascii="黑体" w:hAnsi="黑体" w:eastAsia="黑体" w:cs="黑体"/>
          <w:b w:val="0"/>
          <w:bCs w:val="0"/>
          <w:color w:val="000000"/>
          <w:sz w:val="32"/>
          <w:szCs w:val="27"/>
        </w:rPr>
        <w:t>201</w:t>
      </w:r>
      <w:r>
        <w:rPr>
          <w:rStyle w:val="6"/>
          <w:rFonts w:hint="eastAsia" w:ascii="黑体" w:hAnsi="黑体" w:eastAsia="黑体" w:cs="黑体"/>
          <w:b w:val="0"/>
          <w:bCs w:val="0"/>
          <w:color w:val="000000"/>
          <w:sz w:val="32"/>
          <w:szCs w:val="27"/>
          <w:lang w:val="en-US" w:eastAsia="zh-CN"/>
        </w:rPr>
        <w:t>9</w:t>
      </w:r>
      <w:r>
        <w:rPr>
          <w:rStyle w:val="6"/>
          <w:rFonts w:hint="eastAsia" w:ascii="黑体" w:hAnsi="黑体" w:eastAsia="黑体" w:cs="黑体"/>
          <w:b w:val="0"/>
          <w:bCs w:val="0"/>
          <w:color w:val="000000"/>
          <w:sz w:val="32"/>
          <w:szCs w:val="27"/>
        </w:rPr>
        <w:t>年度乘用车企业平均燃料消耗量与新能源汽车积分情况</w:t>
      </w:r>
    </w:p>
    <w:p>
      <w:pPr>
        <w:jc w:val="left"/>
        <w:rPr>
          <w:rStyle w:val="6"/>
          <w:rFonts w:ascii="仿宋_GB2312" w:hAnsi="仿宋_GB2312" w:eastAsia="仿宋_GB2312"/>
          <w:color w:val="000000"/>
          <w:sz w:val="24"/>
        </w:rPr>
      </w:pPr>
      <w:r>
        <w:rPr>
          <w:rStyle w:val="6"/>
          <w:rFonts w:hint="eastAsia" w:ascii="仿宋_GB2312" w:hAnsi="仿宋_GB2312" w:eastAsia="仿宋_GB2312"/>
          <w:color w:val="000000"/>
          <w:sz w:val="24"/>
        </w:rPr>
        <w:t>注：1.按照GB27999,201</w:t>
      </w:r>
      <w:r>
        <w:rPr>
          <w:rStyle w:val="6"/>
          <w:rFonts w:hint="eastAsia" w:ascii="仿宋_GB2312" w:hAnsi="仿宋_GB2312" w:eastAsia="仿宋_GB2312"/>
          <w:color w:val="000000"/>
          <w:sz w:val="24"/>
          <w:lang w:val="en-US" w:eastAsia="zh-CN"/>
        </w:rPr>
        <w:t>9</w:t>
      </w:r>
      <w:r>
        <w:rPr>
          <w:rStyle w:val="6"/>
          <w:rFonts w:hint="eastAsia" w:ascii="仿宋_GB2312" w:hAnsi="仿宋_GB2312" w:eastAsia="仿宋_GB2312"/>
          <w:color w:val="000000"/>
          <w:sz w:val="24"/>
        </w:rPr>
        <w:t>年企业达标值为目标值的1</w:t>
      </w:r>
      <w:r>
        <w:rPr>
          <w:rStyle w:val="6"/>
          <w:rFonts w:hint="eastAsia" w:ascii="仿宋_GB2312" w:hAnsi="仿宋_GB2312" w:eastAsia="仿宋_GB2312"/>
          <w:color w:val="000000"/>
          <w:sz w:val="24"/>
          <w:lang w:val="en-US" w:eastAsia="zh-CN"/>
        </w:rPr>
        <w:t>10</w:t>
      </w:r>
      <w:r>
        <w:rPr>
          <w:rStyle w:val="6"/>
          <w:rFonts w:hint="eastAsia" w:ascii="仿宋_GB2312" w:hAnsi="仿宋_GB2312" w:eastAsia="仿宋_GB2312"/>
          <w:color w:val="000000"/>
          <w:sz w:val="24"/>
        </w:rPr>
        <w:t>％；</w:t>
      </w:r>
    </w:p>
    <w:p>
      <w:pPr>
        <w:ind w:firstLine="480" w:firstLineChars="200"/>
        <w:jc w:val="left"/>
        <w:rPr>
          <w:rStyle w:val="6"/>
          <w:rFonts w:ascii="仿宋_GB2312" w:hAnsi="仿宋_GB2312" w:eastAsia="仿宋_GB2312"/>
          <w:color w:val="000000"/>
          <w:sz w:val="24"/>
        </w:rPr>
      </w:pPr>
      <w:r>
        <w:rPr>
          <w:rStyle w:val="6"/>
          <w:rFonts w:hint="eastAsia" w:ascii="仿宋_GB2312" w:hAnsi="仿宋_GB2312" w:eastAsia="仿宋_GB2312"/>
          <w:color w:val="000000"/>
          <w:sz w:val="24"/>
        </w:rPr>
        <w:t>2.企业按拼音字母排序；</w:t>
      </w:r>
    </w:p>
    <w:p>
      <w:pPr>
        <w:ind w:firstLine="480" w:firstLineChars="200"/>
        <w:jc w:val="left"/>
        <w:rPr>
          <w:rStyle w:val="6"/>
          <w:rFonts w:ascii="仿宋_GB2312" w:hAnsi="仿宋_GB2312" w:eastAsia="仿宋_GB2312"/>
          <w:color w:val="000000"/>
          <w:sz w:val="24"/>
        </w:rPr>
      </w:pPr>
      <w:r>
        <w:rPr>
          <w:rStyle w:val="6"/>
          <w:rFonts w:hint="eastAsia" w:ascii="仿宋_GB2312" w:hAnsi="仿宋_GB2312" w:eastAsia="仿宋_GB2312"/>
          <w:color w:val="000000"/>
          <w:sz w:val="24"/>
        </w:rPr>
        <w:t>3.企业平均</w:t>
      </w:r>
      <w:r>
        <w:rPr>
          <w:rStyle w:val="6"/>
          <w:rFonts w:ascii="仿宋_GB2312" w:hAnsi="仿宋_GB2312" w:eastAsia="仿宋_GB2312"/>
          <w:color w:val="000000"/>
          <w:sz w:val="24"/>
        </w:rPr>
        <w:t>燃料消耗量按车型对应产量</w:t>
      </w:r>
      <w:r>
        <w:rPr>
          <w:rStyle w:val="6"/>
          <w:rFonts w:hint="eastAsia" w:ascii="仿宋_GB2312" w:hAnsi="仿宋_GB2312" w:eastAsia="仿宋_GB2312"/>
          <w:color w:val="000000"/>
          <w:sz w:val="24"/>
        </w:rPr>
        <w:t>/进口量</w:t>
      </w:r>
      <w:r>
        <w:rPr>
          <w:rStyle w:val="6"/>
          <w:rFonts w:ascii="仿宋_GB2312" w:hAnsi="仿宋_GB2312" w:eastAsia="仿宋_GB2312"/>
          <w:color w:val="000000"/>
          <w:sz w:val="24"/>
        </w:rPr>
        <w:t>加权计算得出。车型</w:t>
      </w:r>
      <w:r>
        <w:rPr>
          <w:rStyle w:val="6"/>
          <w:rFonts w:hint="eastAsia" w:ascii="仿宋_GB2312" w:hAnsi="仿宋_GB2312" w:eastAsia="仿宋_GB2312"/>
          <w:color w:val="000000"/>
          <w:sz w:val="24"/>
        </w:rPr>
        <w:t>燃料</w:t>
      </w:r>
      <w:r>
        <w:rPr>
          <w:rStyle w:val="6"/>
          <w:rFonts w:ascii="仿宋_GB2312" w:hAnsi="仿宋_GB2312" w:eastAsia="仿宋_GB2312"/>
          <w:color w:val="000000"/>
          <w:sz w:val="24"/>
        </w:rPr>
        <w:t>消耗量须按照统一的检测方法</w:t>
      </w:r>
      <w:r>
        <w:rPr>
          <w:rStyle w:val="6"/>
          <w:rFonts w:hint="eastAsia" w:ascii="仿宋_GB2312" w:hAnsi="仿宋_GB2312" w:eastAsia="仿宋_GB2312"/>
          <w:color w:val="000000"/>
          <w:sz w:val="24"/>
        </w:rPr>
        <w:t xml:space="preserve"> </w:t>
      </w:r>
      <w:r>
        <w:rPr>
          <w:rStyle w:val="6"/>
          <w:rFonts w:ascii="仿宋_GB2312" w:hAnsi="仿宋_GB2312" w:eastAsia="仿宋_GB2312"/>
          <w:color w:val="000000"/>
          <w:sz w:val="24"/>
        </w:rPr>
        <w:t>GB/T 19233-2008</w:t>
      </w:r>
      <w:r>
        <w:rPr>
          <w:rStyle w:val="6"/>
          <w:rFonts w:hint="eastAsia" w:ascii="仿宋_GB2312" w:hAnsi="仿宋_GB2312" w:eastAsia="仿宋_GB2312"/>
          <w:color w:val="000000"/>
          <w:sz w:val="24"/>
        </w:rPr>
        <w:t>《轻型</w:t>
      </w:r>
      <w:r>
        <w:rPr>
          <w:rStyle w:val="6"/>
          <w:rFonts w:ascii="仿宋_GB2312" w:hAnsi="仿宋_GB2312" w:eastAsia="仿宋_GB2312"/>
          <w:color w:val="000000"/>
          <w:sz w:val="24"/>
        </w:rPr>
        <w:t>汽车燃料消耗量试验方法</w:t>
      </w:r>
      <w:r>
        <w:rPr>
          <w:rStyle w:val="6"/>
          <w:rFonts w:hint="eastAsia" w:ascii="仿宋_GB2312" w:hAnsi="仿宋_GB2312" w:eastAsia="仿宋_GB2312"/>
          <w:color w:val="000000"/>
          <w:sz w:val="24"/>
        </w:rPr>
        <w:t>》检测；</w:t>
      </w:r>
    </w:p>
    <w:p>
      <w:pPr>
        <w:ind w:firstLine="480" w:firstLineChars="200"/>
        <w:jc w:val="left"/>
        <w:rPr>
          <w:rStyle w:val="6"/>
          <w:rFonts w:ascii="仿宋_GB2312" w:hAnsi="仿宋_GB2312" w:eastAsia="仿宋_GB2312"/>
          <w:color w:val="000000"/>
          <w:sz w:val="24"/>
        </w:rPr>
      </w:pPr>
      <w:r>
        <w:rPr>
          <w:rStyle w:val="6"/>
          <w:rFonts w:ascii="仿宋_GB2312" w:hAnsi="仿宋_GB2312" w:eastAsia="仿宋_GB2312"/>
          <w:color w:val="000000"/>
          <w:sz w:val="24"/>
        </w:rPr>
        <w:t>4</w:t>
      </w:r>
      <w:r>
        <w:rPr>
          <w:rStyle w:val="6"/>
          <w:rFonts w:hint="eastAsia" w:ascii="仿宋_GB2312" w:hAnsi="仿宋_GB2312" w:eastAsia="仿宋_GB2312"/>
          <w:color w:val="000000"/>
          <w:sz w:val="24"/>
        </w:rPr>
        <w:t>.试验室</w:t>
      </w:r>
      <w:r>
        <w:rPr>
          <w:rStyle w:val="6"/>
          <w:rFonts w:ascii="仿宋_GB2312" w:hAnsi="仿宋_GB2312" w:eastAsia="仿宋_GB2312"/>
          <w:color w:val="000000"/>
          <w:sz w:val="24"/>
        </w:rPr>
        <w:t>检测燃料消耗量数据与实际燃料消耗量数据存在差异</w:t>
      </w:r>
      <w:r>
        <w:rPr>
          <w:rStyle w:val="6"/>
          <w:rFonts w:hint="eastAsia" w:ascii="仿宋_GB2312" w:hAnsi="仿宋_GB2312" w:eastAsia="仿宋_GB2312"/>
          <w:color w:val="000000"/>
          <w:sz w:val="24"/>
        </w:rPr>
        <w:t>；</w:t>
      </w:r>
    </w:p>
    <w:p>
      <w:pPr>
        <w:ind w:firstLine="480" w:firstLineChars="200"/>
        <w:jc w:val="left"/>
        <w:rPr>
          <w:rStyle w:val="6"/>
          <w:rFonts w:hint="eastAsia" w:ascii="仿宋_GB2312" w:hAnsi="仿宋_GB2312" w:eastAsia="仿宋_GB2312"/>
          <w:color w:val="000000"/>
          <w:sz w:val="24"/>
          <w:lang w:eastAsia="zh-CN"/>
        </w:rPr>
      </w:pPr>
      <w:r>
        <w:rPr>
          <w:rStyle w:val="6"/>
          <w:rFonts w:hint="eastAsia" w:ascii="仿宋_GB2312" w:hAnsi="仿宋_GB2312" w:eastAsia="仿宋_GB2312"/>
          <w:color w:val="000000"/>
          <w:sz w:val="24"/>
        </w:rPr>
        <w:t>5.平均燃料消耗量核算不含出口乘用车</w:t>
      </w:r>
      <w:r>
        <w:rPr>
          <w:rStyle w:val="6"/>
          <w:rFonts w:hint="eastAsia" w:ascii="仿宋_GB2312" w:hAnsi="仿宋_GB2312" w:eastAsia="仿宋_GB2312"/>
          <w:color w:val="000000"/>
          <w:sz w:val="24"/>
          <w:lang w:eastAsia="zh-CN"/>
        </w:rPr>
        <w:t>；</w:t>
      </w:r>
    </w:p>
    <w:p>
      <w:pPr>
        <w:ind w:firstLine="480" w:firstLineChars="200"/>
        <w:jc w:val="left"/>
        <w:rPr>
          <w:rStyle w:val="6"/>
          <w:rFonts w:hint="default" w:ascii="仿宋_GB2312" w:hAnsi="仿宋_GB2312" w:eastAsia="仿宋_GB2312"/>
          <w:color w:val="000000"/>
          <w:sz w:val="24"/>
          <w:lang w:val="en-US" w:eastAsia="zh-CN"/>
        </w:rPr>
      </w:pPr>
      <w:r>
        <w:rPr>
          <w:rStyle w:val="6"/>
          <w:rFonts w:hint="eastAsia" w:ascii="仿宋_GB2312" w:hAnsi="仿宋_GB2312" w:eastAsia="仿宋_GB2312"/>
          <w:color w:val="000000"/>
          <w:sz w:val="24"/>
          <w:lang w:val="en-US" w:eastAsia="zh-CN"/>
        </w:rPr>
        <w:t>6.核算年度进口量2000辆以下的未获境外乘用车生产企业授权的进口乘用车供应企业，暂不实施积分核算。</w:t>
      </w:r>
      <w:bookmarkStart w:id="0" w:name="_GoBack"/>
      <w:bookmarkEnd w:id="0"/>
    </w:p>
    <w:p>
      <w:pPr>
        <w:jc w:val="both"/>
        <w:rPr>
          <w:rStyle w:val="6"/>
          <w:rFonts w:ascii="仿宋_GB2312" w:hAnsi="仿宋_GB2312" w:eastAsia="仿宋_GB2312"/>
          <w:color w:val="000000"/>
          <w:sz w:val="24"/>
          <w:szCs w:val="21"/>
        </w:rPr>
      </w:pPr>
    </w:p>
    <w:p>
      <w:pPr>
        <w:jc w:val="both"/>
        <w:rPr>
          <w:rStyle w:val="6"/>
          <w:rFonts w:ascii="仿宋_GB2312" w:hAnsi="仿宋_GB2312" w:eastAsia="仿宋_GB2312"/>
          <w:color w:val="000000"/>
          <w:sz w:val="24"/>
          <w:szCs w:val="21"/>
        </w:rPr>
      </w:pPr>
    </w:p>
    <w:p>
      <w:pPr>
        <w:ind w:firstLine="480" w:firstLineChars="200"/>
        <w:jc w:val="center"/>
        <w:rPr>
          <w:rStyle w:val="6"/>
          <w:rFonts w:ascii="仿宋_GB2312" w:hAnsi="仿宋_GB2312" w:eastAsia="仿宋_GB2312"/>
          <w:color w:val="000000"/>
          <w:sz w:val="24"/>
          <w:szCs w:val="21"/>
        </w:rPr>
      </w:pPr>
      <w:r>
        <w:rPr>
          <w:rStyle w:val="6"/>
          <w:rFonts w:hint="eastAsia" w:ascii="仿宋_GB2312" w:hAnsi="仿宋_GB2312" w:eastAsia="仿宋_GB2312"/>
          <w:color w:val="000000"/>
          <w:sz w:val="24"/>
          <w:szCs w:val="21"/>
        </w:rPr>
        <w:t>表1：201</w:t>
      </w:r>
      <w:r>
        <w:rPr>
          <w:rStyle w:val="6"/>
          <w:rFonts w:hint="eastAsia" w:ascii="仿宋_GB2312" w:hAnsi="仿宋_GB2312" w:eastAsia="仿宋_GB2312"/>
          <w:color w:val="000000"/>
          <w:sz w:val="24"/>
          <w:szCs w:val="21"/>
          <w:lang w:val="en-US" w:eastAsia="zh-CN"/>
        </w:rPr>
        <w:t>9</w:t>
      </w:r>
      <w:r>
        <w:rPr>
          <w:rStyle w:val="6"/>
          <w:rFonts w:hint="eastAsia" w:ascii="仿宋_GB2312" w:hAnsi="仿宋_GB2312" w:eastAsia="仿宋_GB2312"/>
          <w:color w:val="000000"/>
          <w:sz w:val="24"/>
          <w:szCs w:val="21"/>
        </w:rPr>
        <w:t>年度境内乘用车生产企业平均燃料消耗量与新能源汽车积分情况</w:t>
      </w:r>
    </w:p>
    <w:tbl>
      <w:tblPr>
        <w:tblStyle w:val="7"/>
        <w:tblW w:w="135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3561"/>
        <w:gridCol w:w="1262"/>
        <w:gridCol w:w="1359"/>
        <w:gridCol w:w="1347"/>
        <w:gridCol w:w="1564"/>
        <w:gridCol w:w="1256"/>
        <w:gridCol w:w="1154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356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企业名称</w:t>
            </w:r>
          </w:p>
        </w:tc>
        <w:tc>
          <w:tcPr>
            <w:tcW w:w="126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乘用车产量（辆）</w:t>
            </w:r>
          </w:p>
        </w:tc>
        <w:tc>
          <w:tcPr>
            <w:tcW w:w="2706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企业平均燃料消耗量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（升/百公里）</w:t>
            </w:r>
          </w:p>
        </w:tc>
        <w:tc>
          <w:tcPr>
            <w:tcW w:w="156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平均燃料消耗量积分</w:t>
            </w:r>
          </w:p>
        </w:tc>
        <w:tc>
          <w:tcPr>
            <w:tcW w:w="125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2019年新能源汽车积分达标值</w:t>
            </w:r>
          </w:p>
        </w:tc>
        <w:tc>
          <w:tcPr>
            <w:tcW w:w="115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2019年新能源汽车积分实际值</w:t>
            </w:r>
          </w:p>
        </w:tc>
        <w:tc>
          <w:tcPr>
            <w:tcW w:w="124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新能源汽车积分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56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2019年达标值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2019年实际值</w:t>
            </w:r>
          </w:p>
        </w:tc>
        <w:tc>
          <w:tcPr>
            <w:tcW w:w="156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安徽江淮汽车集团股份有限公司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125282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6.29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2.29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501128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6831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270468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263637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安徽猎豹汽车有限公司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6956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6.27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8.14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-13008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23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北京宝沃汽车股份有限公司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48871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6.07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7.06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-48382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4878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464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-4414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北京奔驰汽车有限公司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564665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6.27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6.68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-231513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56369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3676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-52693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北京汽车股份有限公司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122677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5.87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1.12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582716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4594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453009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448415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北京汽车集团越野车有限公司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18373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7.21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10.28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-56405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北京汽车制造厂有限公司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3613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4.94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4.37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2047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1056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北京现代汽车有限公司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646118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5.48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-335981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64255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13061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-51194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北京新能源汽车股份有限公司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40256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5.69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229057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207352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207352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北汽(广州)汽车有限公司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8558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5.71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4.42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11040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6623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北汽(镇江)汽车有限公司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4635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5.83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7.51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-7787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北汽福田汽车股份有限公司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8385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7.01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8.04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-8637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1721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北汽新能源汽车常州有限公司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2323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5.45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12660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11261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11261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北汽银翔汽车有限公司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1397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6.04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6.9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-1201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北汽云南瑞丽汽车有限公司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27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6.67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8.25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-43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比亚迪汽车工业有限公司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163157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6.47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1.87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750522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7444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414418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406974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比亚迪汽车有限公司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241260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5.97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2.26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895075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14369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492956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478587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长安标致雪铁龙汽车有限公司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296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6.05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6.2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-44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长安福特汽车有限公司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195824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5.89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6.34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-88121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19259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6468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-12791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长安马自达汽车有限公司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131980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5.61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6.12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-67310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13198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-13198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21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长城汽车股份有限公司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858806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6.14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6.02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103057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81686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215592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133906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22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成都大运汽车集团有限公司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93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5.39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501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359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23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大庆沃尔沃汽车制造有限公司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42930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6.5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6.18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13738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4072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4422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24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东风本田汽车有限公司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791880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5.7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5.83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-102944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78658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31776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-46882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25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东风雷诺汽车有限公司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13535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5.89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6.52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-8527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81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26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东风柳州汽车有限公司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103178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6.15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6.39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-24763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9685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36410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26725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27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东风汽车股份有限公司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190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7.04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8.2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-220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28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东风汽车集团有限公司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93432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5.75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2.65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289639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6131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175076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168945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29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东风汽车有限公司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1327711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5.58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5.75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-225711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131339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84491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-46848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东风小康汽车有限公司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181831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6.01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7.09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-196377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17986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8292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-9694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31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东风裕隆汽车有限公司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820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6.01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0.65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4395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3731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32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东风悦达起亚汽车有限公司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267582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5.38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5.92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-144494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26528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6754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-19774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33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东南(福建)汽车工业有限公司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29282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5.54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5.51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878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13632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34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福建奔驰汽车有限公司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27419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7.84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8.93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-29887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35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福建省汽车工业集团云度新能源汽车股份有限公司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815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5.69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4637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4608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36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福建天际汽车制造有限公司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6.82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37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福建新龙马汽车股份有限公司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21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5.61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6.8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-25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38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观致汽车有限公司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20207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5.79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6.44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-13135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39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广东福迪汽车有限公司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350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9.17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7.85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462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40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广汽本田汽车有限公司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762048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5.64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5.73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-68584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75801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18066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-57735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41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广汽乘用车(杭州)有限公司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98732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5.76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5.55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20734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9174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41934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32760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42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广汽乘用车有限公司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270396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6.14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4.93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327179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23348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214888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191540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43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广汽菲亚特克莱斯勒汽车有限公司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65606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6.13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7.05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-60358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6515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912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-5603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44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广汽丰田汽车有限公司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670638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5.9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5.67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154247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66057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29358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-36699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45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广汽三菱汽车有限公司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128001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5.93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7.22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-165121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12657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6860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-5797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46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贵航青年莲花汽车有限公司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2630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4.95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6.16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-3182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47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贵州航天成功汽车制造有限公司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5.39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6.5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-8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48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国能新能源汽车有限责任公司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6.27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50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49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49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海马汽车有限公司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24639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5.96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0.91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124427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100251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100251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50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海马新能源汽车有限公司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3016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6.05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7.14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-3287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42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51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汉腾汽车有限公司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10388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5.58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7.17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-13712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1024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609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52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杭州长江乘用车有限公司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1928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5.39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10392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8599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53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合肥长安汽车有限公司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137685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5.71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6.21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-69379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13769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17601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3832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54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河北长安汽车有限公司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49303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5.79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7.33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-75927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4925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253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-4672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55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河北红星汽车制造有限公司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5.17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52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38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56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河南速达电动汽车科技有限公司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1865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5.61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10463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7936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57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湖南恒润汽车有限公司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73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5.17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377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438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58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湖南江南汽车制造有限公司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13198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5.89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4.69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15838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9940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9940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59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湖南猎豹汽车股份有限公司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2656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5.65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4.82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2215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1927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60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华晨宝马汽车有限公司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534990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6.24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5.79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240746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50201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65954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15753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61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华晨雷诺金杯汽车有限公司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35685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6.25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8.03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-63519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3569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-3569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62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华晨汽车集团控股有限公司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20769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5.78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6.52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-15369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63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华晨鑫源重庆汽车有限公司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22735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5.99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5.87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2728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7338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64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江铃控股有限公司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4267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5.28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0.93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18561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427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11886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11459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65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江铃汽车股份有限公司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59392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6.3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7.14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-49889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5924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892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-5032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66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江苏华梓车业有限公司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26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6.48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7.95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-38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67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江苏九龙汽车制造有限公司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621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7.11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8.26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-714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174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68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江西昌河汽车有限责任公司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5991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5.43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5.14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1737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1029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69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江西大乘汽车有限公司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36617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5.82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7.56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-63714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3653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399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-3254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70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江西江铃集团新能源汽车有限公司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11404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4.91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55948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53858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53858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71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江西五十铃汽车有限公司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1697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7.04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8.18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-1935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72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江西志骋汽车有限责任公司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3475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4.73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5.16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-1494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23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73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金华青年汽车制造有限公司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2003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5.07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10155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8915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74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兰州知豆电动汽车有限公司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194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4.73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918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772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75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领途汽车有限公司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509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5.61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2855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2614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76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明君汽车有限公司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6.27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77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南京金龙客车制造有限公司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636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6.01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3822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2638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2638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78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奇瑞捷豹路虎汽车有限公司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51464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6.68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7.27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-30364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5146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-5146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79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奇瑞汽车股份有限公司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301853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5.68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5.52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48296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27669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132571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104902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80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奇瑞商用车(安徽)有限公司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100042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6.11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7.53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-142064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9913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4322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-5591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81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奇瑞新能源汽车股份有限公司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21303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4.96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105663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113468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113468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82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前途汽车(苏州)有限公司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75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6.82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512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375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83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庆铃汽车股份有限公司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223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6.82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7.8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-219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84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荣成华泰汽车有限公司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251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6.13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2.58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891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85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山东国金汽车制造有限公司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48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240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86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山西成功汽车制造有限公司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110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5.61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6.4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-87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87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山西新能源汽车工业有限公司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19338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6.05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116995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116028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116028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88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上海汽车集团股份有限公司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549694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5.63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4.62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555191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49032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220353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171321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89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上汽大通汽车有限公司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54221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6.68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7.69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-54763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5378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2328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-3050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90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上汽大众汽车有限公司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1913001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5.65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5.75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-191300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188106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91442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-96664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91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上汽通用(沈阳)北盛汽车有限公司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170673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5.9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6.84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-160433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17067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-17067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上汽通用东岳汽车有限公司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191599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5.89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6.59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-134119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19160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-19160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93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上汽通用汽车有限公司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1119734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5.83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6.29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-515078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110783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68432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-42351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94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上汽通用五菱汽车股份有限公司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1155380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5.64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5.8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-184861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109912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211666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101754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95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神龙汽车有限公司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105353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5.63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6.17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-56891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10535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302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-10233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96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四川野马汽车股份有限公司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6342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5.48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4.12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8625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3215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97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四川一汽丰田汽车有限公司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161168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6.36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7.39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-166003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16117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-16117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98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特斯拉(上海)有限公司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927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6.05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5608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5562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5562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99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天津博郡汽车有限公司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673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5.42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5.92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-337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100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天津一汽丰田汽车有限公司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570561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5.58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5.11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268164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56145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18218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-37927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101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威马汽车制造温州有限公司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18102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6.41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116034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97364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97364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102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潍柴(重庆)汽车有限公司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5098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6.13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7.59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-7443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103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厦门金龙联合汽车工业有限公司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89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7.04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9.07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-180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104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一汽-大众汽车有限公司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2034960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5.78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6.05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-549439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202258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56984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-145274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105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一汽海马汽车有限公司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258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5.61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6.41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-206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106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一汽吉林汽车有限公司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510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5.47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6.46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-505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107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浙江豪情汽车制造有限公司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876757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5.79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5.58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184119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83346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235706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152360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108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浙江合众新能源汽车有限公司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9025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5.24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47255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42150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42150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109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浙江吉利汽车有限公司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483758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5.78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5.98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-96752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47548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19522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-28026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110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浙江众泰汽车制造有限公司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2012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6.25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8.31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-4145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111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郑州日产汽车有限公司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12911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6.41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7.19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-10071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3358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112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中国第一汽车集团有限公司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339609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5.93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5.68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84902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31394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151404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120010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113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中恒天智骏(赣州)汽车有限公司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1516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5.34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8095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8179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114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重庆比速汽车有限公司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131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6.06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7.02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-126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115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重庆长安铃木汽车有限公司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17449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5.17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5.44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-4711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116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重庆长安汽车股份有限公司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631219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5.86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5.7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100995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59658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203162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143504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117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重庆金康新能源汽车有限公司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615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6.45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0.06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3930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3330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118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重庆理想汽车有限公司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1875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7.92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0.5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13913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3750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119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重庆力帆乘用车有限公司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24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5.65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1.12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109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75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75</w:t>
            </w:r>
          </w:p>
        </w:tc>
      </w:tr>
    </w:tbl>
    <w:p>
      <w:pPr>
        <w:ind w:firstLine="420" w:firstLineChars="200"/>
        <w:jc w:val="center"/>
        <w:rPr>
          <w:rStyle w:val="6"/>
          <w:color w:val="000000"/>
          <w:szCs w:val="21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AndChars" w:linePitch="312" w:charSpace="0"/>
        </w:sectPr>
      </w:pPr>
    </w:p>
    <w:p>
      <w:pPr>
        <w:jc w:val="both"/>
        <w:rPr>
          <w:rStyle w:val="6"/>
          <w:rFonts w:ascii="仿宋_GB2312" w:hAnsi="仿宋_GB2312" w:eastAsia="仿宋_GB2312"/>
          <w:color w:val="000000"/>
          <w:sz w:val="24"/>
          <w:szCs w:val="21"/>
        </w:rPr>
      </w:pPr>
    </w:p>
    <w:p>
      <w:pPr>
        <w:ind w:firstLine="482" w:firstLineChars="200"/>
        <w:jc w:val="center"/>
        <w:rPr>
          <w:rStyle w:val="6"/>
          <w:rFonts w:hint="eastAsia" w:ascii="仿宋_GB2312" w:hAnsi="仿宋_GB2312" w:eastAsia="仿宋_GB2312"/>
          <w:color w:val="000000"/>
          <w:sz w:val="24"/>
          <w:szCs w:val="21"/>
        </w:rPr>
      </w:pPr>
      <w:r>
        <w:rPr>
          <w:rStyle w:val="6"/>
          <w:rFonts w:hint="eastAsia" w:ascii="仿宋_GB2312" w:hAnsi="仿宋_GB2312" w:eastAsia="仿宋_GB2312"/>
          <w:color w:val="000000"/>
          <w:sz w:val="24"/>
          <w:szCs w:val="21"/>
        </w:rPr>
        <w:t>表</w:t>
      </w:r>
      <w:r>
        <w:rPr>
          <w:rStyle w:val="6"/>
          <w:rFonts w:ascii="仿宋_GB2312" w:hAnsi="仿宋_GB2312" w:eastAsia="仿宋_GB2312"/>
          <w:color w:val="000000"/>
          <w:sz w:val="24"/>
          <w:szCs w:val="21"/>
        </w:rPr>
        <w:t>2</w:t>
      </w:r>
      <w:r>
        <w:rPr>
          <w:rStyle w:val="6"/>
          <w:rFonts w:hint="eastAsia" w:ascii="仿宋_GB2312" w:hAnsi="仿宋_GB2312" w:eastAsia="仿宋_GB2312"/>
          <w:color w:val="000000"/>
          <w:sz w:val="24"/>
          <w:szCs w:val="21"/>
        </w:rPr>
        <w:t>：201</w:t>
      </w:r>
      <w:r>
        <w:rPr>
          <w:rStyle w:val="6"/>
          <w:rFonts w:hint="eastAsia" w:ascii="仿宋_GB2312" w:hAnsi="仿宋_GB2312" w:eastAsia="仿宋_GB2312"/>
          <w:color w:val="000000"/>
          <w:sz w:val="24"/>
          <w:szCs w:val="21"/>
          <w:lang w:val="en-US" w:eastAsia="zh-CN"/>
        </w:rPr>
        <w:t>9</w:t>
      </w:r>
      <w:r>
        <w:rPr>
          <w:rStyle w:val="6"/>
          <w:rFonts w:hint="eastAsia" w:ascii="仿宋_GB2312" w:hAnsi="仿宋_GB2312" w:eastAsia="仿宋_GB2312"/>
          <w:color w:val="000000"/>
          <w:sz w:val="24"/>
          <w:szCs w:val="21"/>
        </w:rPr>
        <w:t>年度进口乘用车供应企业平均燃料消耗量与新能源汽车积分情况</w:t>
      </w:r>
    </w:p>
    <w:tbl>
      <w:tblPr>
        <w:tblStyle w:val="7"/>
        <w:tblW w:w="135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3561"/>
        <w:gridCol w:w="1262"/>
        <w:gridCol w:w="1359"/>
        <w:gridCol w:w="1347"/>
        <w:gridCol w:w="1564"/>
        <w:gridCol w:w="1256"/>
        <w:gridCol w:w="1154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356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企业名称</w:t>
            </w:r>
          </w:p>
        </w:tc>
        <w:tc>
          <w:tcPr>
            <w:tcW w:w="126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乘用车进口量（辆）</w:t>
            </w:r>
          </w:p>
        </w:tc>
        <w:tc>
          <w:tcPr>
            <w:tcW w:w="2706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企业平均燃料消耗量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（升/百公里）</w:t>
            </w:r>
          </w:p>
        </w:tc>
        <w:tc>
          <w:tcPr>
            <w:tcW w:w="156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平均燃料消耗量积分</w:t>
            </w:r>
          </w:p>
        </w:tc>
        <w:tc>
          <w:tcPr>
            <w:tcW w:w="125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2019年新能源汽车积分达标值</w:t>
            </w:r>
          </w:p>
        </w:tc>
        <w:tc>
          <w:tcPr>
            <w:tcW w:w="115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2019年新能源汽车积分实际值</w:t>
            </w:r>
          </w:p>
        </w:tc>
        <w:tc>
          <w:tcPr>
            <w:tcW w:w="124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新能源汽车积分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56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2019年达标值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2019年实际值</w:t>
            </w:r>
          </w:p>
        </w:tc>
        <w:tc>
          <w:tcPr>
            <w:tcW w:w="156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阿尔法罗密欧（上海）汽车销售有限公司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1885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10.14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7.35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5259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阿斯顿马丁拉共达（中国）汽车销售有限公司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540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6.33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10.31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-2149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宝马（中国）汽车贸易有限公司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190671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6.48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7.00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-99149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18884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10167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-8717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保时捷（中国）汽车销售有限公司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77716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6.99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6.79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15543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7225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10914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北京路特斯汽车销售有限公司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64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5.61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10.30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-300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大众汽车（中国）销售有限公司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31483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6.94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7.73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-24872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3492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3492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法拉利汽车国际贸易（上海）有限公司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485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6.19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11.26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-2459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丰田汽车（中国）投资有限公司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220758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6.48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6.60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-26491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22076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-22076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福特汽车（中国）有限公司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53349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6.74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8.63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-100830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5334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28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-5306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捷豹路虎（中国）投资有限公司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30989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7.61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8.74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-34982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3045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569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-2476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克莱斯勒（中国）汽车销售有限公司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12049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7.07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7.56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-5904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1844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玛莎拉蒂（中国）汽车贸易有限公司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4758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6.77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10.74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-15654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迈凯伦汽车销售（上海）有限公司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274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5.71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11.02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-1455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梅赛德斯-奔驰（中国）汽车销售有限公司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123746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6.76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8.07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-162107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12372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62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-12310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日产（中国）投资有限公司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6249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6.92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7.92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-6249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三菱汽车销售（中国）有限公司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3410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7.48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12.00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-15413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双龙汽车（上海）有限公司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26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7.41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8.84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-37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斯巴鲁汽车（中国）有限公司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22969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6.01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7.08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-24577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特斯拉汽车（北京）有限公司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46996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6.73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0.00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316457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271282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271282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沃尔沃汽车销售（上海）有限公司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19623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7.29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7.32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-589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1338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21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中国第一汽车集团进出口有限公司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53462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6.96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6.01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50788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4833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21835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17002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22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天津空港国际汽车园发展有限公司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5421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8.08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12.26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-22632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23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天津路之星国际贸易有限公司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2973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7.7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10.8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-9216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24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天津天保国际物流集团有限公司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2724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7.16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10.42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-8880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25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天津天元伟业国际贸易有限公司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4552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7.7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11.77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-18533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26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张家港保税区国际汽车城有限公司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2463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7.74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11.24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-8641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27</w:t>
            </w:r>
          </w:p>
        </w:tc>
        <w:tc>
          <w:tcPr>
            <w:tcW w:w="35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中信港通国际物流有限公司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2932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7.71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10.9</w:t>
            </w:r>
          </w:p>
        </w:tc>
        <w:tc>
          <w:tcPr>
            <w:tcW w:w="1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-9353</w:t>
            </w:r>
          </w:p>
        </w:tc>
        <w:tc>
          <w:tcPr>
            <w:tcW w:w="12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C5EA1"/>
    <w:rsid w:val="284C5EA1"/>
    <w:rsid w:val="47122BFC"/>
    <w:rsid w:val="52DE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黑体" w:cs="Times New Roman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宋体" w:hAnsi="宋体" w:eastAsia="宋体" w:cs="Times New Roman"/>
      <w:b/>
      <w:bCs/>
      <w:kern w:val="44"/>
      <w:sz w:val="36"/>
      <w:szCs w:val="48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2020-04-09T11:56:00Z</dcterms:created>
  <dc:creator>admin</dc:creator>
  <cp:lastModifiedBy>admin</cp:lastModifiedBy>
  <dcterms:modified xsi:type="dcterms:W3CDTF">2020-04-09T12:02:07Z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