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pStyle w:val="2"/>
        <w:spacing w:beforeLines="0" w:afterLines="0"/>
        <w:rPr>
          <w:rFonts w:ascii="方正小标宋简体" w:hAnsi="方正小标宋简体" w:cs="方正小标宋简体"/>
          <w:szCs w:val="36"/>
        </w:rPr>
      </w:pPr>
      <w:r>
        <w:rPr>
          <w:rFonts w:hint="eastAsia" w:ascii="方正小标宋简体" w:hAnsi="方正小标宋简体" w:cs="方正小标宋简体"/>
          <w:szCs w:val="36"/>
        </w:rPr>
        <w:t>2016年绿色制造系统集成项目指南</w:t>
      </w:r>
    </w:p>
    <w:p>
      <w:pPr>
        <w:pStyle w:val="2"/>
        <w:spacing w:beforeLines="0" w:afterLines="0"/>
        <w:ind w:firstLine="707" w:firstLineChars="221"/>
        <w:jc w:val="left"/>
        <w:rPr>
          <w:rFonts w:ascii="黑体" w:hAnsi="黑体" w:eastAsia="黑体"/>
          <w:sz w:val="32"/>
          <w:szCs w:val="32"/>
        </w:rPr>
      </w:pPr>
    </w:p>
    <w:p>
      <w:pPr>
        <w:pStyle w:val="2"/>
        <w:spacing w:beforeLines="0" w:afterLines="0"/>
        <w:ind w:firstLine="707" w:firstLineChars="221"/>
        <w:jc w:val="left"/>
        <w:rPr>
          <w:rFonts w:ascii="黑体" w:hAnsi="黑体" w:eastAsia="黑体"/>
          <w:b w:val="0"/>
          <w:sz w:val="32"/>
          <w:szCs w:val="32"/>
        </w:rPr>
      </w:pPr>
      <w:r>
        <w:rPr>
          <w:rFonts w:hint="eastAsia" w:ascii="黑体" w:hAnsi="黑体" w:eastAsia="黑体"/>
          <w:sz w:val="32"/>
          <w:szCs w:val="32"/>
        </w:rPr>
        <w:t>一、</w:t>
      </w:r>
      <w:r>
        <w:rPr>
          <w:rFonts w:hint="eastAsia" w:ascii="黑体" w:hAnsi="黑体" w:eastAsia="黑体"/>
          <w:b w:val="0"/>
          <w:sz w:val="32"/>
          <w:szCs w:val="32"/>
        </w:rPr>
        <w:t>绿色设计平台建设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产品全生命周期管理与评价体系，建立面向产品全生命周期的绿色设计信息数据库，开发、应用和推广产品生命周期资源环境影响评价技术和软件工具，应用生命周期评价方法（LCA）优化原料选择、产品设计和制造方案。推荐绿色设计众创平台建设，在联合体内实现绿色设计资源共建共享，制定实施一批绿色设计标准。</w:t>
      </w:r>
    </w:p>
    <w:p>
      <w:pPr>
        <w:ind w:firstLine="640" w:firstLineChars="200"/>
        <w:rPr>
          <w:rFonts w:ascii="楷体_GB2312" w:hAnsi="楷体_GB2312" w:eastAsia="楷体_GB2312" w:cs="楷体_GB2312"/>
          <w:b/>
          <w:sz w:val="32"/>
          <w:szCs w:val="32"/>
        </w:rPr>
      </w:pPr>
      <w:r>
        <w:rPr>
          <w:rFonts w:hint="eastAsia" w:ascii="仿宋_GB2312" w:hAnsi="仿宋_GB2312" w:eastAsia="仿宋_GB2312" w:cs="仿宋_GB2312"/>
          <w:sz w:val="32"/>
          <w:szCs w:val="32"/>
        </w:rPr>
        <w:t>充分考虑下游生产、使用、回收利用等环节资源环境影响，开发一批高性能、轻量化、绿色化新材料，突破绿色原料选择、创新设计和应用技术。开发、应用和推广一批符合低能耗、低污染、低排放要求的新型绿色包装。开发一批绿色设计产品，扩大绿色产品国际市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创建绿色设计技术产业化示范线，开发、应用一批模块化、仿真化、集成化、易回收和高可靠性等绿色设计工具，以绿色设计为核心，实施设计和制造并行工程，突破绿色设计与制造一体化关键技术，提高产品研制效率，以产品绿色设计升级拉动绿色研发设计和绿色工艺技术一体化提升，提高绿色精益生产能力和产品国际竞争力。</w:t>
      </w:r>
    </w:p>
    <w:p>
      <w:pPr>
        <w:pStyle w:val="2"/>
        <w:spacing w:beforeLines="0" w:afterLines="0"/>
        <w:ind w:firstLine="707" w:firstLineChars="221"/>
        <w:jc w:val="left"/>
        <w:rPr>
          <w:rFonts w:ascii="黑体" w:hAnsi="黑体" w:eastAsia="黑体"/>
          <w:b w:val="0"/>
          <w:sz w:val="32"/>
          <w:szCs w:val="32"/>
        </w:rPr>
      </w:pPr>
      <w:r>
        <w:rPr>
          <w:rFonts w:hint="eastAsia" w:ascii="黑体" w:hAnsi="黑体" w:eastAsia="黑体"/>
          <w:b w:val="0"/>
          <w:sz w:val="32"/>
          <w:szCs w:val="32"/>
        </w:rPr>
        <w:t>二、绿色关键工艺突破</w:t>
      </w:r>
    </w:p>
    <w:p>
      <w:pPr>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在机械、电子、化工等行业中，由行业领军企业作为牵头单位，与上下游企业、生产制造单位、第三方机构、科研机构等形成协作式联合体，加大创新研发、推广应用力度，重点聚焦高技术含量、高可靠性要求、高附加值特性的关键技术装备，解决关键工艺流程或工序环节绿色化程度不高的问题，提升重大装备自主保障能力，支持联合体实施绿色制造技术改造。</w:t>
      </w:r>
    </w:p>
    <w:p>
      <w:pPr>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结合绿色关键技术突破，通过绿色制造重点项目的实施、绿色制造关键技术装备的创新和应用，制定一批绿色关键技术标准，引领行业先进技术工艺的推广应用。</w:t>
      </w:r>
    </w:p>
    <w:p>
      <w:pPr>
        <w:pStyle w:val="2"/>
        <w:spacing w:beforeLines="0" w:afterLines="0"/>
        <w:ind w:firstLine="707" w:firstLineChars="221"/>
        <w:jc w:val="left"/>
        <w:rPr>
          <w:rFonts w:ascii="黑体" w:hAnsi="黑体" w:eastAsia="黑体"/>
          <w:b w:val="0"/>
          <w:sz w:val="32"/>
          <w:szCs w:val="32"/>
        </w:rPr>
      </w:pPr>
      <w:r>
        <w:rPr>
          <w:rFonts w:hint="eastAsia" w:ascii="黑体" w:hAnsi="黑体" w:eastAsia="黑体"/>
          <w:b w:val="0"/>
          <w:sz w:val="32"/>
          <w:szCs w:val="32"/>
        </w:rPr>
        <w:t>三、绿色供应链系统构建</w:t>
      </w:r>
    </w:p>
    <w:p>
      <w:pPr>
        <w:ind w:firstLine="640" w:firstLineChars="200"/>
        <w:rPr>
          <w:rFonts w:ascii="仿宋_GB2312" w:hAnsi="仿宋_GB2312" w:eastAsia="仿宋_GB2312" w:cs="仿宋_GB2312"/>
          <w:sz w:val="32"/>
          <w:szCs w:val="32"/>
        </w:rPr>
      </w:pPr>
      <w:r>
        <w:rPr>
          <w:rFonts w:hint="eastAsia" w:ascii="仿宋_GB2312" w:eastAsia="仿宋_GB2312"/>
          <w:sz w:val="32"/>
        </w:rPr>
        <w:t>由家电、大型成套装备等行业龙头企业作为牵头单位，与</w:t>
      </w:r>
      <w:r>
        <w:rPr>
          <w:rFonts w:hint="eastAsia" w:ascii="仿宋_GB2312" w:hAnsi="仿宋_GB2312" w:eastAsia="仿宋_GB2312" w:cs="仿宋_GB2312"/>
          <w:sz w:val="32"/>
          <w:szCs w:val="32"/>
        </w:rPr>
        <w:t>联合供应商、物流商、销售商、终端用户等组成协作式联合体</w:t>
      </w:r>
      <w:r>
        <w:rPr>
          <w:rFonts w:hint="eastAsia" w:ascii="仿宋_GB2312" w:eastAsia="仿宋_GB2312"/>
          <w:sz w:val="32"/>
        </w:rPr>
        <w:t>，确定企业绿色供应链管理战略，围</w:t>
      </w:r>
      <w:r>
        <w:rPr>
          <w:rFonts w:hint="eastAsia" w:ascii="仿宋_GB2312" w:hAnsi="仿宋_GB2312" w:eastAsia="仿宋_GB2312" w:cs="仿宋_GB2312"/>
          <w:sz w:val="32"/>
          <w:szCs w:val="32"/>
        </w:rPr>
        <w:t>绕采购、生产、销售、物流、使用等重点环节，制定一批绿色供应链标准。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联合体企业选择2-3个绿色化改造潜力大的产品，对产品线进行绿色化改造，采用轻量化、长寿命、易回收、易运输等特性的材料，应用模块化、集成化、智能化的绿色产品和装备。</w:t>
      </w:r>
    </w:p>
    <w:p>
      <w:pPr>
        <w:ind w:firstLine="640" w:firstLineChars="200"/>
        <w:rPr>
          <w:rFonts w:ascii="仿宋_GB2312" w:eastAsia="仿宋_GB2312"/>
          <w:sz w:val="32"/>
        </w:rPr>
      </w:pPr>
      <w:r>
        <w:rPr>
          <w:rFonts w:hint="eastAsia" w:ascii="仿宋_GB2312" w:hAnsi="仿宋_GB2312" w:eastAsia="仿宋_GB2312" w:cs="仿宋_GB2312"/>
          <w:sz w:val="32"/>
          <w:szCs w:val="32"/>
        </w:rPr>
        <w:t>联合体企业共同应用全生命周期资源环境数据收集、分析及评价系统，建设上下游企业间信息共享、传递及披露平台等</w:t>
      </w:r>
      <w:r>
        <w:rPr>
          <w:rFonts w:hint="eastAsia" w:ascii="仿宋_GB2312" w:eastAsia="仿宋_GB2312"/>
          <w:sz w:val="32"/>
        </w:rPr>
        <w:t>，实施绿色供应商管理，建设绿色回收体系，形成典型行业绿色供应链管理模式和实施路径。</w:t>
      </w:r>
    </w:p>
    <w:p>
      <w:pPr>
        <w:rPr>
          <w:rFonts w:ascii="Times New Roman" w:hAnsi="Times New Roman" w:eastAsia="仿宋_GB2312" w:cs="Times New Roman"/>
          <w:sz w:val="32"/>
          <w:szCs w:val="32"/>
        </w:rPr>
      </w:pPr>
      <w:r>
        <w:rPr>
          <w:rFonts w:ascii="Times New Roman" w:hAnsi="黑体" w:eastAsia="黑体" w:cs="Times New Roman"/>
          <w:sz w:val="32"/>
          <w:szCs w:val="32"/>
        </w:rPr>
        <w:br w:type="page"/>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p>
    <w:p>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项目编号：</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u w:val="none"/>
        </w:rPr>
        <w:t xml:space="preserve"> </w:t>
      </w:r>
    </w:p>
    <w:p>
      <w:pPr>
        <w:jc w:val="left"/>
        <w:rPr>
          <w:rFonts w:ascii="Times New Roman" w:hAnsi="Times New Roman" w:eastAsia="仿宋_GB2312" w:cs="Times New Roman"/>
          <w:sz w:val="32"/>
          <w:szCs w:val="32"/>
        </w:rPr>
      </w:pPr>
    </w:p>
    <w:p>
      <w:pPr>
        <w:pStyle w:val="2"/>
        <w:spacing w:before="156" w:after="156"/>
        <w:rPr>
          <w:rFonts w:ascii="黑体" w:hAnsi="黑体" w:eastAsia="黑体"/>
          <w:sz w:val="44"/>
          <w:szCs w:val="44"/>
        </w:rPr>
      </w:pPr>
      <w:r>
        <w:rPr>
          <w:rFonts w:hint="eastAsia" w:ascii="黑体" w:hAnsi="黑体" w:eastAsia="黑体"/>
          <w:sz w:val="44"/>
          <w:szCs w:val="44"/>
        </w:rPr>
        <w:t>2016年绿色制造系统集成</w:t>
      </w:r>
    </w:p>
    <w:p>
      <w:pPr>
        <w:pStyle w:val="2"/>
        <w:spacing w:before="156" w:after="156"/>
        <w:rPr>
          <w:rFonts w:ascii="黑体" w:hAnsi="黑体" w:eastAsia="黑体"/>
          <w:sz w:val="44"/>
          <w:szCs w:val="44"/>
        </w:rPr>
      </w:pPr>
      <w:r>
        <w:rPr>
          <w:rFonts w:hint="eastAsia" w:ascii="黑体" w:hAnsi="黑体" w:eastAsia="黑体"/>
          <w:sz w:val="44"/>
          <w:szCs w:val="44"/>
        </w:rPr>
        <w:t>项目申报书</w:t>
      </w:r>
    </w:p>
    <w:p>
      <w:pPr>
        <w:ind w:firstLine="640" w:firstLineChars="200"/>
        <w:rPr>
          <w:rFonts w:ascii="Times New Roman" w:hAnsi="黑体" w:eastAsia="黑体" w:cs="Times New Roman"/>
          <w:sz w:val="32"/>
          <w:szCs w:val="32"/>
        </w:rPr>
      </w:pPr>
    </w:p>
    <w:p>
      <w:pPr>
        <w:ind w:firstLine="640" w:firstLineChars="200"/>
        <w:rPr>
          <w:rFonts w:ascii="Times New Roman" w:hAnsi="黑体" w:eastAsia="黑体" w:cs="Times New Roman"/>
          <w:sz w:val="32"/>
          <w:szCs w:val="32"/>
        </w:rPr>
      </w:pP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项目名称：</w:t>
      </w:r>
    </w:p>
    <w:p>
      <w:pPr>
        <w:ind w:firstLine="640" w:firstLineChars="200"/>
        <w:rPr>
          <w:rFonts w:hint="eastAsia" w:ascii="Times New Roman" w:hAnsi="黑体" w:eastAsia="黑体" w:cs="Times New Roman"/>
          <w:sz w:val="32"/>
          <w:szCs w:val="32"/>
          <w:lang w:eastAsia="zh-CN"/>
        </w:rPr>
      </w:pPr>
      <w:r>
        <w:rPr>
          <w:rFonts w:hint="eastAsia" w:ascii="Times New Roman" w:hAnsi="黑体" w:eastAsia="黑体" w:cs="Times New Roman"/>
          <w:sz w:val="32"/>
          <w:szCs w:val="32"/>
          <w:lang w:eastAsia="zh-CN"/>
        </w:rPr>
        <w:t>项目推荐单位（央企请注明总部）：</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项目责任单位：</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项目总负责人（法定代表人）：</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联系方式：</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项目技术负责人：</w:t>
      </w:r>
    </w:p>
    <w:p>
      <w:pPr>
        <w:ind w:firstLine="640" w:firstLineChars="200"/>
        <w:rPr>
          <w:rFonts w:ascii="Times New Roman" w:hAnsi="黑体" w:eastAsia="黑体" w:cs="Times New Roman"/>
          <w:sz w:val="32"/>
          <w:szCs w:val="32"/>
        </w:rPr>
      </w:pPr>
      <w:r>
        <w:rPr>
          <w:rFonts w:hint="eastAsia" w:ascii="Times New Roman" w:hAnsi="黑体" w:eastAsia="黑体" w:cs="Times New Roman"/>
          <w:sz w:val="32"/>
          <w:szCs w:val="32"/>
        </w:rPr>
        <w:t>联系方式：</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项目年限：</w:t>
      </w:r>
      <w:r>
        <w:rPr>
          <w:rFonts w:hint="eastAsia" w:ascii="Times New Roman" w:hAnsi="黑体" w:eastAsia="黑体" w:cs="Times New Roman"/>
          <w:sz w:val="32"/>
          <w:szCs w:val="32"/>
          <w:u w:val="single"/>
        </w:rPr>
        <w:t xml:space="preserve">                </w:t>
      </w:r>
      <w:r>
        <w:rPr>
          <w:rFonts w:hint="eastAsia" w:ascii="Times New Roman" w:hAnsi="黑体" w:eastAsia="黑体" w:cs="Times New Roman"/>
          <w:sz w:val="32"/>
          <w:szCs w:val="32"/>
          <w:u w:val="none"/>
        </w:rPr>
        <w:t>至</w:t>
      </w:r>
      <w:r>
        <w:rPr>
          <w:rFonts w:hint="eastAsia" w:ascii="Times New Roman" w:hAnsi="黑体" w:eastAsia="黑体" w:cs="Times New Roman"/>
          <w:sz w:val="32"/>
          <w:szCs w:val="32"/>
          <w:u w:val="single"/>
        </w:rPr>
        <w:t xml:space="preserve">                 </w:t>
      </w:r>
    </w:p>
    <w:p>
      <w:pPr>
        <w:ind w:firstLine="640" w:firstLineChars="200"/>
        <w:rPr>
          <w:rFonts w:ascii="Times New Roman" w:hAnsi="黑体" w:eastAsia="黑体" w:cs="Times New Roman"/>
          <w:sz w:val="32"/>
          <w:szCs w:val="32"/>
          <w:u w:val="single"/>
        </w:rPr>
      </w:pPr>
      <w:r>
        <w:rPr>
          <w:rFonts w:hint="eastAsia" w:ascii="Times New Roman" w:hAnsi="黑体" w:eastAsia="黑体" w:cs="Times New Roman"/>
          <w:sz w:val="32"/>
          <w:szCs w:val="32"/>
        </w:rPr>
        <w:t>填报日期：</w:t>
      </w:r>
    </w:p>
    <w:p>
      <w:pPr>
        <w:ind w:firstLine="640" w:firstLineChars="200"/>
        <w:rPr>
          <w:rFonts w:ascii="Times New Roman" w:hAnsi="黑体" w:eastAsia="黑体" w:cs="Times New Roman"/>
          <w:sz w:val="32"/>
          <w:szCs w:val="32"/>
        </w:rPr>
      </w:pPr>
    </w:p>
    <w:p>
      <w:pPr>
        <w:ind w:firstLine="640" w:firstLineChars="200"/>
        <w:rPr>
          <w:rFonts w:ascii="Times New Roman" w:hAnsi="黑体" w:eastAsia="黑体" w:cs="Times New Roman"/>
          <w:sz w:val="32"/>
          <w:szCs w:val="32"/>
        </w:rPr>
      </w:pPr>
    </w:p>
    <w:p>
      <w:pPr>
        <w:ind w:firstLine="640" w:firstLineChars="200"/>
        <w:jc w:val="center"/>
        <w:rPr>
          <w:rFonts w:ascii="Times New Roman" w:hAnsi="黑体" w:eastAsia="黑体" w:cs="Times New Roman"/>
          <w:sz w:val="32"/>
          <w:szCs w:val="32"/>
        </w:rPr>
      </w:pPr>
      <w:r>
        <w:rPr>
          <w:rFonts w:hint="eastAsia" w:ascii="Times New Roman" w:hAnsi="黑体" w:eastAsia="黑体" w:cs="Times New Roman"/>
          <w:sz w:val="32"/>
          <w:szCs w:val="32"/>
        </w:rPr>
        <w:t>中华人民共和国工业和信息化部制</w:t>
      </w:r>
    </w:p>
    <w:p>
      <w:pPr>
        <w:ind w:firstLine="640" w:firstLineChars="200"/>
        <w:jc w:val="center"/>
        <w:rPr>
          <w:rFonts w:ascii="Times New Roman" w:hAnsi="黑体" w:eastAsia="黑体" w:cs="Times New Roman"/>
          <w:sz w:val="32"/>
          <w:szCs w:val="32"/>
        </w:rPr>
      </w:pPr>
      <w:r>
        <w:rPr>
          <w:rFonts w:hint="eastAsia" w:ascii="Times New Roman" w:hAnsi="黑体" w:eastAsia="黑体" w:cs="Times New Roman"/>
          <w:sz w:val="32"/>
          <w:szCs w:val="32"/>
        </w:rPr>
        <w:t>年     月</w:t>
      </w:r>
    </w:p>
    <w:p>
      <w:pPr>
        <w:ind w:firstLine="640" w:firstLineChars="200"/>
        <w:rPr>
          <w:rFonts w:ascii="Times New Roman" w:hAnsi="黑体" w:eastAsia="黑体" w:cs="Times New Roman"/>
          <w:sz w:val="32"/>
          <w:szCs w:val="32"/>
        </w:rPr>
      </w:pPr>
      <w:r>
        <w:rPr>
          <w:rFonts w:ascii="Times New Roman" w:hAnsi="黑体" w:eastAsia="黑体" w:cs="Times New Roman"/>
          <w:sz w:val="32"/>
          <w:szCs w:val="32"/>
        </w:rPr>
        <w:br w:type="page"/>
      </w:r>
    </w:p>
    <w:p>
      <w:pPr>
        <w:ind w:firstLine="640" w:firstLineChars="200"/>
        <w:jc w:val="center"/>
        <w:rPr>
          <w:rFonts w:ascii="Times New Roman" w:hAnsi="黑体" w:eastAsia="黑体" w:cs="Times New Roman"/>
          <w:sz w:val="32"/>
          <w:szCs w:val="32"/>
        </w:rPr>
      </w:pPr>
      <w:r>
        <w:rPr>
          <w:rFonts w:hint="eastAsia" w:ascii="Times New Roman" w:hAnsi="黑体" w:eastAsia="黑体" w:cs="Times New Roman"/>
          <w:sz w:val="32"/>
          <w:szCs w:val="32"/>
        </w:rPr>
        <w:t>填表说明</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为建立统一、规范的绿色制造系统集成项目管理制度，请项目申报单位严格按照《2016年绿色制造系统集成项目申报书》格式和填写要求，填写表中各项。</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一、项目编号与省级主管部门提交的《2016年绿色制造系统集成项目汇总表》编号一致，由省级主管部门填写。受理编号由评审机构填写。</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二、申报书由项目联合体牵头单位（责任单位）编写，并报送项目所在省、自治区、直辖市、计划单列市工业和信息化主管部门。</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三、编写人员应客观、真实地填报申报材料，尊重他人知识产权，遵守国家有关知识产权法规。</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四、填报字数说明：除项目简介要求不超过3000字外，其他各项内容填写尽可能详实，充分展现项目信息，作为专家评审打分的重要依据。</w:t>
      </w:r>
    </w:p>
    <w:p>
      <w:pPr>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五、填报格式说明：请用A4幅面编辑打印，正文字体为4号仿宋体，单倍行距。一级标题4号黑体，二级标题4号楷体。</w:t>
      </w:r>
    </w:p>
    <w:p>
      <w:pPr>
        <w:ind w:firstLine="640" w:firstLineChars="200"/>
        <w:rPr>
          <w:rFonts w:ascii="Times New Roman" w:hAnsi="黑体" w:eastAsia="黑体" w:cs="Times New Roman"/>
          <w:sz w:val="32"/>
          <w:szCs w:val="32"/>
        </w:rPr>
      </w:pPr>
    </w:p>
    <w:p>
      <w:pPr>
        <w:widowControl/>
        <w:jc w:val="left"/>
        <w:rPr>
          <w:rFonts w:ascii="Times New Roman" w:hAnsi="黑体" w:eastAsia="黑体" w:cs="Times New Roman"/>
          <w:sz w:val="32"/>
          <w:szCs w:val="32"/>
        </w:rPr>
      </w:pPr>
      <w:r>
        <w:rPr>
          <w:rFonts w:ascii="Times New Roman" w:hAnsi="黑体" w:eastAsia="黑体" w:cs="Times New Roman"/>
          <w:sz w:val="32"/>
          <w:szCs w:val="32"/>
        </w:rPr>
        <w:br w:type="page"/>
      </w:r>
    </w:p>
    <w:p>
      <w:pPr>
        <w:ind w:firstLine="640" w:firstLineChars="200"/>
        <w:rPr>
          <w:rFonts w:ascii="Times New Roman" w:hAnsi="黑体" w:eastAsia="黑体" w:cs="Times New Roman"/>
          <w:bCs/>
          <w:sz w:val="32"/>
          <w:szCs w:val="32"/>
        </w:rPr>
      </w:pPr>
      <w:r>
        <w:rPr>
          <w:rFonts w:hint="eastAsia" w:ascii="Times New Roman" w:hAnsi="黑体" w:eastAsia="黑体" w:cs="Times New Roman"/>
          <w:bCs/>
          <w:sz w:val="32"/>
          <w:szCs w:val="32"/>
        </w:rPr>
        <w:t>一、项目基本信息</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508"/>
        <w:gridCol w:w="276"/>
        <w:gridCol w:w="1645"/>
        <w:gridCol w:w="178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ascii="Times New Roman" w:hAnsi="宋体" w:cs="Times New Roman"/>
                <w:sz w:val="24"/>
                <w:szCs w:val="24"/>
              </w:rPr>
              <w:t>项目名称</w:t>
            </w:r>
          </w:p>
        </w:tc>
        <w:tc>
          <w:tcPr>
            <w:tcW w:w="7183" w:type="dxa"/>
            <w:gridSpan w:val="5"/>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hint="eastAsia" w:ascii="Times New Roman" w:hAnsi="宋体" w:cs="Times New Roman"/>
                <w:sz w:val="24"/>
                <w:szCs w:val="24"/>
              </w:rPr>
              <w:t>项目类型</w:t>
            </w:r>
          </w:p>
          <w:p>
            <w:pPr>
              <w:rPr>
                <w:rFonts w:ascii="Times New Roman" w:hAnsi="宋体" w:cs="Times New Roman"/>
                <w:sz w:val="24"/>
                <w:szCs w:val="24"/>
              </w:rPr>
            </w:pPr>
            <w:r>
              <w:rPr>
                <w:rFonts w:hint="eastAsia" w:ascii="Times New Roman" w:hAnsi="宋体" w:cs="Times New Roman"/>
                <w:sz w:val="24"/>
                <w:szCs w:val="24"/>
              </w:rPr>
              <w:t>（单选）</w:t>
            </w:r>
          </w:p>
        </w:tc>
        <w:tc>
          <w:tcPr>
            <w:tcW w:w="7183" w:type="dxa"/>
            <w:gridSpan w:val="5"/>
            <w:vAlign w:val="top"/>
          </w:tcPr>
          <w:p>
            <w:pPr>
              <w:rPr>
                <w:rFonts w:ascii="Times New Roman" w:hAnsi="宋体" w:cs="Times New Roman"/>
                <w:sz w:val="24"/>
                <w:szCs w:val="24"/>
              </w:rPr>
            </w:pPr>
            <w:r>
              <w:rPr>
                <w:rFonts w:hint="eastAsia" w:ascii="Times New Roman" w:hAnsi="宋体" w:cs="Times New Roman"/>
                <w:sz w:val="24"/>
                <w:szCs w:val="24"/>
              </w:rPr>
              <w:t xml:space="preserve">□1.绿色设计平台建设         □2.绿色关键工艺突破  </w:t>
            </w:r>
          </w:p>
          <w:p>
            <w:pPr>
              <w:rPr>
                <w:rFonts w:ascii="Times New Roman" w:hAnsi="宋体" w:cs="Times New Roman"/>
                <w:sz w:val="24"/>
                <w:szCs w:val="24"/>
              </w:rPr>
            </w:pPr>
            <w:r>
              <w:rPr>
                <w:rFonts w:hint="eastAsia" w:ascii="Times New Roman" w:hAnsi="宋体" w:cs="Times New Roman"/>
                <w:sz w:val="24"/>
                <w:szCs w:val="24"/>
              </w:rPr>
              <w:t>□3.绿色供应链系统构建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hint="eastAsia" w:ascii="Times New Roman" w:hAnsi="宋体" w:cs="Times New Roman"/>
                <w:sz w:val="24"/>
                <w:szCs w:val="24"/>
              </w:rPr>
            </w:pPr>
            <w:r>
              <w:rPr>
                <w:rFonts w:hint="eastAsia" w:ascii="Times New Roman" w:hAnsi="宋体" w:cs="Times New Roman"/>
                <w:sz w:val="24"/>
                <w:szCs w:val="24"/>
              </w:rPr>
              <w:t>项目所属行业</w:t>
            </w:r>
          </w:p>
          <w:p>
            <w:pPr>
              <w:rPr>
                <w:rFonts w:ascii="Times New Roman" w:hAnsi="宋体" w:cs="Times New Roman"/>
                <w:sz w:val="24"/>
                <w:szCs w:val="24"/>
              </w:rPr>
            </w:pPr>
            <w:r>
              <w:rPr>
                <w:rFonts w:hint="eastAsia" w:ascii="Times New Roman" w:hAnsi="宋体" w:cs="Times New Roman"/>
                <w:sz w:val="24"/>
                <w:szCs w:val="24"/>
              </w:rPr>
              <w:t>（单选）</w:t>
            </w:r>
          </w:p>
        </w:tc>
        <w:tc>
          <w:tcPr>
            <w:tcW w:w="7183" w:type="dxa"/>
            <w:gridSpan w:val="5"/>
            <w:vAlign w:val="top"/>
          </w:tcPr>
          <w:p>
            <w:pPr>
              <w:rPr>
                <w:rFonts w:hint="eastAsia" w:ascii="Times New Roman" w:hAnsi="宋体" w:cs="Times New Roman"/>
                <w:sz w:val="24"/>
                <w:szCs w:val="24"/>
              </w:rPr>
            </w:pPr>
            <w:r>
              <w:rPr>
                <w:rFonts w:hint="eastAsia" w:ascii="Times New Roman" w:hAnsi="宋体" w:cs="Times New Roman"/>
                <w:sz w:val="24"/>
                <w:szCs w:val="24"/>
              </w:rPr>
              <w:t>□A机械    □B食品    □C纺织    □D化工    □E电子</w:t>
            </w:r>
          </w:p>
          <w:p>
            <w:pPr>
              <w:rPr>
                <w:rFonts w:ascii="Times New Roman" w:hAnsi="宋体" w:cs="Times New Roman"/>
                <w:sz w:val="24"/>
                <w:szCs w:val="24"/>
              </w:rPr>
            </w:pPr>
            <w:r>
              <w:rPr>
                <w:rFonts w:hint="eastAsia" w:ascii="Times New Roman" w:hAnsi="宋体" w:cs="Times New Roman"/>
                <w:sz w:val="24"/>
                <w:szCs w:val="24"/>
              </w:rPr>
              <w:t xml:space="preserve">□F家电    □G大型成套装备       </w:t>
            </w:r>
            <w:r>
              <w:rPr>
                <w:rFonts w:ascii="Times New Roman" w:hAnsi="宋体" w:cs="Times New Roman"/>
                <w:sz w:val="24"/>
                <w:szCs w:val="24"/>
              </w:rPr>
              <w:t xml:space="preserve"> </w:t>
            </w:r>
          </w:p>
          <w:p>
            <w:pPr>
              <w:rPr>
                <w:rFonts w:ascii="Times New Roman" w:hAnsi="宋体" w:cs="Times New Roman"/>
                <w:sz w:val="24"/>
                <w:szCs w:val="24"/>
                <w:u w:val="single"/>
              </w:rPr>
            </w:pPr>
            <w:r>
              <w:rPr>
                <w:rFonts w:hint="eastAsia" w:ascii="Times New Roman" w:hAnsi="宋体" w:cs="Times New Roman"/>
                <w:sz w:val="24"/>
                <w:szCs w:val="24"/>
              </w:rPr>
              <w:t>□</w:t>
            </w:r>
            <w:r>
              <w:rPr>
                <w:rFonts w:hint="eastAsia" w:ascii="Times New Roman" w:hAnsi="宋体" w:cs="Times New Roman"/>
                <w:sz w:val="24"/>
                <w:szCs w:val="24"/>
                <w:lang w:val="en-US" w:eastAsia="zh-CN"/>
              </w:rPr>
              <w:t>H</w:t>
            </w:r>
            <w:r>
              <w:rPr>
                <w:rFonts w:hint="eastAsia" w:ascii="Times New Roman" w:hAnsi="宋体" w:cs="Times New Roman"/>
                <w:sz w:val="24"/>
                <w:szCs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hint="eastAsia" w:ascii="Times New Roman" w:hAnsi="宋体" w:cs="Times New Roman"/>
                <w:sz w:val="24"/>
                <w:szCs w:val="24"/>
              </w:rPr>
              <w:t>预期成果</w:t>
            </w:r>
          </w:p>
          <w:p>
            <w:pPr>
              <w:rPr>
                <w:rFonts w:ascii="Times New Roman" w:hAnsi="宋体" w:cs="Times New Roman"/>
                <w:sz w:val="24"/>
                <w:szCs w:val="24"/>
              </w:rPr>
            </w:pPr>
          </w:p>
        </w:tc>
        <w:tc>
          <w:tcPr>
            <w:tcW w:w="7183" w:type="dxa"/>
            <w:gridSpan w:val="5"/>
            <w:vAlign w:val="top"/>
          </w:tcPr>
          <w:p>
            <w:pPr>
              <w:rPr>
                <w:rFonts w:ascii="Times New Roman" w:hAnsi="宋体" w:cs="Times New Roman"/>
                <w:sz w:val="24"/>
                <w:szCs w:val="24"/>
              </w:rPr>
            </w:pPr>
            <w:r>
              <w:rPr>
                <w:rFonts w:hint="eastAsia" w:ascii="Times New Roman" w:hAnsi="宋体" w:cs="Times New Roman"/>
                <w:sz w:val="24"/>
                <w:szCs w:val="24"/>
              </w:rPr>
              <w:t xml:space="preserve">□绿色产品    □绿色工厂    □绿色供应链    </w:t>
            </w:r>
          </w:p>
          <w:p>
            <w:pPr>
              <w:rPr>
                <w:rFonts w:ascii="Times New Roman" w:hAnsi="宋体" w:cs="Times New Roman"/>
                <w:sz w:val="24"/>
                <w:szCs w:val="24"/>
              </w:rPr>
            </w:pPr>
            <w:r>
              <w:rPr>
                <w:rFonts w:hint="eastAsia" w:ascii="Times New Roman" w:hAnsi="宋体" w:cs="Times New Roman"/>
                <w:sz w:val="24"/>
                <w:szCs w:val="24"/>
              </w:rPr>
              <w:t>□行业标准    □团体标准    □绿色制造典型模式</w:t>
            </w:r>
          </w:p>
          <w:p>
            <w:pPr>
              <w:rPr>
                <w:rFonts w:ascii="Times New Roman" w:hAnsi="宋体" w:cs="Times New Roman"/>
                <w:sz w:val="24"/>
                <w:szCs w:val="24"/>
              </w:rPr>
            </w:pPr>
            <w:r>
              <w:rPr>
                <w:rFonts w:hint="eastAsia" w:ascii="Times New Roman" w:hAnsi="宋体" w:cs="Times New Roman"/>
                <w:sz w:val="24"/>
                <w:szCs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hint="eastAsia" w:ascii="Times New Roman" w:hAnsi="宋体" w:cs="Times New Roman"/>
                <w:sz w:val="24"/>
                <w:szCs w:val="24"/>
              </w:rPr>
              <w:t>项目目标产品/技术/标准水平</w:t>
            </w:r>
          </w:p>
        </w:tc>
        <w:tc>
          <w:tcPr>
            <w:tcW w:w="7183" w:type="dxa"/>
            <w:gridSpan w:val="5"/>
            <w:vAlign w:val="top"/>
          </w:tcPr>
          <w:p>
            <w:pPr>
              <w:rPr>
                <w:rFonts w:ascii="Times New Roman" w:hAnsi="宋体" w:cs="Times New Roman"/>
                <w:sz w:val="24"/>
                <w:szCs w:val="24"/>
              </w:rPr>
            </w:pPr>
            <w:r>
              <w:rPr>
                <w:rFonts w:hint="eastAsia" w:ascii="Times New Roman" w:hAnsi="宋体" w:cs="Times New Roman"/>
                <w:sz w:val="24"/>
                <w:szCs w:val="24"/>
              </w:rPr>
              <w:t>□国际领先    □国际先进    □国内领先   □国内先进</w:t>
            </w:r>
          </w:p>
          <w:p>
            <w:pPr>
              <w:rPr>
                <w:rFonts w:ascii="Times New Roman" w:hAnsi="宋体" w:cs="Times New Roman"/>
                <w:sz w:val="24"/>
                <w:szCs w:val="24"/>
              </w:rPr>
            </w:pPr>
            <w:r>
              <w:rPr>
                <w:rFonts w:hint="eastAsia" w:ascii="Times New Roman" w:hAnsi="宋体" w:cs="Times New Roman"/>
                <w:sz w:val="24"/>
                <w:szCs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hint="eastAsia" w:ascii="Times New Roman" w:hAnsi="宋体" w:cs="Times New Roman"/>
                <w:sz w:val="24"/>
                <w:szCs w:val="24"/>
              </w:rPr>
              <w:t>标准制定基础</w:t>
            </w:r>
          </w:p>
        </w:tc>
        <w:tc>
          <w:tcPr>
            <w:tcW w:w="7183" w:type="dxa"/>
            <w:gridSpan w:val="5"/>
            <w:vAlign w:val="top"/>
          </w:tcPr>
          <w:p>
            <w:pPr>
              <w:rPr>
                <w:rFonts w:ascii="Times New Roman" w:hAnsi="宋体" w:cs="Times New Roman"/>
                <w:sz w:val="24"/>
                <w:szCs w:val="24"/>
              </w:rPr>
            </w:pPr>
            <w:r>
              <w:rPr>
                <w:rFonts w:hint="eastAsia" w:ascii="Times New Roman" w:hAnsi="宋体" w:cs="Times New Roman"/>
                <w:sz w:val="24"/>
                <w:szCs w:val="24"/>
              </w:rPr>
              <w:t>□牵头制定过行业标准/国家标准</w:t>
            </w:r>
          </w:p>
          <w:p>
            <w:pPr>
              <w:rPr>
                <w:rFonts w:ascii="Times New Roman" w:hAnsi="宋体" w:cs="Times New Roman"/>
                <w:sz w:val="24"/>
                <w:szCs w:val="24"/>
              </w:rPr>
            </w:pPr>
            <w:r>
              <w:rPr>
                <w:rFonts w:hint="eastAsia" w:ascii="Times New Roman" w:hAnsi="宋体" w:cs="Times New Roman"/>
                <w:sz w:val="24"/>
                <w:szCs w:val="24"/>
              </w:rPr>
              <w:t>□所申报项目已在</w:t>
            </w:r>
            <w:r>
              <w:rPr>
                <w:rFonts w:hint="eastAsia" w:ascii="Times New Roman" w:hAnsi="宋体" w:cs="Times New Roman"/>
                <w:sz w:val="24"/>
                <w:szCs w:val="24"/>
                <w:lang w:eastAsia="zh-CN"/>
              </w:rPr>
              <w:t>行业标准、</w:t>
            </w:r>
            <w:r>
              <w:rPr>
                <w:rFonts w:hint="eastAsia" w:ascii="Times New Roman" w:hAnsi="宋体" w:cs="Times New Roman"/>
                <w:sz w:val="24"/>
                <w:szCs w:val="24"/>
              </w:rPr>
              <w:t>国家标准或</w:t>
            </w:r>
            <w:r>
              <w:rPr>
                <w:rFonts w:hint="eastAsia" w:ascii="Times New Roman" w:hAnsi="宋体" w:cs="Times New Roman"/>
                <w:sz w:val="24"/>
                <w:szCs w:val="24"/>
                <w:lang w:eastAsia="zh-CN"/>
              </w:rPr>
              <w:t>国际</w:t>
            </w:r>
            <w:r>
              <w:rPr>
                <w:rFonts w:hint="eastAsia" w:ascii="Times New Roman" w:hAnsi="宋体" w:cs="Times New Roman"/>
                <w:sz w:val="24"/>
                <w:szCs w:val="24"/>
              </w:rPr>
              <w:t>标准立项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Align w:val="top"/>
          </w:tcPr>
          <w:p>
            <w:pPr>
              <w:rPr>
                <w:rFonts w:ascii="Times New Roman" w:hAnsi="宋体" w:cs="Times New Roman"/>
                <w:sz w:val="24"/>
                <w:szCs w:val="24"/>
              </w:rPr>
            </w:pPr>
            <w:r>
              <w:rPr>
                <w:rFonts w:hint="eastAsia" w:ascii="Times New Roman" w:hAnsi="宋体" w:cs="Times New Roman"/>
                <w:sz w:val="24"/>
                <w:szCs w:val="24"/>
              </w:rPr>
              <w:t>绿色制造基础</w:t>
            </w:r>
          </w:p>
        </w:tc>
        <w:tc>
          <w:tcPr>
            <w:tcW w:w="7183" w:type="dxa"/>
            <w:gridSpan w:val="5"/>
            <w:vAlign w:val="top"/>
          </w:tcPr>
          <w:p>
            <w:pPr>
              <w:rPr>
                <w:rFonts w:ascii="Times New Roman" w:hAnsi="宋体" w:cs="Times New Roman"/>
                <w:sz w:val="24"/>
                <w:szCs w:val="24"/>
              </w:rPr>
            </w:pPr>
            <w:r>
              <w:rPr>
                <w:rFonts w:hint="eastAsia" w:ascii="Times New Roman" w:hAnsi="宋体" w:cs="Times New Roman"/>
                <w:sz w:val="24"/>
                <w:szCs w:val="24"/>
              </w:rPr>
              <w:t>□区域工业绿色转型试点      □</w:t>
            </w:r>
            <w:r>
              <w:rPr>
                <w:rFonts w:hint="eastAsia" w:ascii="Times New Roman" w:hAnsi="宋体" w:eastAsia="宋体" w:cs="Times New Roman"/>
                <w:kern w:val="0"/>
                <w:sz w:val="24"/>
                <w:szCs w:val="24"/>
              </w:rPr>
              <w:t>绿色设计试点企业</w:t>
            </w:r>
          </w:p>
          <w:p>
            <w:pPr>
              <w:rPr>
                <w:rFonts w:ascii="Times New Roman" w:hAnsi="宋体" w:cs="Times New Roman"/>
                <w:sz w:val="24"/>
                <w:szCs w:val="24"/>
              </w:rPr>
            </w:pPr>
            <w:r>
              <w:rPr>
                <w:rFonts w:hint="eastAsia" w:ascii="Times New Roman" w:hAnsi="宋体" w:cs="Times New Roman"/>
                <w:sz w:val="24"/>
                <w:szCs w:val="24"/>
              </w:rPr>
              <w:t>□京津冀</w:t>
            </w:r>
            <w:r>
              <w:rPr>
                <w:rFonts w:hint="eastAsia" w:ascii="Times New Roman" w:hAnsi="宋体" w:cs="Times New Roman"/>
                <w:sz w:val="24"/>
                <w:szCs w:val="24"/>
                <w:lang w:val="en-US" w:eastAsia="zh-CN"/>
              </w:rPr>
              <w:t xml:space="preserve">                    </w:t>
            </w:r>
            <w:r>
              <w:rPr>
                <w:rFonts w:hint="eastAsia" w:ascii="Times New Roman" w:hAnsi="宋体" w:cs="Times New Roman"/>
                <w:sz w:val="24"/>
                <w:szCs w:val="24"/>
              </w:rPr>
              <w:t>□长江经济带</w:t>
            </w:r>
          </w:p>
          <w:p>
            <w:pPr>
              <w:rPr>
                <w:rFonts w:ascii="Times New Roman" w:hAnsi="宋体" w:cs="Times New Roman"/>
                <w:sz w:val="24"/>
                <w:szCs w:val="24"/>
              </w:rPr>
            </w:pPr>
            <w:r>
              <w:rPr>
                <w:rFonts w:hint="eastAsia" w:ascii="Times New Roman" w:hAnsi="宋体" w:cs="Times New Roman"/>
                <w:sz w:val="24"/>
                <w:szCs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restart"/>
            <w:vAlign w:val="top"/>
          </w:tcPr>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项目牵头单位信息</w:t>
            </w:r>
          </w:p>
          <w:p>
            <w:pPr>
              <w:rPr>
                <w:rFonts w:ascii="Times New Roman" w:hAnsi="宋体" w:cs="Times New Roman"/>
                <w:sz w:val="24"/>
                <w:szCs w:val="24"/>
              </w:rPr>
            </w:pPr>
            <w:r>
              <w:rPr>
                <w:rFonts w:hint="eastAsia" w:ascii="Times New Roman" w:hAnsi="宋体" w:cs="Times New Roman"/>
                <w:sz w:val="24"/>
                <w:szCs w:val="24"/>
              </w:rPr>
              <w:t>（项目责任单位）</w:t>
            </w: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单位名称</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hint="eastAsia" w:ascii="Times New Roman" w:hAnsi="宋体" w:cs="Times New Roman"/>
                <w:sz w:val="24"/>
                <w:szCs w:val="24"/>
              </w:rPr>
              <w:t>单位性质</w:t>
            </w:r>
          </w:p>
        </w:tc>
        <w:tc>
          <w:tcPr>
            <w:tcW w:w="1969" w:type="dxa"/>
            <w:vAlign w:val="top"/>
          </w:tcPr>
          <w:p>
            <w:pPr>
              <w:rPr>
                <w:rFonts w:ascii="Times New Roman" w:hAnsi="宋体" w:cs="Times New Roman"/>
                <w:sz w:val="24"/>
                <w:szCs w:val="24"/>
              </w:rPr>
            </w:pPr>
            <w:r>
              <w:rPr>
                <w:rFonts w:hint="eastAsia" w:ascii="Times New Roman" w:hAnsi="宋体" w:cs="Times New Roman"/>
                <w:sz w:val="24"/>
                <w:szCs w:val="24"/>
              </w:rPr>
              <w:t xml:space="preserve">□国有  □民营  </w:t>
            </w:r>
          </w:p>
          <w:p>
            <w:pPr>
              <w:rPr>
                <w:rFonts w:ascii="Times New Roman" w:hAnsi="宋体" w:cs="Times New Roman"/>
                <w:sz w:val="24"/>
                <w:szCs w:val="24"/>
              </w:rPr>
            </w:pPr>
            <w:r>
              <w:rPr>
                <w:rFonts w:hint="eastAsia" w:ascii="Times New Roman" w:hAnsi="宋体" w:cs="Times New Roman"/>
                <w:sz w:val="24"/>
                <w:szCs w:val="24"/>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通讯地址</w:t>
            </w:r>
          </w:p>
        </w:tc>
        <w:tc>
          <w:tcPr>
            <w:tcW w:w="5399" w:type="dxa"/>
            <w:gridSpan w:val="3"/>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组织机构代码</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hint="eastAsia" w:ascii="Times New Roman" w:hAnsi="宋体" w:cs="Times New Roman"/>
                <w:sz w:val="24"/>
                <w:szCs w:val="24"/>
              </w:rPr>
              <w:t>成立时间</w:t>
            </w: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p>
        </w:tc>
        <w:tc>
          <w:tcPr>
            <w:tcW w:w="1645" w:type="dxa"/>
            <w:vAlign w:val="top"/>
          </w:tcPr>
          <w:p>
            <w:pPr>
              <w:jc w:val="center"/>
              <w:rPr>
                <w:rFonts w:ascii="Times New Roman" w:hAnsi="宋体" w:cs="Times New Roman"/>
                <w:sz w:val="24"/>
                <w:szCs w:val="24"/>
              </w:rPr>
            </w:pPr>
            <w:r>
              <w:rPr>
                <w:rFonts w:hint="eastAsia" w:ascii="Times New Roman" w:hAnsi="宋体" w:cs="Times New Roman"/>
                <w:sz w:val="24"/>
                <w:szCs w:val="24"/>
              </w:rPr>
              <w:t>2013年</w:t>
            </w:r>
          </w:p>
        </w:tc>
        <w:tc>
          <w:tcPr>
            <w:tcW w:w="1785" w:type="dxa"/>
            <w:vAlign w:val="top"/>
          </w:tcPr>
          <w:p>
            <w:pPr>
              <w:jc w:val="center"/>
              <w:rPr>
                <w:rFonts w:ascii="Times New Roman" w:hAnsi="宋体" w:cs="Times New Roman"/>
                <w:sz w:val="24"/>
                <w:szCs w:val="24"/>
              </w:rPr>
            </w:pPr>
            <w:r>
              <w:rPr>
                <w:rFonts w:hint="eastAsia" w:ascii="Times New Roman" w:hAnsi="宋体" w:cs="Times New Roman"/>
                <w:sz w:val="24"/>
                <w:szCs w:val="24"/>
              </w:rPr>
              <w:t>2014年</w:t>
            </w:r>
          </w:p>
        </w:tc>
        <w:tc>
          <w:tcPr>
            <w:tcW w:w="1969" w:type="dxa"/>
            <w:vAlign w:val="top"/>
          </w:tcPr>
          <w:p>
            <w:pPr>
              <w:jc w:val="center"/>
              <w:rPr>
                <w:rFonts w:ascii="Times New Roman" w:hAnsi="宋体" w:cs="Times New Roman"/>
                <w:sz w:val="24"/>
                <w:szCs w:val="24"/>
              </w:rPr>
            </w:pPr>
            <w:r>
              <w:rPr>
                <w:rFonts w:hint="eastAsia" w:ascii="Times New Roman" w:hAnsi="宋体" w:cs="Times New Roman"/>
                <w:sz w:val="24"/>
                <w:szCs w:val="24"/>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总资产（万元）</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负债率（%）</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主营业务收入（万元）</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税金（万元）</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784" w:type="dxa"/>
            <w:gridSpan w:val="2"/>
            <w:vAlign w:val="top"/>
          </w:tcPr>
          <w:p>
            <w:pPr>
              <w:rPr>
                <w:rFonts w:ascii="Times New Roman" w:hAnsi="宋体" w:cs="Times New Roman"/>
                <w:sz w:val="24"/>
                <w:szCs w:val="24"/>
              </w:rPr>
            </w:pPr>
            <w:r>
              <w:rPr>
                <w:rFonts w:hint="eastAsia" w:ascii="Times New Roman" w:hAnsi="宋体" w:cs="Times New Roman"/>
                <w:sz w:val="24"/>
                <w:szCs w:val="24"/>
              </w:rPr>
              <w:t>利润（万元）</w:t>
            </w:r>
          </w:p>
        </w:tc>
        <w:tc>
          <w:tcPr>
            <w:tcW w:w="1645" w:type="dxa"/>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restart"/>
            <w:vAlign w:val="top"/>
          </w:tcPr>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r>
              <w:rPr>
                <w:rFonts w:hint="eastAsia" w:ascii="Times New Roman" w:hAnsi="宋体" w:cs="Times New Roman"/>
                <w:sz w:val="24"/>
                <w:szCs w:val="24"/>
              </w:rPr>
              <w:t>项目成员单位信息</w:t>
            </w:r>
          </w:p>
        </w:tc>
        <w:tc>
          <w:tcPr>
            <w:tcW w:w="3429" w:type="dxa"/>
            <w:gridSpan w:val="3"/>
            <w:vAlign w:val="top"/>
          </w:tcPr>
          <w:p>
            <w:pPr>
              <w:jc w:val="center"/>
              <w:rPr>
                <w:rFonts w:ascii="Times New Roman" w:hAnsi="宋体" w:cs="Times New Roman"/>
                <w:sz w:val="24"/>
                <w:szCs w:val="24"/>
              </w:rPr>
            </w:pPr>
            <w:r>
              <w:rPr>
                <w:rFonts w:hint="eastAsia" w:ascii="Times New Roman" w:hAnsi="宋体" w:cs="Times New Roman"/>
                <w:sz w:val="24"/>
                <w:szCs w:val="24"/>
              </w:rPr>
              <w:t>单位名称</w:t>
            </w:r>
          </w:p>
        </w:tc>
        <w:tc>
          <w:tcPr>
            <w:tcW w:w="1785" w:type="dxa"/>
            <w:vAlign w:val="top"/>
          </w:tcPr>
          <w:p>
            <w:pPr>
              <w:jc w:val="center"/>
              <w:rPr>
                <w:rFonts w:ascii="Times New Roman" w:hAnsi="宋体" w:cs="Times New Roman"/>
                <w:sz w:val="24"/>
                <w:szCs w:val="24"/>
              </w:rPr>
            </w:pPr>
            <w:r>
              <w:rPr>
                <w:rFonts w:hint="eastAsia" w:ascii="Times New Roman" w:hAnsi="宋体" w:cs="Times New Roman"/>
                <w:sz w:val="24"/>
                <w:szCs w:val="24"/>
              </w:rPr>
              <w:t>单位性质</w:t>
            </w:r>
          </w:p>
        </w:tc>
        <w:tc>
          <w:tcPr>
            <w:tcW w:w="1969" w:type="dxa"/>
            <w:vAlign w:val="top"/>
          </w:tcPr>
          <w:p>
            <w:pPr>
              <w:jc w:val="center"/>
              <w:rPr>
                <w:rFonts w:ascii="Times New Roman" w:hAnsi="宋体" w:cs="Times New Roman"/>
                <w:sz w:val="24"/>
                <w:szCs w:val="24"/>
              </w:rPr>
            </w:pPr>
            <w:r>
              <w:rPr>
                <w:rFonts w:hint="eastAsia" w:ascii="Times New Roman" w:hAnsi="宋体" w:cs="Times New Roman"/>
                <w:sz w:val="24"/>
                <w:szCs w:val="24"/>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3429" w:type="dxa"/>
            <w:gridSpan w:val="3"/>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3429" w:type="dxa"/>
            <w:gridSpan w:val="3"/>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3429" w:type="dxa"/>
            <w:gridSpan w:val="3"/>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3429" w:type="dxa"/>
            <w:gridSpan w:val="3"/>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3429" w:type="dxa"/>
            <w:gridSpan w:val="3"/>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restart"/>
            <w:vAlign w:val="top"/>
          </w:tcPr>
          <w:p>
            <w:pPr>
              <w:rPr>
                <w:rFonts w:ascii="Times New Roman" w:hAnsi="宋体" w:cs="Times New Roman"/>
                <w:sz w:val="24"/>
                <w:szCs w:val="24"/>
              </w:rPr>
            </w:pPr>
            <w:r>
              <w:rPr>
                <w:rFonts w:ascii="Times New Roman" w:hAnsi="宋体" w:cs="Times New Roman"/>
                <w:sz w:val="24"/>
                <w:szCs w:val="24"/>
              </w:rPr>
              <w:t>项目技术负责人信息</w:t>
            </w:r>
          </w:p>
        </w:tc>
        <w:tc>
          <w:tcPr>
            <w:tcW w:w="1508" w:type="dxa"/>
            <w:vAlign w:val="top"/>
          </w:tcPr>
          <w:p>
            <w:pPr>
              <w:rPr>
                <w:rFonts w:ascii="Times New Roman" w:hAnsi="宋体" w:cs="Times New Roman"/>
                <w:sz w:val="24"/>
                <w:szCs w:val="24"/>
              </w:rPr>
            </w:pPr>
            <w:r>
              <w:rPr>
                <w:rFonts w:ascii="Times New Roman" w:hAnsi="宋体" w:cs="Times New Roman"/>
                <w:sz w:val="24"/>
                <w:szCs w:val="24"/>
              </w:rPr>
              <w:t>姓名</w:t>
            </w:r>
          </w:p>
        </w:tc>
        <w:tc>
          <w:tcPr>
            <w:tcW w:w="1921" w:type="dxa"/>
            <w:gridSpan w:val="2"/>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ascii="Times New Roman" w:hAnsi="宋体" w:cs="Times New Roman"/>
                <w:sz w:val="24"/>
                <w:szCs w:val="24"/>
              </w:rPr>
              <w:t>性别</w:t>
            </w: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508" w:type="dxa"/>
            <w:vAlign w:val="top"/>
          </w:tcPr>
          <w:p>
            <w:pPr>
              <w:rPr>
                <w:rFonts w:ascii="Times New Roman" w:hAnsi="宋体" w:cs="Times New Roman"/>
                <w:sz w:val="24"/>
                <w:szCs w:val="24"/>
              </w:rPr>
            </w:pPr>
            <w:r>
              <w:rPr>
                <w:rFonts w:ascii="Times New Roman" w:hAnsi="宋体" w:cs="Times New Roman"/>
                <w:sz w:val="24"/>
                <w:szCs w:val="24"/>
              </w:rPr>
              <w:t>学历</w:t>
            </w:r>
          </w:p>
        </w:tc>
        <w:tc>
          <w:tcPr>
            <w:tcW w:w="1921" w:type="dxa"/>
            <w:gridSpan w:val="2"/>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ascii="Times New Roman" w:hAnsi="宋体" w:cs="Times New Roman"/>
                <w:sz w:val="24"/>
                <w:szCs w:val="24"/>
              </w:rPr>
              <w:t>专业</w:t>
            </w: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508" w:type="dxa"/>
            <w:vAlign w:val="top"/>
          </w:tcPr>
          <w:p>
            <w:pPr>
              <w:rPr>
                <w:rFonts w:ascii="Times New Roman" w:hAnsi="宋体" w:cs="Times New Roman"/>
                <w:sz w:val="24"/>
                <w:szCs w:val="24"/>
              </w:rPr>
            </w:pPr>
            <w:r>
              <w:rPr>
                <w:rFonts w:ascii="Times New Roman" w:hAnsi="宋体" w:cs="Times New Roman"/>
                <w:sz w:val="24"/>
                <w:szCs w:val="24"/>
              </w:rPr>
              <w:t>职务</w:t>
            </w:r>
          </w:p>
        </w:tc>
        <w:tc>
          <w:tcPr>
            <w:tcW w:w="1921" w:type="dxa"/>
            <w:gridSpan w:val="2"/>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ascii="Times New Roman" w:hAnsi="宋体" w:cs="Times New Roman"/>
                <w:sz w:val="24"/>
                <w:szCs w:val="24"/>
              </w:rPr>
              <w:t>职称</w:t>
            </w: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508" w:type="dxa"/>
            <w:vAlign w:val="top"/>
          </w:tcPr>
          <w:p>
            <w:pPr>
              <w:rPr>
                <w:rFonts w:ascii="Times New Roman" w:hAnsi="宋体" w:cs="Times New Roman"/>
                <w:sz w:val="24"/>
                <w:szCs w:val="24"/>
              </w:rPr>
            </w:pPr>
            <w:r>
              <w:rPr>
                <w:rFonts w:ascii="Times New Roman" w:hAnsi="宋体" w:cs="Times New Roman"/>
                <w:sz w:val="24"/>
                <w:szCs w:val="24"/>
              </w:rPr>
              <w:t>固定电话</w:t>
            </w:r>
          </w:p>
        </w:tc>
        <w:tc>
          <w:tcPr>
            <w:tcW w:w="1921" w:type="dxa"/>
            <w:gridSpan w:val="2"/>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ascii="Times New Roman" w:hAnsi="宋体" w:cs="Times New Roman"/>
                <w:sz w:val="24"/>
                <w:szCs w:val="24"/>
              </w:rPr>
              <w:t>移动电话</w:t>
            </w:r>
          </w:p>
        </w:tc>
        <w:tc>
          <w:tcPr>
            <w:tcW w:w="1969"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vAlign w:val="top"/>
          </w:tcPr>
          <w:p>
            <w:pPr>
              <w:rPr>
                <w:rFonts w:ascii="Times New Roman" w:hAnsi="宋体" w:cs="Times New Roman"/>
                <w:sz w:val="24"/>
                <w:szCs w:val="24"/>
              </w:rPr>
            </w:pPr>
          </w:p>
        </w:tc>
        <w:tc>
          <w:tcPr>
            <w:tcW w:w="1508" w:type="dxa"/>
            <w:vAlign w:val="top"/>
          </w:tcPr>
          <w:p>
            <w:pPr>
              <w:rPr>
                <w:rFonts w:ascii="Times New Roman" w:hAnsi="宋体" w:cs="Times New Roman"/>
                <w:sz w:val="24"/>
                <w:szCs w:val="24"/>
              </w:rPr>
            </w:pPr>
            <w:r>
              <w:rPr>
                <w:rFonts w:ascii="Times New Roman" w:hAnsi="宋体" w:cs="Times New Roman"/>
                <w:sz w:val="24"/>
                <w:szCs w:val="24"/>
              </w:rPr>
              <w:t>传真号码</w:t>
            </w:r>
          </w:p>
        </w:tc>
        <w:tc>
          <w:tcPr>
            <w:tcW w:w="1921" w:type="dxa"/>
            <w:gridSpan w:val="2"/>
            <w:vAlign w:val="top"/>
          </w:tcPr>
          <w:p>
            <w:pPr>
              <w:rPr>
                <w:rFonts w:ascii="Times New Roman" w:hAnsi="宋体" w:cs="Times New Roman"/>
                <w:sz w:val="24"/>
                <w:szCs w:val="24"/>
              </w:rPr>
            </w:pPr>
          </w:p>
        </w:tc>
        <w:tc>
          <w:tcPr>
            <w:tcW w:w="1785" w:type="dxa"/>
            <w:vAlign w:val="top"/>
          </w:tcPr>
          <w:p>
            <w:pPr>
              <w:rPr>
                <w:rFonts w:ascii="Times New Roman" w:hAnsi="宋体" w:cs="Times New Roman"/>
                <w:sz w:val="24"/>
                <w:szCs w:val="24"/>
              </w:rPr>
            </w:pPr>
            <w:r>
              <w:rPr>
                <w:rFonts w:ascii="Times New Roman" w:hAnsi="宋体" w:cs="Times New Roman"/>
                <w:sz w:val="24"/>
                <w:szCs w:val="24"/>
              </w:rPr>
              <w:t>电子邮箱</w:t>
            </w:r>
          </w:p>
        </w:tc>
        <w:tc>
          <w:tcPr>
            <w:tcW w:w="1969" w:type="dxa"/>
            <w:vAlign w:val="top"/>
          </w:tcPr>
          <w:p>
            <w:pPr>
              <w:rPr>
                <w:rFonts w:ascii="Times New Roman" w:hAnsi="宋体" w:cs="Times New Roman"/>
                <w:sz w:val="24"/>
                <w:szCs w:val="24"/>
              </w:rPr>
            </w:pPr>
          </w:p>
        </w:tc>
      </w:tr>
    </w:tbl>
    <w:p>
      <w:pPr>
        <w:jc w:val="left"/>
        <w:rPr>
          <w:rFonts w:ascii="Times New Roman" w:hAnsi="黑体" w:eastAsia="黑体" w:cs="Times New Roman"/>
          <w:bCs/>
          <w:sz w:val="32"/>
          <w:szCs w:val="32"/>
        </w:rPr>
      </w:pPr>
      <w:r>
        <w:rPr>
          <w:rFonts w:ascii="Times New Roman" w:hAnsi="黑体" w:eastAsia="黑体" w:cs="Times New Roman"/>
          <w:bCs/>
          <w:sz w:val="32"/>
          <w:szCs w:val="32"/>
        </w:rPr>
        <w:br w:type="page"/>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项目简介（简要说明项目立项的必要性、项目目标、项目内容、考核指标、技术方案、</w:t>
            </w:r>
            <w:r>
              <w:rPr>
                <w:rFonts w:hint="eastAsia" w:ascii="Times New Roman" w:hAnsi="宋体" w:cs="Times New Roman"/>
                <w:sz w:val="24"/>
                <w:szCs w:val="24"/>
                <w:lang w:eastAsia="zh-CN"/>
              </w:rPr>
              <w:t>总投资及其构成、</w:t>
            </w:r>
            <w:r>
              <w:rPr>
                <w:rFonts w:hint="eastAsia" w:ascii="Times New Roman" w:hAnsi="宋体" w:cs="Times New Roman"/>
                <w:sz w:val="24"/>
                <w:szCs w:val="24"/>
              </w:rPr>
              <w:t>组织方式、绿色制造的工作基础，不超过3000字）</w:t>
            </w:r>
          </w:p>
          <w:p>
            <w:pPr>
              <w:rPr>
                <w:rFonts w:ascii="Times New Roman" w:hAnsi="宋体" w:cs="Times New Roman"/>
                <w:sz w:val="24"/>
                <w:szCs w:val="24"/>
              </w:rPr>
            </w:pPr>
            <w:r>
              <w:rPr>
                <w:rFonts w:hint="eastAsia" w:ascii="Times New Roman" w:hAnsi="宋体" w:cs="Times New Roman"/>
                <w:sz w:val="24"/>
                <w:szCs w:val="24"/>
              </w:rPr>
              <w:t>（一）立项的必要性</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（二）项目目标</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（三）项目内容</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（四）考核指标</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（五）技术方案</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（六）项目总投资及投资构成</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（七）组织方式</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r>
              <w:rPr>
                <w:rFonts w:hint="eastAsia" w:ascii="Times New Roman" w:hAnsi="宋体" w:cs="Times New Roman"/>
                <w:sz w:val="24"/>
                <w:szCs w:val="24"/>
              </w:rPr>
              <w:t>（八）绿色制造工作基础</w:t>
            </w:r>
          </w:p>
          <w:p>
            <w:pPr>
              <w:rPr>
                <w:rFonts w:ascii="Times New Roman" w:hAnsi="宋体" w:cs="Times New Roman"/>
                <w:sz w:val="24"/>
                <w:szCs w:val="24"/>
              </w:rPr>
            </w:pPr>
            <w:r>
              <w:rPr>
                <w:rFonts w:hint="eastAsia" w:ascii="Times New Roman" w:hAnsi="宋体" w:cs="Times New Roman"/>
                <w:sz w:val="24"/>
                <w:szCs w:val="24"/>
              </w:rPr>
              <w:t>（简要描述项目成员单位与项目实施相关的实力和绿色制造的基础，以往的业绩，专业人员能力等）</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pPr>
      <w:r>
        <w:rPr>
          <w:rFonts w:ascii="Times New Roman" w:hAnsi="黑体" w:eastAsia="黑体" w:cs="Times New Roman"/>
          <w:bCs/>
          <w:sz w:val="32"/>
          <w:szCs w:val="32"/>
        </w:rPr>
        <w:br w:type="page"/>
      </w:r>
      <w:r>
        <w:rPr>
          <w:rFonts w:hint="eastAsia" w:ascii="Times New Roman" w:hAnsi="黑体" w:eastAsia="黑体" w:cs="Times New Roman"/>
          <w:bCs/>
          <w:sz w:val="32"/>
          <w:szCs w:val="32"/>
        </w:rPr>
        <w:t>二、项目立项的必要性</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（一）项目建设的重要性</w:t>
            </w: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（二）项目所采用技术的先进性（主要技术指标、与国内外先进水平的比较，推广应用的经济、社会效益分析）</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（三）项目预期解决的绿色发展关键问题</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（四）项目对引领行业绿色发展、促进区域绿色转型、提高绿色国际竞争力的推动作用和积极影响</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pPr>
      <w:r>
        <w:rPr>
          <w:rFonts w:ascii="Times New Roman" w:hAnsi="黑体" w:eastAsia="黑体" w:cs="Times New Roman"/>
          <w:bCs/>
          <w:sz w:val="32"/>
          <w:szCs w:val="32"/>
        </w:rPr>
        <w:br w:type="page"/>
      </w:r>
      <w:r>
        <w:rPr>
          <w:rFonts w:hint="eastAsia" w:ascii="Times New Roman" w:hAnsi="黑体" w:eastAsia="黑体" w:cs="Times New Roman"/>
          <w:bCs/>
          <w:sz w:val="32"/>
          <w:szCs w:val="32"/>
        </w:rPr>
        <w:t>三、项目目标和任务</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（一）总体目标</w:t>
            </w: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1" w:hRule="atLeast"/>
        </w:trPr>
        <w:tc>
          <w:tcPr>
            <w:tcW w:w="8522" w:type="dxa"/>
            <w:vAlign w:val="top"/>
          </w:tcPr>
          <w:p>
            <w:pPr>
              <w:rPr>
                <w:rFonts w:ascii="Times New Roman" w:hAnsi="宋体" w:cs="Times New Roman"/>
                <w:sz w:val="24"/>
                <w:szCs w:val="24"/>
              </w:rPr>
            </w:pPr>
            <w:r>
              <w:rPr>
                <w:rFonts w:hint="eastAsia" w:ascii="Times New Roman" w:hAnsi="宋体" w:cs="Times New Roman"/>
                <w:sz w:val="24"/>
                <w:szCs w:val="24"/>
              </w:rPr>
              <w:t>（二）项目主要内容</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8" w:hRule="atLeast"/>
        </w:trPr>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（三）任务分解（明确项目的实施期限及年度任务分解）</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sectPr>
          <w:footerReference r:id="rId4" w:type="default"/>
          <w:pgSz w:w="11906" w:h="16838"/>
          <w:pgMar w:top="1440" w:right="1800" w:bottom="1440" w:left="1800" w:header="851" w:footer="992" w:gutter="0"/>
          <w:cols w:space="720" w:num="1"/>
          <w:docGrid w:type="lines" w:linePitch="312" w:charSpace="0"/>
        </w:sectPr>
      </w:pPr>
    </w:p>
    <w:tbl>
      <w:tblPr>
        <w:tblStyle w:val="15"/>
        <w:tblW w:w="14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95"/>
        <w:gridCol w:w="992"/>
        <w:gridCol w:w="993"/>
        <w:gridCol w:w="3402"/>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4090" w:type="dxa"/>
            <w:gridSpan w:val="6"/>
            <w:vAlign w:val="top"/>
          </w:tcPr>
          <w:p>
            <w:pPr>
              <w:jc w:val="left"/>
              <w:rPr>
                <w:rFonts w:ascii="Times New Roman" w:hAnsi="宋体" w:cs="Times New Roman"/>
                <w:sz w:val="24"/>
                <w:szCs w:val="24"/>
              </w:rPr>
            </w:pPr>
            <w:r>
              <w:rPr>
                <w:rFonts w:hint="eastAsia" w:ascii="Times New Roman" w:hAnsi="宋体" w:cs="Times New Roman"/>
                <w:sz w:val="24"/>
                <w:szCs w:val="24"/>
                <w:lang w:eastAsia="zh-CN"/>
              </w:rPr>
              <w:t>（四）考核指标（以表格化方式明确列示</w:t>
            </w:r>
            <w:r>
              <w:rPr>
                <w:rFonts w:hint="eastAsia" w:ascii="Times New Roman" w:hAnsi="宋体" w:cs="Times New Roman"/>
                <w:sz w:val="24"/>
                <w:szCs w:val="24"/>
                <w:lang w:val="en-US" w:eastAsia="zh-CN"/>
              </w:rPr>
              <w:t>3项评价指标具体的测算过程和测算依据，且期初期末测算方法须保持一致）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456"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序号</w:t>
            </w:r>
          </w:p>
        </w:tc>
        <w:tc>
          <w:tcPr>
            <w:tcW w:w="1495"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指标名称</w:t>
            </w:r>
          </w:p>
        </w:tc>
        <w:tc>
          <w:tcPr>
            <w:tcW w:w="992"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基期值</w:t>
            </w:r>
          </w:p>
        </w:tc>
        <w:tc>
          <w:tcPr>
            <w:tcW w:w="993"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预期值</w:t>
            </w:r>
          </w:p>
        </w:tc>
        <w:tc>
          <w:tcPr>
            <w:tcW w:w="3402"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测算过程</w:t>
            </w:r>
          </w:p>
        </w:tc>
        <w:tc>
          <w:tcPr>
            <w:tcW w:w="6752" w:type="dxa"/>
            <w:vAlign w:val="top"/>
          </w:tcPr>
          <w:p>
            <w:pPr>
              <w:jc w:val="center"/>
              <w:rPr>
                <w:rFonts w:hint="eastAsia" w:ascii="Times New Roman" w:hAnsi="宋体" w:cs="Times New Roman"/>
                <w:sz w:val="24"/>
                <w:szCs w:val="24"/>
              </w:rPr>
            </w:pPr>
            <w:r>
              <w:rPr>
                <w:rFonts w:hint="eastAsia" w:ascii="Times New Roman" w:hAnsi="宋体" w:cs="Times New Roman"/>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top"/>
          </w:tcPr>
          <w:p>
            <w:pPr>
              <w:rPr>
                <w:rFonts w:ascii="Times New Roman" w:hAnsi="宋体" w:cs="Times New Roman"/>
                <w:sz w:val="24"/>
                <w:szCs w:val="24"/>
              </w:rPr>
            </w:pPr>
            <w:r>
              <w:rPr>
                <w:rFonts w:hint="eastAsia" w:ascii="Times New Roman" w:hAnsi="宋体" w:cs="Times New Roman"/>
                <w:sz w:val="24"/>
                <w:szCs w:val="24"/>
              </w:rPr>
              <w:t>1</w:t>
            </w:r>
          </w:p>
        </w:tc>
        <w:tc>
          <w:tcPr>
            <w:tcW w:w="1495" w:type="dxa"/>
            <w:vAlign w:val="top"/>
          </w:tcPr>
          <w:p>
            <w:pPr>
              <w:rPr>
                <w:rFonts w:ascii="Times New Roman" w:hAnsi="宋体" w:cs="Times New Roman"/>
                <w:sz w:val="24"/>
                <w:szCs w:val="24"/>
              </w:rPr>
            </w:pPr>
            <w:r>
              <w:rPr>
                <w:rFonts w:hint="eastAsia" w:ascii="Times New Roman" w:hAnsi="宋体" w:cs="Times New Roman"/>
                <w:sz w:val="24"/>
                <w:szCs w:val="24"/>
              </w:rPr>
              <w:t>制造技术绿色化率（%）</w:t>
            </w:r>
          </w:p>
        </w:tc>
        <w:tc>
          <w:tcPr>
            <w:tcW w:w="992" w:type="dxa"/>
            <w:vAlign w:val="top"/>
          </w:tcPr>
          <w:p>
            <w:pPr>
              <w:rPr>
                <w:rFonts w:ascii="Times New Roman" w:hAnsi="宋体" w:cs="Times New Roman"/>
                <w:sz w:val="24"/>
                <w:szCs w:val="24"/>
              </w:rPr>
            </w:pPr>
          </w:p>
        </w:tc>
        <w:tc>
          <w:tcPr>
            <w:tcW w:w="993" w:type="dxa"/>
            <w:vAlign w:val="top"/>
          </w:tcPr>
          <w:p>
            <w:pPr>
              <w:rPr>
                <w:rFonts w:ascii="Times New Roman" w:hAnsi="宋体" w:cs="Times New Roman"/>
                <w:sz w:val="24"/>
                <w:szCs w:val="24"/>
              </w:rPr>
            </w:pPr>
          </w:p>
        </w:tc>
        <w:tc>
          <w:tcPr>
            <w:tcW w:w="3402" w:type="dxa"/>
            <w:vAlign w:val="center"/>
          </w:tcPr>
          <w:p>
            <w:pPr>
              <w:widowControl/>
              <w:jc w:val="left"/>
              <w:rPr>
                <w:rFonts w:ascii="宋体" w:hAnsi="宋体" w:cs="宋体"/>
                <w:kern w:val="0"/>
                <w:sz w:val="20"/>
                <w:szCs w:val="20"/>
              </w:rPr>
            </w:pPr>
            <w:r>
              <w:rPr>
                <w:rFonts w:hint="eastAsia" w:ascii="宋体" w:hAnsi="宋体" w:cs="宋体"/>
                <w:kern w:val="0"/>
                <w:sz w:val="20"/>
                <w:szCs w:val="20"/>
              </w:rPr>
              <w:t>制造技术绿色化率</w:t>
            </w:r>
            <w:r>
              <w:rPr>
                <w:rFonts w:ascii="宋体" w:hAnsi="宋体" w:cs="宋体"/>
                <w:kern w:val="0"/>
                <w:sz w:val="20"/>
                <w:szCs w:val="20"/>
              </w:rPr>
              <w:t>A=（A1+A2</w:t>
            </w: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2×</w:t>
            </w:r>
            <w:r>
              <w:rPr>
                <w:rFonts w:ascii="宋体" w:hAnsi="宋体" w:cs="宋体"/>
                <w:kern w:val="0"/>
                <w:sz w:val="20"/>
                <w:szCs w:val="20"/>
              </w:rPr>
              <w:t>100%</w:t>
            </w:r>
            <w:r>
              <w:rPr>
                <w:rFonts w:ascii="宋体" w:hAnsi="宋体" w:cs="宋体"/>
                <w:kern w:val="0"/>
                <w:sz w:val="20"/>
                <w:szCs w:val="20"/>
              </w:rPr>
              <w:br/>
            </w:r>
            <w:r>
              <w:rPr>
                <w:rFonts w:hint="eastAsia" w:ascii="宋体" w:hAnsi="宋体" w:cs="宋体"/>
                <w:kern w:val="0"/>
                <w:sz w:val="20"/>
                <w:szCs w:val="20"/>
              </w:rPr>
              <w:t>其中：</w:t>
            </w:r>
            <w:r>
              <w:rPr>
                <w:rFonts w:ascii="宋体" w:hAnsi="宋体" w:cs="宋体"/>
                <w:kern w:val="0"/>
                <w:sz w:val="20"/>
                <w:szCs w:val="20"/>
              </w:rPr>
              <w:br/>
            </w:r>
            <w:r>
              <w:rPr>
                <w:rFonts w:ascii="宋体" w:hAnsi="宋体" w:cs="宋体"/>
                <w:kern w:val="0"/>
                <w:sz w:val="20"/>
                <w:szCs w:val="20"/>
              </w:rPr>
              <w:t>A1=</w:t>
            </w:r>
            <w:r>
              <w:rPr>
                <w:rFonts w:hint="eastAsia" w:ascii="宋体" w:hAnsi="宋体" w:cs="宋体"/>
                <w:kern w:val="0"/>
                <w:sz w:val="20"/>
                <w:szCs w:val="20"/>
              </w:rPr>
              <w:t>绿色技术改造资金投入</w:t>
            </w:r>
            <w:r>
              <w:rPr>
                <w:rFonts w:ascii="宋体" w:hAnsi="宋体" w:cs="宋体"/>
                <w:kern w:val="0"/>
                <w:sz w:val="20"/>
                <w:szCs w:val="20"/>
              </w:rPr>
              <w:t>/</w:t>
            </w:r>
            <w:r>
              <w:rPr>
                <w:rFonts w:hint="eastAsia" w:ascii="宋体" w:hAnsi="宋体" w:cs="宋体"/>
                <w:kern w:val="0"/>
                <w:sz w:val="20"/>
                <w:szCs w:val="20"/>
              </w:rPr>
              <w:t>技术改造资金总投入；</w:t>
            </w:r>
            <w:r>
              <w:rPr>
                <w:rFonts w:ascii="宋体" w:hAnsi="宋体" w:cs="宋体"/>
                <w:kern w:val="0"/>
                <w:sz w:val="20"/>
                <w:szCs w:val="20"/>
              </w:rPr>
              <w:br/>
            </w:r>
            <w:r>
              <w:rPr>
                <w:rFonts w:ascii="宋体" w:hAnsi="宋体" w:cs="宋体"/>
                <w:kern w:val="0"/>
                <w:sz w:val="20"/>
                <w:szCs w:val="20"/>
              </w:rPr>
              <w:t>A2=</w:t>
            </w:r>
            <w:r>
              <w:rPr>
                <w:rFonts w:hint="eastAsia" w:ascii="宋体" w:hAnsi="宋体" w:cs="宋体"/>
                <w:kern w:val="0"/>
                <w:sz w:val="20"/>
                <w:szCs w:val="20"/>
              </w:rPr>
              <w:t>已实施绿色化改造的工序环节个数</w:t>
            </w:r>
            <w:r>
              <w:rPr>
                <w:rFonts w:ascii="宋体" w:hAnsi="宋体" w:cs="宋体"/>
                <w:kern w:val="0"/>
                <w:sz w:val="20"/>
                <w:szCs w:val="20"/>
              </w:rPr>
              <w:t>/</w:t>
            </w:r>
            <w:r>
              <w:rPr>
                <w:rFonts w:hint="eastAsia" w:ascii="宋体" w:hAnsi="宋体" w:cs="宋体"/>
                <w:kern w:val="0"/>
                <w:sz w:val="20"/>
                <w:szCs w:val="20"/>
              </w:rPr>
              <w:t>全部工序环节个数。</w:t>
            </w:r>
          </w:p>
          <w:p>
            <w:pPr>
              <w:rPr>
                <w:rFonts w:ascii="Times New Roman" w:hAnsi="宋体" w:cs="Times New Roman"/>
                <w:sz w:val="24"/>
                <w:szCs w:val="24"/>
              </w:rPr>
            </w:pPr>
          </w:p>
        </w:tc>
        <w:tc>
          <w:tcPr>
            <w:tcW w:w="6752" w:type="dxa"/>
            <w:vAlign w:val="center"/>
          </w:tcPr>
          <w:p>
            <w:pPr>
              <w:widowControl/>
              <w:numPr>
                <w:ilvl w:val="0"/>
                <w:numId w:val="1"/>
              </w:numPr>
              <w:jc w:val="left"/>
              <w:rPr>
                <w:rFonts w:ascii="宋体" w:hAnsi="宋体" w:cs="宋体"/>
                <w:kern w:val="0"/>
                <w:sz w:val="20"/>
                <w:szCs w:val="20"/>
              </w:rPr>
            </w:pPr>
            <w:r>
              <w:rPr>
                <w:rFonts w:hint="eastAsia" w:ascii="宋体" w:hAnsi="宋体" w:cs="宋体"/>
                <w:kern w:val="0"/>
                <w:sz w:val="20"/>
                <w:szCs w:val="20"/>
              </w:rPr>
              <w:t>A1、A2采用的绿色技术应选自省级以上政府相关部门发布的节能节水技术推荐目录、重大环保技术装备目录、清洁生产技术目录或推行方案、资源综合利用及再制造先进适用技术装备目录等相关绿色制造技术目录，或经国家级行业协会等认定的绿色制造新技术等。</w:t>
            </w:r>
          </w:p>
          <w:p>
            <w:pPr>
              <w:widowControl/>
              <w:numPr>
                <w:ilvl w:val="0"/>
                <w:numId w:val="1"/>
              </w:numPr>
              <w:jc w:val="left"/>
              <w:rPr>
                <w:rFonts w:ascii="宋体" w:hAnsi="宋体" w:cs="宋体"/>
                <w:kern w:val="0"/>
                <w:sz w:val="20"/>
                <w:szCs w:val="20"/>
              </w:rPr>
            </w:pPr>
            <w:r>
              <w:rPr>
                <w:rFonts w:hint="eastAsia" w:ascii="宋体" w:hAnsi="宋体" w:cs="宋体"/>
                <w:kern w:val="0"/>
                <w:sz w:val="20"/>
                <w:szCs w:val="20"/>
              </w:rPr>
              <w:t>绿色技术改造资金投入、技术改造资金总投入由企业相关投资报表计算得出，基期值测算时均取2015年当年值，预期值测算时取实施期（三年）累计值。</w:t>
            </w:r>
          </w:p>
          <w:p>
            <w:pPr>
              <w:rPr>
                <w:rFonts w:ascii="Times New Roman" w:hAnsi="宋体" w:cs="Times New Roman"/>
                <w:sz w:val="24"/>
                <w:szCs w:val="24"/>
              </w:rPr>
            </w:pPr>
            <w:r>
              <w:rPr>
                <w:rFonts w:hint="eastAsia" w:ascii="宋体" w:hAnsi="宋体" w:cs="宋体"/>
                <w:kern w:val="0"/>
                <w:sz w:val="20"/>
                <w:szCs w:val="20"/>
              </w:rPr>
              <w:t>3.已实施绿色化改造的工序环节个数的基期值和预期值分别指截至2015年底和实施期末的累计情况；全部工序环节个数由企业根据行业特点及本企业生产工艺布局情况合理确定，工序划分期初、期末应保持一致。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top"/>
          </w:tcPr>
          <w:p>
            <w:pPr>
              <w:rPr>
                <w:rFonts w:ascii="Times New Roman" w:hAnsi="宋体" w:cs="Times New Roman"/>
                <w:sz w:val="24"/>
                <w:szCs w:val="24"/>
              </w:rPr>
            </w:pPr>
            <w:r>
              <w:rPr>
                <w:rFonts w:hint="eastAsia" w:ascii="Times New Roman" w:hAnsi="宋体" w:cs="Times New Roman"/>
                <w:sz w:val="24"/>
                <w:szCs w:val="24"/>
              </w:rPr>
              <w:t>2</w:t>
            </w:r>
          </w:p>
        </w:tc>
        <w:tc>
          <w:tcPr>
            <w:tcW w:w="1495" w:type="dxa"/>
            <w:vAlign w:val="top"/>
          </w:tcPr>
          <w:p>
            <w:pPr>
              <w:rPr>
                <w:rFonts w:ascii="Times New Roman" w:hAnsi="宋体" w:cs="Times New Roman"/>
                <w:sz w:val="24"/>
                <w:szCs w:val="24"/>
              </w:rPr>
            </w:pPr>
            <w:r>
              <w:rPr>
                <w:rFonts w:hint="eastAsia" w:ascii="Times New Roman" w:hAnsi="宋体" w:cs="Times New Roman"/>
                <w:sz w:val="24"/>
                <w:szCs w:val="24"/>
              </w:rPr>
              <w:t>制造过程绿色化率（%）</w:t>
            </w:r>
          </w:p>
        </w:tc>
        <w:tc>
          <w:tcPr>
            <w:tcW w:w="992" w:type="dxa"/>
            <w:vAlign w:val="top"/>
          </w:tcPr>
          <w:p>
            <w:pPr>
              <w:rPr>
                <w:rFonts w:ascii="Times New Roman" w:hAnsi="宋体" w:cs="Times New Roman"/>
                <w:sz w:val="24"/>
                <w:szCs w:val="24"/>
              </w:rPr>
            </w:pPr>
          </w:p>
        </w:tc>
        <w:tc>
          <w:tcPr>
            <w:tcW w:w="993" w:type="dxa"/>
            <w:vAlign w:val="top"/>
          </w:tcPr>
          <w:p>
            <w:pPr>
              <w:rPr>
                <w:rFonts w:ascii="Times New Roman" w:hAnsi="宋体" w:cs="Times New Roman"/>
                <w:sz w:val="24"/>
                <w:szCs w:val="24"/>
              </w:rPr>
            </w:pPr>
          </w:p>
        </w:tc>
        <w:tc>
          <w:tcPr>
            <w:tcW w:w="3402" w:type="dxa"/>
            <w:vAlign w:val="center"/>
          </w:tcPr>
          <w:p>
            <w:pPr>
              <w:widowControl/>
              <w:jc w:val="left"/>
              <w:rPr>
                <w:rFonts w:ascii="Times New Roman" w:hAnsi="宋体" w:cs="Times New Roman"/>
                <w:sz w:val="24"/>
                <w:szCs w:val="24"/>
              </w:rPr>
            </w:pPr>
            <w:r>
              <w:rPr>
                <w:rFonts w:hint="eastAsia" w:ascii="宋体" w:hAnsi="宋体" w:cs="宋体"/>
                <w:kern w:val="0"/>
                <w:sz w:val="20"/>
                <w:szCs w:val="20"/>
              </w:rPr>
              <w:t>制造过程绿色化率B=（B1+B2+B3）/3×100%</w:t>
            </w:r>
            <w:r>
              <w:rPr>
                <w:rFonts w:hint="eastAsia" w:ascii="宋体" w:hAnsi="宋体" w:cs="宋体"/>
                <w:kern w:val="0"/>
                <w:sz w:val="20"/>
                <w:szCs w:val="20"/>
              </w:rPr>
              <w:br/>
            </w:r>
            <w:r>
              <w:rPr>
                <w:rFonts w:hint="eastAsia" w:ascii="宋体" w:hAnsi="宋体" w:cs="宋体"/>
                <w:kern w:val="0"/>
                <w:sz w:val="20"/>
                <w:szCs w:val="20"/>
              </w:rPr>
              <w:t>其中：</w:t>
            </w:r>
            <w:r>
              <w:rPr>
                <w:rFonts w:hint="eastAsia" w:ascii="宋体" w:hAnsi="宋体" w:cs="宋体"/>
                <w:kern w:val="0"/>
                <w:sz w:val="20"/>
                <w:szCs w:val="20"/>
              </w:rPr>
              <w:br/>
            </w:r>
            <w:r>
              <w:rPr>
                <w:rFonts w:hint="eastAsia" w:ascii="宋体" w:hAnsi="宋体" w:cs="宋体"/>
                <w:kern w:val="0"/>
                <w:sz w:val="20"/>
                <w:szCs w:val="20"/>
              </w:rPr>
              <w:t>B1=绿色物料使用量/同类物料总使用量；</w:t>
            </w:r>
            <w:r>
              <w:rPr>
                <w:rFonts w:hint="eastAsia" w:ascii="宋体" w:hAnsi="宋体" w:cs="宋体"/>
                <w:kern w:val="0"/>
                <w:sz w:val="20"/>
                <w:szCs w:val="20"/>
              </w:rPr>
              <w:br/>
            </w:r>
            <w:r>
              <w:rPr>
                <w:rFonts w:hint="eastAsia" w:ascii="宋体" w:hAnsi="宋体" w:cs="宋体"/>
                <w:kern w:val="0"/>
                <w:sz w:val="20"/>
                <w:szCs w:val="20"/>
              </w:rPr>
              <w:t>B2=高效节能装备使用量/同类装备总使用量；</w:t>
            </w:r>
            <w:r>
              <w:rPr>
                <w:rFonts w:hint="eastAsia" w:ascii="宋体" w:hAnsi="宋体" w:cs="宋体"/>
                <w:kern w:val="0"/>
                <w:sz w:val="20"/>
                <w:szCs w:val="20"/>
              </w:rPr>
              <w:br/>
            </w:r>
            <w:r>
              <w:rPr>
                <w:rFonts w:hint="eastAsia" w:ascii="宋体" w:hAnsi="宋体" w:cs="宋体"/>
                <w:kern w:val="0"/>
                <w:sz w:val="20"/>
                <w:szCs w:val="20"/>
              </w:rPr>
              <w:t>B3=绿色产品产值/企业总产值。</w:t>
            </w:r>
          </w:p>
        </w:tc>
        <w:tc>
          <w:tcPr>
            <w:tcW w:w="6752" w:type="dxa"/>
            <w:vAlign w:val="center"/>
          </w:tcPr>
          <w:p>
            <w:pPr>
              <w:widowControl w:val="0"/>
              <w:jc w:val="both"/>
              <w:rPr>
                <w:rFonts w:ascii="宋体" w:hAnsi="宋体" w:cs="宋体"/>
                <w:kern w:val="0"/>
                <w:sz w:val="20"/>
                <w:szCs w:val="20"/>
              </w:rPr>
            </w:pPr>
            <w:r>
              <w:rPr>
                <w:rFonts w:hint="eastAsia" w:ascii="宋体" w:hAnsi="宋体" w:cs="宋体"/>
                <w:kern w:val="0"/>
                <w:sz w:val="20"/>
                <w:szCs w:val="20"/>
              </w:rPr>
              <w:t>1.绿色物料应选自省级以上政府相关部门发布的资源综合利用产品目录、有毒有害原料（产品）替代目录等，或利用再生资源及产业废弃物等作为原料；使用量根据物料台账测算。</w:t>
            </w:r>
          </w:p>
          <w:p>
            <w:pPr>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高效节能装备包括高效锅炉窑炉、高效电机、变压器及再制造机电设备等，应列入节能机电设备（产品）推荐目录、能效之星产品目录、再制造产品目录等</w:t>
            </w:r>
            <w:r>
              <w:rPr>
                <w:rFonts w:hint="eastAsia" w:ascii="宋体" w:hAnsi="宋体" w:cs="宋体"/>
                <w:kern w:val="0"/>
                <w:sz w:val="20"/>
                <w:szCs w:val="20"/>
                <w:lang w:eastAsia="zh-CN"/>
              </w:rPr>
              <w:t>国家级、省级节能产品设备目录</w:t>
            </w:r>
            <w:r>
              <w:rPr>
                <w:rFonts w:hint="eastAsia" w:ascii="宋体" w:hAnsi="宋体" w:cs="宋体"/>
                <w:kern w:val="0"/>
                <w:sz w:val="20"/>
                <w:szCs w:val="20"/>
              </w:rPr>
              <w:t>。使用量根据设备台账测算。</w:t>
            </w:r>
          </w:p>
          <w:p>
            <w:pPr>
              <w:rPr>
                <w:rFonts w:ascii="Times New Roman" w:hAnsi="宋体" w:cs="Times New Roman"/>
                <w:sz w:val="24"/>
                <w:szCs w:val="24"/>
              </w:rPr>
            </w:pPr>
            <w:r>
              <w:rPr>
                <w:rFonts w:ascii="宋体" w:hAnsi="宋体" w:cs="宋体"/>
                <w:kern w:val="0"/>
                <w:sz w:val="20"/>
                <w:szCs w:val="20"/>
              </w:rPr>
              <w:t>3.绿色产品</w:t>
            </w:r>
            <w:r>
              <w:rPr>
                <w:rFonts w:hint="eastAsia" w:ascii="宋体" w:hAnsi="宋体" w:cs="宋体"/>
                <w:kern w:val="0"/>
                <w:sz w:val="20"/>
                <w:szCs w:val="20"/>
              </w:rPr>
              <w:t>包括已通过认证的节能节水低碳产品等，以及经省级以上政府相关部门评价认定的绿色（生态）设计产品，能效、环保、水效领跑产品，资源综合利用产品和再制造产品等。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top"/>
          </w:tcPr>
          <w:p>
            <w:pPr>
              <w:rPr>
                <w:rFonts w:ascii="Times New Roman" w:hAnsi="宋体" w:cs="Times New Roman"/>
                <w:sz w:val="24"/>
                <w:szCs w:val="24"/>
              </w:rPr>
            </w:pPr>
            <w:r>
              <w:rPr>
                <w:rFonts w:hint="eastAsia" w:ascii="Times New Roman" w:hAnsi="宋体" w:cs="Times New Roman"/>
                <w:sz w:val="24"/>
                <w:szCs w:val="24"/>
              </w:rPr>
              <w:t>3</w:t>
            </w:r>
          </w:p>
        </w:tc>
        <w:tc>
          <w:tcPr>
            <w:tcW w:w="1495" w:type="dxa"/>
            <w:vAlign w:val="top"/>
          </w:tcPr>
          <w:p>
            <w:pPr>
              <w:rPr>
                <w:rFonts w:ascii="Times New Roman" w:hAnsi="宋体" w:cs="Times New Roman"/>
                <w:sz w:val="24"/>
                <w:szCs w:val="24"/>
              </w:rPr>
            </w:pPr>
            <w:r>
              <w:rPr>
                <w:rFonts w:hint="eastAsia" w:ascii="Times New Roman" w:hAnsi="宋体" w:cs="Times New Roman"/>
                <w:sz w:val="24"/>
                <w:szCs w:val="24"/>
              </w:rPr>
              <w:t>资源环境影响度（%）</w:t>
            </w:r>
          </w:p>
        </w:tc>
        <w:tc>
          <w:tcPr>
            <w:tcW w:w="992" w:type="dxa"/>
            <w:vAlign w:val="top"/>
          </w:tcPr>
          <w:p>
            <w:pPr>
              <w:rPr>
                <w:rFonts w:ascii="Times New Roman" w:hAnsi="宋体" w:cs="Times New Roman"/>
                <w:sz w:val="24"/>
                <w:szCs w:val="24"/>
              </w:rPr>
            </w:pPr>
          </w:p>
        </w:tc>
        <w:tc>
          <w:tcPr>
            <w:tcW w:w="993" w:type="dxa"/>
            <w:vAlign w:val="top"/>
          </w:tcPr>
          <w:p>
            <w:pPr>
              <w:rPr>
                <w:rFonts w:ascii="Times New Roman" w:hAnsi="宋体" w:cs="Times New Roman"/>
                <w:sz w:val="24"/>
                <w:szCs w:val="24"/>
              </w:rPr>
            </w:pPr>
          </w:p>
        </w:tc>
        <w:tc>
          <w:tcPr>
            <w:tcW w:w="3402" w:type="dxa"/>
            <w:vAlign w:val="center"/>
          </w:tcPr>
          <w:p>
            <w:pPr>
              <w:widowControl/>
              <w:jc w:val="left"/>
              <w:rPr>
                <w:rFonts w:ascii="宋体" w:hAnsi="宋体" w:cs="宋体"/>
                <w:kern w:val="0"/>
                <w:sz w:val="20"/>
                <w:szCs w:val="20"/>
              </w:rPr>
            </w:pPr>
            <w:r>
              <w:rPr>
                <w:rFonts w:hint="eastAsia" w:ascii="宋体" w:hAnsi="宋体" w:cs="宋体"/>
                <w:kern w:val="0"/>
                <w:sz w:val="20"/>
                <w:szCs w:val="20"/>
              </w:rPr>
              <w:t>绿色制造资源环境影响度C=（C1+C2+C3）/3×100%</w:t>
            </w:r>
            <w:r>
              <w:rPr>
                <w:rFonts w:hint="eastAsia" w:ascii="宋体" w:hAnsi="宋体" w:cs="宋体"/>
                <w:kern w:val="0"/>
                <w:sz w:val="20"/>
                <w:szCs w:val="20"/>
              </w:rPr>
              <w:br/>
            </w:r>
            <w:r>
              <w:rPr>
                <w:rFonts w:hint="eastAsia" w:ascii="宋体" w:hAnsi="宋体" w:cs="宋体"/>
                <w:kern w:val="0"/>
                <w:sz w:val="20"/>
                <w:szCs w:val="20"/>
              </w:rPr>
              <w:t>C1=单位产品综合能耗/行业基准值；</w:t>
            </w:r>
          </w:p>
          <w:p>
            <w:pPr>
              <w:rPr>
                <w:rFonts w:ascii="Times New Roman" w:hAnsi="宋体" w:cs="Times New Roman"/>
                <w:sz w:val="24"/>
                <w:szCs w:val="24"/>
              </w:rPr>
            </w:pPr>
            <w:r>
              <w:rPr>
                <w:rFonts w:hint="eastAsia" w:ascii="宋体" w:hAnsi="宋体" w:cs="宋体"/>
                <w:kern w:val="0"/>
                <w:sz w:val="20"/>
                <w:szCs w:val="20"/>
              </w:rPr>
              <w:t>C2=单位产品取水量/行业基准值；</w:t>
            </w:r>
            <w:r>
              <w:rPr>
                <w:rFonts w:hint="eastAsia" w:ascii="宋体" w:hAnsi="宋体" w:cs="宋体"/>
                <w:kern w:val="0"/>
                <w:sz w:val="20"/>
                <w:szCs w:val="20"/>
              </w:rPr>
              <w:br/>
            </w:r>
            <w:r>
              <w:rPr>
                <w:rFonts w:hint="eastAsia" w:ascii="宋体" w:hAnsi="宋体" w:cs="宋体"/>
                <w:kern w:val="0"/>
                <w:sz w:val="20"/>
                <w:szCs w:val="20"/>
              </w:rPr>
              <w:t>C3=单位产品污染物产生量/行业基准值。</w:t>
            </w:r>
          </w:p>
        </w:tc>
        <w:tc>
          <w:tcPr>
            <w:tcW w:w="6752" w:type="dxa"/>
            <w:vAlign w:val="center"/>
          </w:tcPr>
          <w:p>
            <w:pPr>
              <w:widowControl/>
              <w:jc w:val="left"/>
              <w:rPr>
                <w:rFonts w:ascii="宋体" w:hAnsi="宋体" w:cs="宋体"/>
                <w:kern w:val="0"/>
                <w:sz w:val="20"/>
                <w:szCs w:val="20"/>
              </w:rPr>
            </w:pPr>
            <w:r>
              <w:rPr>
                <w:rFonts w:hint="eastAsia" w:ascii="宋体" w:hAnsi="宋体" w:cs="宋体"/>
                <w:kern w:val="0"/>
                <w:sz w:val="20"/>
                <w:szCs w:val="20"/>
              </w:rPr>
              <w:t>1.能耗、水耗的行业基准值根据国家发布的单位产品能耗限额标准、取水定额标准的先进值等选定。未发布国家标准的，可依序选用行业标准、地方标准或省级以上政府相关部门发布的行业领跑（标杆）值等。</w:t>
            </w:r>
          </w:p>
          <w:p>
            <w:pPr>
              <w:widowControl/>
              <w:numPr>
                <w:ilvl w:val="0"/>
                <w:numId w:val="2"/>
              </w:numPr>
              <w:jc w:val="left"/>
              <w:rPr>
                <w:rFonts w:ascii="宋体" w:hAnsi="宋体" w:cs="宋体"/>
                <w:kern w:val="0"/>
                <w:sz w:val="20"/>
                <w:szCs w:val="20"/>
              </w:rPr>
            </w:pPr>
            <w:r>
              <w:rPr>
                <w:rFonts w:hint="eastAsia" w:ascii="宋体" w:hAnsi="宋体" w:cs="宋体"/>
                <w:kern w:val="0"/>
                <w:sz w:val="20"/>
                <w:szCs w:val="20"/>
              </w:rPr>
              <w:t>污染物产生量的行业基准值依照行业清洁生产评价指标体系或行业清洁生产标准的I级基准值选定。无相关标准的，参照工业源产排污系数手册确定。污染物类型依据清洁生产标准和行业特点选定。</w:t>
            </w:r>
          </w:p>
          <w:p>
            <w:pPr>
              <w:widowControl/>
              <w:numPr>
                <w:ilvl w:val="0"/>
                <w:numId w:val="3"/>
              </w:numPr>
              <w:jc w:val="left"/>
              <w:rPr>
                <w:rFonts w:ascii="Times New Roman" w:hAnsi="宋体" w:cs="Times New Roman"/>
                <w:sz w:val="24"/>
                <w:szCs w:val="24"/>
              </w:rPr>
            </w:pPr>
            <w:r>
              <w:rPr>
                <w:rFonts w:hint="eastAsia" w:ascii="宋体" w:hAnsi="宋体" w:cs="宋体"/>
                <w:kern w:val="0"/>
                <w:sz w:val="20"/>
                <w:szCs w:val="20"/>
              </w:rPr>
              <w:t>单位产品能耗、水耗根据企业物料台账及相关内部统计数据计算得出，单位产品污染物产生量根据环保监测或清洁生产审核数据核算。</w:t>
            </w:r>
          </w:p>
        </w:tc>
      </w:tr>
    </w:tbl>
    <w:p>
      <w:r>
        <w:rPr>
          <w:rFonts w:hint="eastAsia"/>
        </w:rPr>
        <w:t>注：1. B1、B2及C1、C2、C3采用算数平均法测算多种物料、多种装备、多种产品、多种污染物的指标平均值</w:t>
      </w:r>
    </w:p>
    <w:p>
      <w:pPr>
        <w:numPr>
          <w:ilvl w:val="0"/>
          <w:numId w:val="4"/>
        </w:numPr>
        <w:ind w:firstLine="420" w:firstLineChars="200"/>
      </w:pPr>
      <w:r>
        <w:rPr>
          <w:rFonts w:hint="eastAsia"/>
        </w:rPr>
        <w:t>基期值以2015年作为基准年测算，预期值根据项目实施期末测算；基期值和预期值测算方法应保持一致</w:t>
      </w:r>
    </w:p>
    <w:p>
      <w:pPr>
        <w:numPr>
          <w:ilvl w:val="0"/>
          <w:numId w:val="4"/>
        </w:numPr>
        <w:ind w:firstLine="420" w:firstLineChars="200"/>
      </w:pPr>
      <w:r>
        <w:rPr>
          <w:rFonts w:hint="eastAsia"/>
        </w:rPr>
        <w:t>各指标应详细列明测算过程，并根据本表测算依据要求提供相关证明材料</w:t>
      </w:r>
    </w:p>
    <w:p>
      <w:pPr>
        <w:ind w:firstLine="605" w:firstLineChars="189"/>
        <w:jc w:val="left"/>
        <w:rPr>
          <w:rFonts w:ascii="Times New Roman" w:hAnsi="黑体" w:eastAsia="黑体" w:cs="Times New Roman"/>
          <w:bCs/>
          <w:sz w:val="32"/>
          <w:szCs w:val="32"/>
        </w:rPr>
      </w:pPr>
    </w:p>
    <w:p>
      <w:pPr>
        <w:ind w:firstLine="605" w:firstLineChars="189"/>
        <w:jc w:val="left"/>
        <w:rPr>
          <w:rFonts w:ascii="Times New Roman" w:hAnsi="黑体" w:eastAsia="黑体" w:cs="Times New Roman"/>
          <w:bCs/>
          <w:sz w:val="32"/>
          <w:szCs w:val="32"/>
        </w:rPr>
      </w:pPr>
    </w:p>
    <w:p>
      <w:pPr>
        <w:ind w:firstLine="605" w:firstLineChars="189"/>
        <w:jc w:val="left"/>
        <w:rPr>
          <w:rFonts w:ascii="Times New Roman" w:hAnsi="黑体" w:eastAsia="黑体" w:cs="Times New Roman"/>
          <w:bCs/>
          <w:sz w:val="32"/>
          <w:szCs w:val="32"/>
        </w:rPr>
        <w:sectPr>
          <w:pgSz w:w="16838" w:h="11906" w:orient="landscape"/>
          <w:pgMar w:top="1800" w:right="1440" w:bottom="1800" w:left="1440" w:header="851" w:footer="992" w:gutter="0"/>
          <w:cols w:space="720" w:num="1"/>
          <w:docGrid w:type="lines" w:linePitch="312" w:charSpace="0"/>
        </w:sectPr>
      </w:pPr>
    </w:p>
    <w:p>
      <w:pPr>
        <w:ind w:firstLine="925" w:firstLineChars="289"/>
        <w:jc w:val="left"/>
        <w:rPr>
          <w:rFonts w:ascii="Times New Roman" w:hAnsi="黑体" w:eastAsia="黑体" w:cs="Times New Roman"/>
          <w:bCs/>
          <w:sz w:val="32"/>
          <w:szCs w:val="32"/>
        </w:rPr>
      </w:pPr>
      <w:r>
        <w:rPr>
          <w:rFonts w:hint="eastAsia" w:ascii="Times New Roman" w:hAnsi="黑体" w:eastAsia="黑体" w:cs="Times New Roman"/>
          <w:bCs/>
          <w:sz w:val="32"/>
          <w:szCs w:val="32"/>
        </w:rPr>
        <w:t>四、项目技术方案</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（一）项目技术路线（说明项目是采用国际标准还是自主研发；主要技术指标，及其与国内外先进水平的比较，说明项目技术路线的先进性和可行性）</w:t>
            </w: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p>
            <w:pPr>
              <w:jc w:val="cente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（二）项目的技术难点和主要创新点</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ascii="Times New Roman" w:hAnsi="宋体" w:cs="Times New Roman"/>
                <w:sz w:val="24"/>
                <w:szCs w:val="24"/>
              </w:rPr>
            </w:pPr>
            <w:r>
              <w:rPr>
                <w:rFonts w:hint="eastAsia" w:ascii="Times New Roman" w:hAnsi="宋体" w:cs="Times New Roman"/>
                <w:sz w:val="24"/>
                <w:szCs w:val="24"/>
              </w:rPr>
              <w:t>（三）项目的市场分析和技术成果应用分析</w:t>
            </w: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p>
            <w:pPr>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pPr>
      <w:r>
        <w:rPr>
          <w:rFonts w:ascii="Times New Roman" w:hAnsi="黑体" w:eastAsia="黑体" w:cs="Times New Roman"/>
          <w:bCs/>
          <w:sz w:val="32"/>
          <w:szCs w:val="32"/>
        </w:rPr>
        <w:br w:type="page"/>
      </w:r>
      <w:r>
        <w:rPr>
          <w:rFonts w:hint="eastAsia" w:ascii="Times New Roman" w:hAnsi="黑体" w:eastAsia="黑体" w:cs="Times New Roman"/>
          <w:bCs/>
          <w:sz w:val="32"/>
          <w:szCs w:val="32"/>
        </w:rPr>
        <w:t>五、经费概算</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6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1" w:type="dxa"/>
            <w:gridSpan w:val="2"/>
            <w:vAlign w:val="top"/>
          </w:tcPr>
          <w:p>
            <w:pPr>
              <w:jc w:val="center"/>
              <w:rPr>
                <w:rFonts w:ascii="Times New Roman" w:hAnsi="宋体" w:cs="Times New Roman"/>
                <w:sz w:val="24"/>
                <w:szCs w:val="24"/>
              </w:rPr>
            </w:pPr>
            <w:r>
              <w:rPr>
                <w:rFonts w:hint="eastAsia" w:ascii="Times New Roman" w:hAnsi="宋体" w:cs="Times New Roman"/>
                <w:sz w:val="24"/>
                <w:szCs w:val="24"/>
              </w:rPr>
              <w:t>总经费（万元）</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jc w:val="center"/>
              <w:rPr>
                <w:rFonts w:ascii="Times New Roman" w:hAnsi="宋体" w:cs="Times New Roman"/>
                <w:sz w:val="24"/>
                <w:szCs w:val="24"/>
              </w:rPr>
            </w:pPr>
            <w:r>
              <w:rPr>
                <w:rFonts w:hint="eastAsia" w:ascii="Times New Roman" w:hAnsi="宋体" w:cs="Times New Roman"/>
                <w:sz w:val="24"/>
                <w:szCs w:val="24"/>
              </w:rPr>
              <w:t>序号</w:t>
            </w:r>
          </w:p>
        </w:tc>
        <w:tc>
          <w:tcPr>
            <w:tcW w:w="4864" w:type="dxa"/>
            <w:vAlign w:val="top"/>
          </w:tcPr>
          <w:p>
            <w:pPr>
              <w:jc w:val="center"/>
              <w:rPr>
                <w:rFonts w:ascii="Times New Roman" w:hAnsi="宋体" w:cs="Times New Roman"/>
                <w:sz w:val="24"/>
                <w:szCs w:val="24"/>
              </w:rPr>
            </w:pPr>
            <w:r>
              <w:rPr>
                <w:rFonts w:hint="eastAsia" w:ascii="Times New Roman" w:hAnsi="宋体" w:cs="Times New Roman"/>
                <w:sz w:val="24"/>
                <w:szCs w:val="24"/>
              </w:rPr>
              <w:t>支出科目</w:t>
            </w:r>
          </w:p>
        </w:tc>
        <w:tc>
          <w:tcPr>
            <w:tcW w:w="2841" w:type="dxa"/>
            <w:vAlign w:val="top"/>
          </w:tcPr>
          <w:p>
            <w:pPr>
              <w:jc w:val="center"/>
              <w:rPr>
                <w:rFonts w:ascii="Times New Roman" w:hAnsi="宋体" w:cs="Times New Roman"/>
                <w:sz w:val="24"/>
                <w:szCs w:val="24"/>
              </w:rPr>
            </w:pPr>
            <w:r>
              <w:rPr>
                <w:rFonts w:hint="eastAsia" w:ascii="Times New Roman" w:hAnsi="宋体" w:cs="Times New Roman"/>
                <w:sz w:val="24"/>
                <w:szCs w:val="24"/>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1</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设备费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2</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测试化验加工费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3</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材料费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4</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燃料动力费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5</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会议费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6</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差旅费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7</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合作与交流费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8</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出版/文献/信息传播/知识产权事物费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9</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劳务费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10</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人员费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11</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专家咨询费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12</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管理费</w:t>
            </w:r>
          </w:p>
        </w:tc>
        <w:tc>
          <w:tcPr>
            <w:tcW w:w="2841" w:type="dxa"/>
            <w:vAlign w:val="top"/>
          </w:tcPr>
          <w:p>
            <w:pPr>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rPr>
                <w:rFonts w:ascii="Times New Roman" w:hAnsi="宋体" w:cs="Times New Roman"/>
                <w:sz w:val="24"/>
                <w:szCs w:val="24"/>
              </w:rPr>
            </w:pPr>
            <w:r>
              <w:rPr>
                <w:rFonts w:hint="eastAsia" w:ascii="Times New Roman" w:hAnsi="宋体" w:cs="Times New Roman"/>
                <w:sz w:val="24"/>
                <w:szCs w:val="24"/>
              </w:rPr>
              <w:t>13</w:t>
            </w:r>
          </w:p>
        </w:tc>
        <w:tc>
          <w:tcPr>
            <w:tcW w:w="4864" w:type="dxa"/>
            <w:vAlign w:val="top"/>
          </w:tcPr>
          <w:p>
            <w:pPr>
              <w:rPr>
                <w:rFonts w:ascii="Times New Roman" w:hAnsi="宋体" w:cs="Times New Roman"/>
                <w:sz w:val="24"/>
                <w:szCs w:val="24"/>
              </w:rPr>
            </w:pPr>
            <w:r>
              <w:rPr>
                <w:rFonts w:hint="eastAsia" w:ascii="Times New Roman" w:hAnsi="宋体" w:cs="Times New Roman"/>
                <w:sz w:val="24"/>
                <w:szCs w:val="24"/>
              </w:rPr>
              <w:t>其他支出（请注明）</w:t>
            </w:r>
          </w:p>
        </w:tc>
        <w:tc>
          <w:tcPr>
            <w:tcW w:w="2841" w:type="dxa"/>
            <w:vAlign w:val="top"/>
          </w:tcPr>
          <w:p>
            <w:pPr>
              <w:rPr>
                <w:rFonts w:ascii="Times New Roman" w:hAnsi="宋体" w:cs="Times New Roman"/>
                <w:sz w:val="24"/>
                <w:szCs w:val="24"/>
              </w:rPr>
            </w:pPr>
          </w:p>
        </w:tc>
      </w:tr>
    </w:tbl>
    <w:p>
      <w:pPr>
        <w:ind w:firstLine="454" w:firstLineChars="189"/>
        <w:jc w:val="left"/>
        <w:rPr>
          <w:rFonts w:ascii="Times New Roman" w:hAnsi="宋体" w:cs="Times New Roman"/>
          <w:sz w:val="24"/>
          <w:szCs w:val="24"/>
        </w:rPr>
      </w:pP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项目投资构成</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项目筹资方案（项目资金来源及可靠性分析；所列项目整体（含子项）未得到中央财政资金支持，已申报其他渠道中央财政资金支持的项目不得重复申报）</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联合体各成员单位资金分配方案</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pPr>
      <w:r>
        <w:rPr>
          <w:rFonts w:ascii="Times New Roman" w:hAnsi="黑体" w:eastAsia="黑体" w:cs="Times New Roman"/>
          <w:bCs/>
          <w:sz w:val="32"/>
          <w:szCs w:val="32"/>
        </w:rPr>
        <w:br w:type="page"/>
      </w:r>
      <w:r>
        <w:rPr>
          <w:rFonts w:hint="eastAsia" w:ascii="Times New Roman" w:hAnsi="黑体" w:eastAsia="黑体" w:cs="Times New Roman"/>
          <w:bCs/>
          <w:sz w:val="32"/>
          <w:szCs w:val="32"/>
        </w:rPr>
        <w:t>六、项目组织方式及管理机制</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（项目组织方式和机制，产学研用结合，创新人才队伍的建设和培养等）</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bl>
    <w:p>
      <w:pPr>
        <w:ind w:firstLine="605" w:firstLineChars="189"/>
        <w:jc w:val="left"/>
        <w:rPr>
          <w:rFonts w:ascii="Times New Roman" w:hAnsi="黑体" w:eastAsia="黑体" w:cs="Times New Roman"/>
          <w:bCs/>
          <w:sz w:val="32"/>
          <w:szCs w:val="32"/>
        </w:rPr>
      </w:pPr>
      <w:r>
        <w:rPr>
          <w:rFonts w:ascii="Times New Roman" w:hAnsi="黑体" w:eastAsia="黑体" w:cs="Times New Roman"/>
          <w:bCs/>
          <w:sz w:val="32"/>
          <w:szCs w:val="32"/>
        </w:rPr>
        <w:t>七</w:t>
      </w:r>
      <w:r>
        <w:rPr>
          <w:rFonts w:hint="eastAsia" w:ascii="Times New Roman" w:hAnsi="黑体" w:eastAsia="黑体" w:cs="Times New Roman"/>
          <w:bCs/>
          <w:sz w:val="32"/>
          <w:szCs w:val="32"/>
        </w:rPr>
        <w:t>、</w:t>
      </w:r>
      <w:r>
        <w:rPr>
          <w:rFonts w:ascii="Times New Roman" w:hAnsi="黑体" w:eastAsia="黑体" w:cs="Times New Roman"/>
          <w:bCs/>
          <w:sz w:val="32"/>
          <w:szCs w:val="32"/>
        </w:rPr>
        <w:t>风险分析及对策</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（市场、技术、投融资、政策等方面的风险分析及其对策）</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Times New Roman" w:eastAsia="仿宋_GB2312" w:cs="Times New Roman"/>
                <w:sz w:val="32"/>
                <w:szCs w:val="32"/>
              </w:rPr>
            </w:pPr>
          </w:p>
        </w:tc>
      </w:tr>
    </w:tbl>
    <w:p>
      <w:pPr>
        <w:ind w:firstLine="605" w:firstLineChars="189"/>
        <w:rPr>
          <w:rFonts w:ascii="Times New Roman" w:hAnsi="黑体" w:eastAsia="黑体" w:cs="Times New Roman"/>
          <w:bCs/>
          <w:sz w:val="32"/>
          <w:szCs w:val="32"/>
        </w:rPr>
      </w:pPr>
      <w:r>
        <w:rPr>
          <w:rFonts w:ascii="Times New Roman" w:hAnsi="Times New Roman" w:eastAsia="仿宋_GB2312" w:cs="Times New Roman"/>
          <w:sz w:val="32"/>
          <w:szCs w:val="32"/>
        </w:rPr>
        <w:br w:type="page"/>
      </w:r>
      <w:r>
        <w:rPr>
          <w:rFonts w:ascii="Times New Roman" w:hAnsi="黑体" w:eastAsia="黑体" w:cs="Times New Roman"/>
          <w:bCs/>
          <w:sz w:val="32"/>
          <w:szCs w:val="32"/>
        </w:rPr>
        <w:t>八</w:t>
      </w:r>
      <w:r>
        <w:rPr>
          <w:rFonts w:hint="eastAsia" w:ascii="Times New Roman" w:hAnsi="黑体" w:eastAsia="黑体" w:cs="Times New Roman"/>
          <w:bCs/>
          <w:sz w:val="32"/>
          <w:szCs w:val="32"/>
        </w:rPr>
        <w:t>、附件</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4" w:hRule="atLeast"/>
        </w:trPr>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（一）项目牵头单位和联合体成员单位之间的联合协议</w:t>
            </w:r>
          </w:p>
          <w:p>
            <w:pPr>
              <w:jc w:val="left"/>
              <w:rPr>
                <w:rFonts w:ascii="Times New Roman" w:hAnsi="宋体" w:cs="Times New Roman"/>
                <w:sz w:val="24"/>
                <w:szCs w:val="24"/>
              </w:rPr>
            </w:pPr>
            <w:r>
              <w:rPr>
                <w:rFonts w:hint="eastAsia" w:ascii="Times New Roman" w:hAnsi="宋体" w:cs="Times New Roman"/>
                <w:sz w:val="24"/>
                <w:szCs w:val="24"/>
              </w:rPr>
              <w:t>（联合协议须由联合体成员单位共同签署，明确成员单位的组织方式或经营机制、权利责任、任务分工、资金分配、联合体长期发展计划等，并加盖所有成员单位公章）</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（二）项目有关证明文件（复印件，加盖公章）</w:t>
            </w:r>
          </w:p>
          <w:p>
            <w:pPr>
              <w:jc w:val="left"/>
              <w:rPr>
                <w:rFonts w:ascii="Times New Roman" w:hAnsi="宋体" w:cs="Times New Roman"/>
                <w:sz w:val="24"/>
                <w:szCs w:val="24"/>
              </w:rPr>
            </w:pPr>
            <w:r>
              <w:rPr>
                <w:rFonts w:ascii="Times New Roman" w:hAnsi="宋体" w:cs="Times New Roman"/>
                <w:sz w:val="24"/>
                <w:szCs w:val="24"/>
              </w:rPr>
              <w:t>1.</w:t>
            </w:r>
            <w:r>
              <w:rPr>
                <w:rFonts w:hint="eastAsia" w:ascii="Times New Roman" w:hAnsi="宋体" w:cs="Times New Roman"/>
                <w:sz w:val="24"/>
                <w:szCs w:val="24"/>
              </w:rPr>
              <w:t xml:space="preserve"> 联合体成员单位的营业执照、税务登记证、组织机构代码证；</w:t>
            </w:r>
          </w:p>
          <w:p>
            <w:pPr>
              <w:jc w:val="left"/>
              <w:rPr>
                <w:rFonts w:ascii="Times New Roman" w:hAnsi="宋体" w:cs="Times New Roman"/>
                <w:sz w:val="24"/>
                <w:szCs w:val="24"/>
              </w:rPr>
            </w:pPr>
            <w:r>
              <w:rPr>
                <w:rFonts w:hint="eastAsia" w:ascii="Times New Roman" w:hAnsi="宋体" w:cs="Times New Roman"/>
                <w:sz w:val="24"/>
                <w:szCs w:val="24"/>
              </w:rPr>
              <w:t>2. 联合体牵头单位近三年经审计的财务报告；</w:t>
            </w:r>
          </w:p>
          <w:p>
            <w:pPr>
              <w:jc w:val="left"/>
              <w:rPr>
                <w:rFonts w:ascii="Times New Roman" w:hAnsi="宋体" w:cs="Times New Roman"/>
                <w:sz w:val="24"/>
                <w:szCs w:val="24"/>
              </w:rPr>
            </w:pPr>
            <w:r>
              <w:rPr>
                <w:rFonts w:hint="eastAsia" w:ascii="Times New Roman" w:hAnsi="宋体" w:cs="Times New Roman"/>
                <w:sz w:val="24"/>
                <w:szCs w:val="24"/>
              </w:rPr>
              <w:t>3. 项目备案、环评、可行性研究报告；</w:t>
            </w:r>
          </w:p>
          <w:p>
            <w:pPr>
              <w:jc w:val="left"/>
              <w:rPr>
                <w:rFonts w:ascii="Times New Roman" w:hAnsi="宋体" w:cs="Times New Roman"/>
                <w:sz w:val="24"/>
                <w:szCs w:val="24"/>
              </w:rPr>
            </w:pPr>
            <w:r>
              <w:rPr>
                <w:rFonts w:hint="eastAsia" w:ascii="Times New Roman" w:hAnsi="宋体" w:cs="Times New Roman"/>
                <w:sz w:val="24"/>
                <w:szCs w:val="24"/>
              </w:rPr>
              <w:t>4. 联合体牵头单位现有知识产权清单和标准清单；</w:t>
            </w:r>
          </w:p>
          <w:p>
            <w:pPr>
              <w:jc w:val="left"/>
              <w:rPr>
                <w:rFonts w:ascii="Times New Roman" w:hAnsi="宋体" w:cs="Times New Roman"/>
                <w:sz w:val="24"/>
                <w:szCs w:val="24"/>
              </w:rPr>
            </w:pPr>
            <w:r>
              <w:rPr>
                <w:rFonts w:hint="eastAsia" w:ascii="Times New Roman" w:hAnsi="宋体" w:cs="Times New Roman"/>
                <w:sz w:val="24"/>
                <w:szCs w:val="24"/>
              </w:rPr>
              <w:t>5. 联合体各成员单位具有的与绿色制造相关的其他基础条件证明材料；</w:t>
            </w:r>
          </w:p>
          <w:p>
            <w:pPr>
              <w:jc w:val="left"/>
              <w:rPr>
                <w:rFonts w:ascii="Times New Roman" w:hAnsi="宋体" w:cs="Times New Roman"/>
                <w:sz w:val="24"/>
                <w:szCs w:val="24"/>
              </w:rPr>
            </w:pPr>
            <w:r>
              <w:rPr>
                <w:rFonts w:hint="eastAsia" w:ascii="Times New Roman" w:hAnsi="宋体" w:cs="Times New Roman"/>
                <w:sz w:val="24"/>
                <w:szCs w:val="24"/>
              </w:rPr>
              <w:t>6. 考核指标测算依据相关证明材料。</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tc>
      </w:tr>
    </w:tbl>
    <w:p>
      <w:pPr>
        <w:ind w:firstLine="605" w:firstLineChars="189"/>
        <w:rPr>
          <w:rFonts w:ascii="Times New Roman" w:hAnsi="黑体" w:eastAsia="黑体" w:cs="Times New Roman"/>
          <w:bCs/>
          <w:sz w:val="32"/>
          <w:szCs w:val="32"/>
        </w:rPr>
      </w:pPr>
      <w:r>
        <w:rPr>
          <w:rFonts w:ascii="Times New Roman" w:hAnsi="Times New Roman" w:eastAsia="仿宋_GB2312" w:cs="Times New Roman"/>
          <w:sz w:val="32"/>
          <w:szCs w:val="32"/>
        </w:rPr>
        <w:br w:type="page"/>
      </w:r>
      <w:r>
        <w:rPr>
          <w:rFonts w:hint="eastAsia" w:ascii="Times New Roman" w:hAnsi="黑体" w:eastAsia="黑体" w:cs="Times New Roman"/>
          <w:bCs/>
          <w:sz w:val="32"/>
          <w:szCs w:val="32"/>
        </w:rPr>
        <w:t>九、</w:t>
      </w:r>
      <w:r>
        <w:rPr>
          <w:rFonts w:ascii="Times New Roman" w:hAnsi="黑体" w:eastAsia="黑体" w:cs="Times New Roman"/>
          <w:bCs/>
          <w:sz w:val="32"/>
          <w:szCs w:val="32"/>
        </w:rPr>
        <w:t>审核意见</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项目责任单位意见</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wordWrap w:val="0"/>
              <w:jc w:val="right"/>
              <w:rPr>
                <w:rFonts w:ascii="Times New Roman" w:hAnsi="宋体" w:cs="Times New Roman"/>
                <w:sz w:val="24"/>
                <w:szCs w:val="24"/>
              </w:rPr>
            </w:pPr>
            <w:r>
              <w:rPr>
                <w:rFonts w:hint="eastAsia" w:ascii="Times New Roman" w:hAnsi="宋体" w:cs="Times New Roman"/>
                <w:sz w:val="24"/>
                <w:szCs w:val="24"/>
              </w:rPr>
              <w:t xml:space="preserve">法定代表人签字：        </w:t>
            </w:r>
          </w:p>
          <w:p>
            <w:pPr>
              <w:wordWrap w:val="0"/>
              <w:jc w:val="right"/>
              <w:rPr>
                <w:rFonts w:ascii="Times New Roman" w:hAnsi="宋体" w:cs="Times New Roman"/>
                <w:sz w:val="24"/>
                <w:szCs w:val="24"/>
              </w:rPr>
            </w:pPr>
            <w:r>
              <w:rPr>
                <w:rFonts w:hint="eastAsia" w:ascii="Times New Roman" w:hAnsi="宋体" w:cs="Times New Roman"/>
                <w:sz w:val="24"/>
                <w:szCs w:val="24"/>
              </w:rPr>
              <w:t xml:space="preserve">单位盖章:         </w:t>
            </w:r>
          </w:p>
          <w:p>
            <w:pPr>
              <w:wordWrap w:val="0"/>
              <w:jc w:val="right"/>
              <w:rPr>
                <w:rFonts w:ascii="Times New Roman" w:hAnsi="宋体" w:cs="Times New Roman"/>
                <w:sz w:val="24"/>
                <w:szCs w:val="24"/>
              </w:rPr>
            </w:pPr>
            <w:r>
              <w:rPr>
                <w:rFonts w:ascii="Times New Roman" w:hAnsi="宋体" w:cs="Times New Roman"/>
                <w:sz w:val="24"/>
                <w:szCs w:val="24"/>
              </w:rPr>
              <w:t>年</w:t>
            </w:r>
            <w:r>
              <w:rPr>
                <w:rFonts w:hint="eastAsia" w:ascii="Times New Roman" w:hAnsi="宋体" w:cs="Times New Roman"/>
                <w:sz w:val="24"/>
                <w:szCs w:val="24"/>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Times New Roman" w:hAnsi="宋体" w:cs="Times New Roman"/>
                <w:sz w:val="24"/>
                <w:szCs w:val="24"/>
              </w:rPr>
            </w:pPr>
            <w:r>
              <w:rPr>
                <w:rFonts w:hint="eastAsia" w:ascii="Times New Roman" w:hAnsi="宋体" w:cs="Times New Roman"/>
                <w:sz w:val="24"/>
                <w:szCs w:val="24"/>
              </w:rPr>
              <w:t>地方主管部门意见</w:t>
            </w: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jc w:val="left"/>
              <w:rPr>
                <w:rFonts w:ascii="Times New Roman" w:hAnsi="宋体" w:cs="Times New Roman"/>
                <w:sz w:val="24"/>
                <w:szCs w:val="24"/>
              </w:rPr>
            </w:pPr>
          </w:p>
          <w:p>
            <w:pPr>
              <w:wordWrap w:val="0"/>
              <w:jc w:val="right"/>
              <w:rPr>
                <w:rFonts w:ascii="Times New Roman" w:hAnsi="宋体" w:cs="Times New Roman"/>
                <w:sz w:val="24"/>
                <w:szCs w:val="24"/>
              </w:rPr>
            </w:pPr>
          </w:p>
          <w:p>
            <w:pPr>
              <w:jc w:val="right"/>
              <w:rPr>
                <w:rFonts w:ascii="Times New Roman" w:hAnsi="宋体" w:cs="Times New Roman"/>
                <w:sz w:val="24"/>
                <w:szCs w:val="24"/>
              </w:rPr>
            </w:pPr>
          </w:p>
          <w:p>
            <w:pPr>
              <w:jc w:val="right"/>
              <w:rPr>
                <w:rFonts w:ascii="Times New Roman" w:hAnsi="宋体" w:cs="Times New Roman"/>
                <w:sz w:val="24"/>
                <w:szCs w:val="24"/>
              </w:rPr>
            </w:pPr>
          </w:p>
          <w:p>
            <w:pPr>
              <w:jc w:val="right"/>
              <w:rPr>
                <w:rFonts w:ascii="Times New Roman" w:hAnsi="宋体" w:cs="Times New Roman"/>
                <w:sz w:val="24"/>
                <w:szCs w:val="24"/>
              </w:rPr>
            </w:pPr>
          </w:p>
          <w:p>
            <w:pPr>
              <w:jc w:val="right"/>
              <w:rPr>
                <w:rFonts w:ascii="Times New Roman" w:hAnsi="宋体" w:cs="Times New Roman"/>
                <w:sz w:val="24"/>
                <w:szCs w:val="24"/>
              </w:rPr>
            </w:pPr>
          </w:p>
          <w:p>
            <w:pPr>
              <w:jc w:val="right"/>
              <w:rPr>
                <w:rFonts w:ascii="Times New Roman" w:hAnsi="宋体" w:cs="Times New Roman"/>
                <w:sz w:val="24"/>
                <w:szCs w:val="24"/>
              </w:rPr>
            </w:pPr>
          </w:p>
          <w:p>
            <w:pPr>
              <w:wordWrap w:val="0"/>
              <w:jc w:val="right"/>
              <w:rPr>
                <w:rFonts w:ascii="Times New Roman" w:hAnsi="宋体" w:cs="Times New Roman"/>
                <w:sz w:val="24"/>
                <w:szCs w:val="24"/>
              </w:rPr>
            </w:pPr>
            <w:r>
              <w:rPr>
                <w:rFonts w:hint="eastAsia" w:ascii="Times New Roman" w:hAnsi="宋体" w:cs="Times New Roman"/>
                <w:sz w:val="24"/>
                <w:szCs w:val="24"/>
              </w:rPr>
              <w:t xml:space="preserve">单位盖章：                </w:t>
            </w:r>
          </w:p>
          <w:p>
            <w:pPr>
              <w:jc w:val="right"/>
              <w:rPr>
                <w:rFonts w:ascii="Times New Roman" w:hAnsi="宋体" w:cs="Times New Roman"/>
                <w:sz w:val="24"/>
                <w:szCs w:val="24"/>
              </w:rPr>
            </w:pPr>
            <w:r>
              <w:rPr>
                <w:rFonts w:hint="eastAsia" w:ascii="Times New Roman" w:hAnsi="宋体" w:cs="Times New Roman"/>
                <w:sz w:val="24"/>
                <w:szCs w:val="24"/>
              </w:rPr>
              <w:t xml:space="preserve">    </w:t>
            </w:r>
          </w:p>
          <w:p>
            <w:pPr>
              <w:wordWrap w:val="0"/>
              <w:jc w:val="right"/>
              <w:rPr>
                <w:rFonts w:ascii="Times New Roman" w:hAnsi="宋体" w:cs="Times New Roman"/>
                <w:sz w:val="24"/>
                <w:szCs w:val="24"/>
              </w:rPr>
            </w:pPr>
            <w:r>
              <w:rPr>
                <w:rFonts w:hint="eastAsia" w:ascii="Times New Roman" w:hAnsi="宋体" w:cs="Times New Roman"/>
                <w:sz w:val="24"/>
                <w:szCs w:val="24"/>
              </w:rPr>
              <w:t xml:space="preserve">年     月    日 </w:t>
            </w:r>
          </w:p>
          <w:p>
            <w:pPr>
              <w:wordWrap w:val="0"/>
              <w:jc w:val="right"/>
              <w:rPr>
                <w:rFonts w:ascii="Times New Roman" w:hAnsi="宋体" w:cs="Times New Roman"/>
                <w:sz w:val="24"/>
                <w:szCs w:val="24"/>
              </w:rPr>
            </w:pPr>
            <w:r>
              <w:rPr>
                <w:rFonts w:hint="eastAsia" w:ascii="Times New Roman" w:hAnsi="宋体" w:cs="Times New Roman"/>
                <w:sz w:val="24"/>
                <w:szCs w:val="24"/>
              </w:rPr>
              <w:t xml:space="preserve"> </w:t>
            </w:r>
          </w:p>
        </w:tc>
      </w:tr>
    </w:tbl>
    <w:p>
      <w:pPr>
        <w:ind w:firstLine="605" w:firstLineChars="189"/>
        <w:rPr>
          <w:rFonts w:ascii="Times New Roman" w:hAnsi="黑体" w:eastAsia="黑体" w:cs="Times New Roman"/>
          <w:bCs/>
          <w:sz w:val="32"/>
          <w:szCs w:val="32"/>
        </w:rPr>
      </w:pPr>
      <w:r>
        <w:rPr>
          <w:rFonts w:ascii="Times New Roman" w:hAnsi="Times New Roman" w:eastAsia="仿宋_GB2312" w:cs="Times New Roman"/>
          <w:sz w:val="32"/>
          <w:szCs w:val="32"/>
        </w:rPr>
        <w:br w:type="page"/>
      </w:r>
      <w:r>
        <w:rPr>
          <w:rFonts w:ascii="Times New Roman" w:hAnsi="黑体" w:eastAsia="黑体" w:cs="Times New Roman"/>
          <w:bCs/>
          <w:sz w:val="32"/>
          <w:szCs w:val="32"/>
        </w:rPr>
        <w:t>十</w:t>
      </w:r>
      <w:r>
        <w:rPr>
          <w:rFonts w:hint="eastAsia" w:ascii="Times New Roman" w:hAnsi="黑体" w:eastAsia="黑体" w:cs="Times New Roman"/>
          <w:bCs/>
          <w:sz w:val="32"/>
          <w:szCs w:val="32"/>
        </w:rPr>
        <w:t>、</w:t>
      </w:r>
      <w:r>
        <w:rPr>
          <w:rFonts w:ascii="Times New Roman" w:hAnsi="黑体" w:eastAsia="黑体" w:cs="Times New Roman"/>
          <w:bCs/>
          <w:sz w:val="32"/>
          <w:szCs w:val="32"/>
        </w:rPr>
        <w:t>声明</w:t>
      </w:r>
    </w:p>
    <w:p>
      <w:pPr>
        <w:ind w:firstLine="605" w:firstLineChars="189"/>
        <w:rPr>
          <w:rFonts w:ascii="Times New Roman" w:hAnsi="黑体" w:eastAsia="黑体" w:cs="Times New Roman"/>
          <w:bCs/>
          <w:sz w:val="32"/>
          <w:szCs w:val="32"/>
        </w:rPr>
      </w:pPr>
    </w:p>
    <w:p>
      <w:pPr>
        <w:ind w:firstLine="605" w:firstLineChars="189"/>
        <w:rPr>
          <w:rFonts w:ascii="Times New Roman" w:hAnsi="黑体" w:eastAsia="黑体" w:cs="Times New Roman"/>
          <w:bCs/>
          <w:sz w:val="32"/>
          <w:szCs w:val="32"/>
        </w:rPr>
      </w:pPr>
      <w:r>
        <w:rPr>
          <w:rFonts w:hint="eastAsia" w:ascii="Times New Roman" w:hAnsi="黑体" w:eastAsia="黑体" w:cs="Times New Roman"/>
          <w:bCs/>
          <w:sz w:val="32"/>
          <w:szCs w:val="32"/>
        </w:rPr>
        <w:t>本项目总负责人、技术负责人和责任单位承诺：项目申报书所有信息真实准确，所有承诺诚信可靠。项目整体（含子项）未得到中央财政资金支持。如有失实，愿意承担相关责任。</w:t>
      </w:r>
    </w:p>
    <w:p>
      <w:pPr>
        <w:ind w:firstLine="605" w:firstLineChars="189"/>
        <w:rPr>
          <w:rFonts w:ascii="Times New Roman" w:hAnsi="黑体" w:eastAsia="黑体" w:cs="Times New Roman"/>
          <w:bCs/>
          <w:sz w:val="32"/>
          <w:szCs w:val="32"/>
        </w:rPr>
      </w:pPr>
    </w:p>
    <w:p>
      <w:pPr>
        <w:ind w:firstLine="605" w:firstLineChars="189"/>
        <w:rPr>
          <w:rFonts w:ascii="Times New Roman" w:hAnsi="黑体" w:eastAsia="黑体" w:cs="Times New Roman"/>
          <w:bCs/>
          <w:sz w:val="32"/>
          <w:szCs w:val="32"/>
        </w:rPr>
      </w:pPr>
    </w:p>
    <w:p>
      <w:pPr>
        <w:ind w:firstLine="605" w:firstLineChars="189"/>
        <w:rPr>
          <w:rFonts w:ascii="Times New Roman" w:hAnsi="黑体" w:eastAsia="黑体" w:cs="Times New Roman"/>
          <w:bCs/>
          <w:sz w:val="32"/>
          <w:szCs w:val="32"/>
        </w:rPr>
      </w:pPr>
    </w:p>
    <w:p>
      <w:pPr>
        <w:ind w:firstLine="605" w:firstLineChars="189"/>
        <w:rPr>
          <w:rFonts w:ascii="Times New Roman" w:hAnsi="黑体" w:eastAsia="黑体" w:cs="Times New Roman"/>
          <w:bCs/>
          <w:sz w:val="32"/>
          <w:szCs w:val="32"/>
        </w:rPr>
      </w:pPr>
    </w:p>
    <w:p>
      <w:pPr>
        <w:wordWrap w:val="0"/>
        <w:ind w:firstLine="605" w:firstLineChars="189"/>
        <w:jc w:val="righ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项目总负责人签字：                </w:t>
      </w:r>
    </w:p>
    <w:p>
      <w:pPr>
        <w:ind w:firstLine="605" w:firstLineChars="189"/>
        <w:jc w:val="right"/>
        <w:rPr>
          <w:rFonts w:ascii="仿宋_GB2312" w:hAnsi="黑体" w:eastAsia="仿宋_GB2312" w:cs="Times New Roman"/>
          <w:bCs/>
          <w:sz w:val="32"/>
          <w:szCs w:val="32"/>
        </w:rPr>
      </w:pPr>
    </w:p>
    <w:p>
      <w:pPr>
        <w:wordWrap w:val="0"/>
        <w:ind w:firstLine="605" w:firstLineChars="189"/>
        <w:jc w:val="righ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项目技术负责人签字：              </w:t>
      </w:r>
    </w:p>
    <w:p>
      <w:pPr>
        <w:wordWrap w:val="0"/>
        <w:ind w:firstLine="605" w:firstLineChars="189"/>
        <w:jc w:val="right"/>
        <w:rPr>
          <w:rFonts w:ascii="仿宋_GB2312" w:hAnsi="黑体" w:eastAsia="仿宋_GB2312" w:cs="Times New Roman"/>
          <w:bCs/>
          <w:sz w:val="32"/>
          <w:szCs w:val="32"/>
        </w:rPr>
      </w:pPr>
    </w:p>
    <w:p>
      <w:pPr>
        <w:wordWrap w:val="0"/>
        <w:ind w:firstLine="605" w:firstLineChars="189"/>
        <w:jc w:val="righ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（项目责任单位盖章）   </w:t>
      </w:r>
    </w:p>
    <w:p>
      <w:pPr>
        <w:wordWrap w:val="0"/>
        <w:ind w:firstLine="605" w:firstLineChars="189"/>
        <w:jc w:val="right"/>
        <w:rPr>
          <w:rFonts w:ascii="仿宋_GB2312" w:hAnsi="黑体" w:eastAsia="仿宋_GB2312" w:cs="Times New Roman"/>
          <w:bCs/>
          <w:sz w:val="32"/>
          <w:szCs w:val="32"/>
        </w:rPr>
      </w:pPr>
    </w:p>
    <w:p>
      <w:pPr>
        <w:wordWrap w:val="0"/>
        <w:ind w:firstLine="605" w:firstLineChars="189"/>
        <w:jc w:val="right"/>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年     月     日 </w:t>
      </w:r>
    </w:p>
    <w:p>
      <w:pPr>
        <w:ind w:firstLine="605" w:firstLineChars="189"/>
        <w:rPr>
          <w:rFonts w:ascii="Times New Roman" w:hAnsi="黑体" w:eastAsia="黑体" w:cs="Times New Roman"/>
          <w:bCs/>
          <w:sz w:val="32"/>
          <w:szCs w:val="32"/>
        </w:rPr>
        <w:sectPr>
          <w:pgSz w:w="11906" w:h="16838"/>
          <w:pgMar w:top="1440" w:right="1800" w:bottom="1440" w:left="1800" w:header="851" w:footer="992" w:gutter="0"/>
          <w:cols w:space="720" w:num="1"/>
          <w:docGrid w:type="lines" w:linePitch="312" w:charSpace="0"/>
        </w:sectPr>
      </w:pPr>
    </w:p>
    <w:p>
      <w:pPr>
        <w:ind w:firstLine="605"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3</w:t>
      </w:r>
    </w:p>
    <w:p>
      <w:pPr>
        <w:pStyle w:val="2"/>
        <w:spacing w:before="156" w:after="156"/>
        <w:rPr>
          <w:rFonts w:ascii="黑体" w:hAnsi="黑体" w:eastAsia="黑体"/>
          <w:sz w:val="32"/>
          <w:szCs w:val="32"/>
        </w:rPr>
      </w:pPr>
      <w:r>
        <w:rPr>
          <w:rFonts w:hint="eastAsia" w:ascii="黑体" w:hAnsi="黑体" w:eastAsia="黑体"/>
          <w:sz w:val="32"/>
          <w:szCs w:val="32"/>
        </w:rPr>
        <w:t>2016年绿色制造系统集成项目汇总表</w:t>
      </w:r>
    </w:p>
    <w:p>
      <w:pPr>
        <w:rPr>
          <w:rFonts w:ascii="宋体" w:hAnsi="宋体" w:cs="Times New Roman"/>
          <w:sz w:val="24"/>
          <w:szCs w:val="24"/>
        </w:rPr>
      </w:pPr>
      <w:r>
        <w:rPr>
          <w:rFonts w:hint="eastAsia" w:ascii="宋体" w:hAnsi="宋体" w:cs="Times New Roman"/>
          <w:sz w:val="24"/>
          <w:szCs w:val="24"/>
        </w:rPr>
        <w:t>推荐单位（省、直辖市、自治区、计划单列市工业和信息化主管部门、财政厅局盖章）：</w:t>
      </w:r>
    </w:p>
    <w:tbl>
      <w:tblPr>
        <w:tblStyle w:val="1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6"/>
        <w:gridCol w:w="5242"/>
        <w:gridCol w:w="1163"/>
        <w:gridCol w:w="116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center"/>
              <w:rPr>
                <w:rFonts w:ascii="宋体" w:hAnsi="宋体" w:cs="Times New Roman"/>
                <w:sz w:val="24"/>
                <w:szCs w:val="24"/>
              </w:rPr>
            </w:pPr>
            <w:r>
              <w:rPr>
                <w:rFonts w:hint="eastAsia" w:ascii="宋体" w:hAnsi="宋体" w:cs="Times New Roman"/>
                <w:sz w:val="24"/>
                <w:szCs w:val="24"/>
              </w:rPr>
              <w:t>项目编号</w:t>
            </w:r>
          </w:p>
        </w:tc>
        <w:tc>
          <w:tcPr>
            <w:tcW w:w="2976" w:type="dxa"/>
            <w:vAlign w:val="top"/>
          </w:tcPr>
          <w:p>
            <w:pPr>
              <w:jc w:val="center"/>
              <w:rPr>
                <w:rFonts w:ascii="宋体" w:hAnsi="宋体" w:cs="Times New Roman"/>
                <w:sz w:val="24"/>
                <w:szCs w:val="24"/>
              </w:rPr>
            </w:pPr>
            <w:r>
              <w:rPr>
                <w:rFonts w:hint="eastAsia" w:ascii="宋体" w:hAnsi="宋体" w:cs="Times New Roman"/>
                <w:sz w:val="24"/>
                <w:szCs w:val="24"/>
              </w:rPr>
              <w:t>项目名称</w:t>
            </w:r>
          </w:p>
        </w:tc>
        <w:tc>
          <w:tcPr>
            <w:tcW w:w="5242" w:type="dxa"/>
            <w:vAlign w:val="top"/>
          </w:tcPr>
          <w:p>
            <w:pPr>
              <w:jc w:val="center"/>
              <w:rPr>
                <w:rFonts w:hint="eastAsia" w:ascii="宋体" w:hAnsi="宋体" w:cs="Times New Roman"/>
                <w:sz w:val="24"/>
                <w:szCs w:val="24"/>
              </w:rPr>
            </w:pPr>
            <w:r>
              <w:rPr>
                <w:rFonts w:hint="eastAsia" w:ascii="宋体" w:hAnsi="宋体" w:cs="Times New Roman"/>
                <w:sz w:val="24"/>
                <w:szCs w:val="24"/>
              </w:rPr>
              <w:t>项目联合体牵头企业</w:t>
            </w:r>
          </w:p>
          <w:p>
            <w:pPr>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（央企请注明）</w:t>
            </w:r>
          </w:p>
        </w:tc>
        <w:tc>
          <w:tcPr>
            <w:tcW w:w="1163" w:type="dxa"/>
            <w:vAlign w:val="top"/>
          </w:tcPr>
          <w:p>
            <w:pPr>
              <w:jc w:val="center"/>
              <w:rPr>
                <w:rFonts w:ascii="宋体" w:hAnsi="宋体" w:cs="Times New Roman"/>
                <w:sz w:val="24"/>
                <w:szCs w:val="24"/>
              </w:rPr>
            </w:pPr>
            <w:r>
              <w:rPr>
                <w:rFonts w:hint="eastAsia" w:ascii="宋体" w:hAnsi="宋体" w:cs="Times New Roman"/>
                <w:sz w:val="24"/>
                <w:szCs w:val="24"/>
              </w:rPr>
              <w:t xml:space="preserve">联系人 </w:t>
            </w:r>
          </w:p>
        </w:tc>
        <w:tc>
          <w:tcPr>
            <w:tcW w:w="1164" w:type="dxa"/>
            <w:vAlign w:val="top"/>
          </w:tcPr>
          <w:p>
            <w:pPr>
              <w:jc w:val="center"/>
              <w:rPr>
                <w:rFonts w:ascii="宋体" w:hAnsi="宋体" w:cs="Times New Roman"/>
                <w:sz w:val="24"/>
                <w:szCs w:val="24"/>
              </w:rPr>
            </w:pPr>
            <w:r>
              <w:rPr>
                <w:rFonts w:hint="eastAsia" w:ascii="宋体" w:hAnsi="宋体" w:cs="Times New Roman"/>
                <w:sz w:val="24"/>
                <w:szCs w:val="24"/>
              </w:rPr>
              <w:t>职务</w:t>
            </w:r>
          </w:p>
        </w:tc>
        <w:tc>
          <w:tcPr>
            <w:tcW w:w="2387" w:type="dxa"/>
            <w:vAlign w:val="top"/>
          </w:tcPr>
          <w:p>
            <w:pPr>
              <w:jc w:val="center"/>
              <w:rPr>
                <w:rFonts w:ascii="宋体" w:hAnsi="宋体" w:cs="Times New Roman"/>
                <w:sz w:val="24"/>
                <w:szCs w:val="24"/>
              </w:rPr>
            </w:pPr>
            <w:r>
              <w:rPr>
                <w:rFonts w:hint="eastAsia" w:ascii="宋体" w:hAnsi="宋体" w:cs="Times New Roman"/>
                <w:sz w:val="24"/>
                <w:szCs w:val="24"/>
              </w:rPr>
              <w:t>联系方式</w:t>
            </w:r>
          </w:p>
          <w:p>
            <w:pPr>
              <w:jc w:val="center"/>
              <w:rPr>
                <w:rFonts w:ascii="宋体" w:hAnsi="宋体" w:cs="Times New Roman"/>
                <w:sz w:val="24"/>
                <w:szCs w:val="24"/>
              </w:rPr>
            </w:pPr>
            <w:r>
              <w:rPr>
                <w:rFonts w:hint="eastAsia" w:ascii="宋体" w:hAnsi="宋体" w:cs="Times New Roman"/>
                <w:sz w:val="24"/>
                <w:szCs w:val="24"/>
              </w:rPr>
              <w:t>（固话/手机）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1</w:t>
            </w:r>
          </w:p>
        </w:tc>
        <w:tc>
          <w:tcPr>
            <w:tcW w:w="12932" w:type="dxa"/>
            <w:gridSpan w:val="5"/>
            <w:vAlign w:val="top"/>
          </w:tcPr>
          <w:p>
            <w:pPr>
              <w:jc w:val="left"/>
              <w:rPr>
                <w:rFonts w:ascii="宋体" w:hAnsi="宋体" w:cs="Times New Roman"/>
                <w:sz w:val="24"/>
                <w:szCs w:val="24"/>
              </w:rPr>
            </w:pPr>
            <w:r>
              <w:rPr>
                <w:rFonts w:hint="eastAsia" w:ascii="宋体" w:hAnsi="宋体" w:cs="Times New Roman"/>
                <w:sz w:val="24"/>
                <w:szCs w:val="24"/>
              </w:rPr>
              <w:t>绿色</w:t>
            </w:r>
            <w:r>
              <w:rPr>
                <w:rFonts w:ascii="宋体" w:hAnsi="宋体" w:cs="Times New Roman"/>
                <w:sz w:val="24"/>
                <w:szCs w:val="24"/>
              </w:rPr>
              <w:t>设计</w:t>
            </w:r>
            <w:r>
              <w:rPr>
                <w:rFonts w:hint="eastAsia" w:ascii="宋体" w:hAnsi="宋体" w:cs="Times New Roman"/>
                <w:sz w:val="24"/>
                <w:szCs w:val="24"/>
              </w:rPr>
              <w:t>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1-1</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1-2</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2</w:t>
            </w:r>
          </w:p>
        </w:tc>
        <w:tc>
          <w:tcPr>
            <w:tcW w:w="12932" w:type="dxa"/>
            <w:gridSpan w:val="5"/>
            <w:vAlign w:val="top"/>
          </w:tcPr>
          <w:p>
            <w:pPr>
              <w:jc w:val="left"/>
              <w:rPr>
                <w:rFonts w:ascii="宋体" w:hAnsi="宋体" w:cs="Times New Roman"/>
                <w:sz w:val="24"/>
                <w:szCs w:val="24"/>
              </w:rPr>
            </w:pPr>
            <w:r>
              <w:rPr>
                <w:rFonts w:hint="eastAsia" w:ascii="宋体" w:hAnsi="宋体" w:cs="Times New Roman"/>
                <w:sz w:val="24"/>
                <w:szCs w:val="24"/>
              </w:rPr>
              <w:t>绿色</w:t>
            </w:r>
            <w:r>
              <w:rPr>
                <w:rFonts w:ascii="宋体" w:hAnsi="宋体" w:cs="Times New Roman"/>
                <w:sz w:val="24"/>
                <w:szCs w:val="24"/>
              </w:rPr>
              <w:t>关键</w:t>
            </w:r>
            <w:r>
              <w:rPr>
                <w:rFonts w:hint="eastAsia" w:ascii="宋体" w:hAnsi="宋体" w:cs="Times New Roman"/>
                <w:sz w:val="24"/>
                <w:szCs w:val="24"/>
              </w:rPr>
              <w:t>工艺</w:t>
            </w:r>
            <w:r>
              <w:rPr>
                <w:rFonts w:ascii="宋体" w:hAnsi="宋体" w:cs="Times New Roman"/>
                <w:sz w:val="24"/>
                <w:szCs w:val="24"/>
              </w:rPr>
              <w:t>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2-1</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2-2</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3</w:t>
            </w:r>
          </w:p>
        </w:tc>
        <w:tc>
          <w:tcPr>
            <w:tcW w:w="12932" w:type="dxa"/>
            <w:gridSpan w:val="5"/>
            <w:vAlign w:val="top"/>
          </w:tcPr>
          <w:p>
            <w:pPr>
              <w:jc w:val="left"/>
              <w:rPr>
                <w:rFonts w:ascii="宋体" w:hAnsi="宋体" w:cs="Times New Roman"/>
                <w:sz w:val="24"/>
                <w:szCs w:val="24"/>
              </w:rPr>
            </w:pPr>
            <w:r>
              <w:rPr>
                <w:rFonts w:hint="eastAsia" w:ascii="宋体" w:hAnsi="宋体" w:cs="Times New Roman"/>
                <w:sz w:val="24"/>
                <w:szCs w:val="24"/>
              </w:rPr>
              <w:t>绿色供应链系统构建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3-1</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3-2</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top"/>
          </w:tcPr>
          <w:p>
            <w:pPr>
              <w:jc w:val="left"/>
              <w:rPr>
                <w:rFonts w:ascii="宋体" w:hAnsi="宋体" w:cs="Times New Roman"/>
                <w:sz w:val="24"/>
                <w:szCs w:val="24"/>
              </w:rPr>
            </w:pPr>
            <w:r>
              <w:rPr>
                <w:rFonts w:hint="eastAsia" w:ascii="宋体" w:hAnsi="宋体" w:cs="Times New Roman"/>
                <w:sz w:val="24"/>
                <w:szCs w:val="24"/>
              </w:rPr>
              <w:t>……</w:t>
            </w:r>
          </w:p>
        </w:tc>
        <w:tc>
          <w:tcPr>
            <w:tcW w:w="2976" w:type="dxa"/>
            <w:vAlign w:val="top"/>
          </w:tcPr>
          <w:p>
            <w:pPr>
              <w:jc w:val="left"/>
              <w:rPr>
                <w:rFonts w:ascii="宋体" w:hAnsi="宋体" w:cs="Times New Roman"/>
                <w:sz w:val="24"/>
                <w:szCs w:val="24"/>
              </w:rPr>
            </w:pPr>
          </w:p>
        </w:tc>
        <w:tc>
          <w:tcPr>
            <w:tcW w:w="5242" w:type="dxa"/>
            <w:vAlign w:val="top"/>
          </w:tcPr>
          <w:p>
            <w:pPr>
              <w:jc w:val="left"/>
              <w:rPr>
                <w:rFonts w:ascii="宋体" w:hAnsi="宋体" w:cs="Times New Roman"/>
                <w:sz w:val="24"/>
                <w:szCs w:val="24"/>
              </w:rPr>
            </w:pPr>
          </w:p>
        </w:tc>
        <w:tc>
          <w:tcPr>
            <w:tcW w:w="1163" w:type="dxa"/>
            <w:vAlign w:val="top"/>
          </w:tcPr>
          <w:p>
            <w:pPr>
              <w:jc w:val="left"/>
              <w:rPr>
                <w:rFonts w:ascii="宋体" w:hAnsi="宋体" w:cs="Times New Roman"/>
                <w:sz w:val="24"/>
                <w:szCs w:val="24"/>
              </w:rPr>
            </w:pPr>
          </w:p>
        </w:tc>
        <w:tc>
          <w:tcPr>
            <w:tcW w:w="1164" w:type="dxa"/>
            <w:vAlign w:val="top"/>
          </w:tcPr>
          <w:p>
            <w:pPr>
              <w:jc w:val="left"/>
              <w:rPr>
                <w:rFonts w:ascii="宋体" w:hAnsi="宋体" w:cs="Times New Roman"/>
                <w:sz w:val="24"/>
                <w:szCs w:val="24"/>
              </w:rPr>
            </w:pPr>
          </w:p>
        </w:tc>
        <w:tc>
          <w:tcPr>
            <w:tcW w:w="2387" w:type="dxa"/>
            <w:vAlign w:val="top"/>
          </w:tcPr>
          <w:p>
            <w:pPr>
              <w:jc w:val="left"/>
              <w:rPr>
                <w:rFonts w:ascii="宋体" w:hAnsi="宋体" w:cs="Times New Roman"/>
                <w:sz w:val="24"/>
                <w:szCs w:val="24"/>
              </w:rPr>
            </w:pPr>
          </w:p>
        </w:tc>
      </w:tr>
    </w:tbl>
    <w:p>
      <w:pPr>
        <w:jc w:val="center"/>
        <w:rPr>
          <w:rFonts w:ascii="Times New Roman" w:hAnsi="黑体" w:eastAsia="黑体" w:cs="Times New Roman"/>
          <w:sz w:val="32"/>
          <w:szCs w:val="32"/>
        </w:rPr>
      </w:pPr>
    </w:p>
    <w:p>
      <w:pPr>
        <w:jc w:val="left"/>
        <w:rPr>
          <w:rFonts w:ascii="Times New Roman" w:hAnsi="黑体" w:eastAsia="黑体" w:cs="Times New Roman"/>
          <w:sz w:val="32"/>
          <w:szCs w:val="32"/>
        </w:rPr>
        <w:sectPr>
          <w:pgSz w:w="16838" w:h="11906" w:orient="landscape"/>
          <w:pgMar w:top="1800" w:right="1440" w:bottom="1800" w:left="1440" w:header="851" w:footer="992" w:gutter="0"/>
          <w:cols w:space="720" w:num="1"/>
          <w:docGrid w:type="lines" w:linePitch="312" w:charSpace="0"/>
        </w:sectPr>
      </w:pPr>
    </w:p>
    <w:p>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附件4</w:t>
      </w:r>
    </w:p>
    <w:p>
      <w:pPr>
        <w:pStyle w:val="2"/>
        <w:spacing w:before="156" w:after="156"/>
        <w:rPr>
          <w:rFonts w:ascii="黑体" w:hAnsi="黑体" w:eastAsia="黑体"/>
          <w:sz w:val="28"/>
          <w:szCs w:val="28"/>
        </w:rPr>
      </w:pPr>
      <w:r>
        <w:rPr>
          <w:rFonts w:hint="eastAsia" w:ascii="黑体" w:hAnsi="黑体" w:eastAsia="黑体"/>
          <w:sz w:val="28"/>
          <w:szCs w:val="28"/>
        </w:rPr>
        <w:t>中央对地方专项转移支付绿色制造系统集成项目绩效申报表</w:t>
      </w:r>
    </w:p>
    <w:p>
      <w:pPr>
        <w:jc w:val="center"/>
        <w:rPr>
          <w:rFonts w:ascii="Times New Roman" w:hAnsi="宋体" w:cs="Times New Roman"/>
          <w:b/>
          <w:szCs w:val="21"/>
        </w:rPr>
      </w:pPr>
      <w:r>
        <w:rPr>
          <w:rFonts w:hint="eastAsia" w:ascii="Times New Roman" w:hAnsi="宋体" w:cs="Times New Roman"/>
          <w:b/>
          <w:szCs w:val="21"/>
        </w:rPr>
        <w:t>（XX年度）</w:t>
      </w:r>
    </w:p>
    <w:tbl>
      <w:tblPr>
        <w:tblStyle w:val="15"/>
        <w:tblW w:w="9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
        <w:gridCol w:w="1001"/>
        <w:gridCol w:w="1777"/>
        <w:gridCol w:w="1175"/>
        <w:gridCol w:w="1867"/>
        <w:gridCol w:w="540"/>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项目名称</w:t>
            </w:r>
          </w:p>
        </w:tc>
        <w:tc>
          <w:tcPr>
            <w:tcW w:w="7367" w:type="dxa"/>
            <w:gridSpan w:val="5"/>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所属专项</w:t>
            </w:r>
          </w:p>
        </w:tc>
        <w:tc>
          <w:tcPr>
            <w:tcW w:w="7367" w:type="dxa"/>
            <w:gridSpan w:val="5"/>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工业转型升级（中国制造2025）专项资金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中央主管部门</w:t>
            </w:r>
          </w:p>
        </w:tc>
        <w:tc>
          <w:tcPr>
            <w:tcW w:w="2952" w:type="dxa"/>
            <w:gridSpan w:val="2"/>
            <w:tcBorders>
              <w:top w:val="single" w:color="auto" w:sz="4" w:space="0"/>
              <w:left w:val="nil"/>
              <w:bottom w:val="single" w:color="auto" w:sz="4" w:space="0"/>
              <w:right w:val="nil"/>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财政部、工业和信息化部</w:t>
            </w: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省级财政部门</w:t>
            </w:r>
          </w:p>
        </w:tc>
        <w:tc>
          <w:tcPr>
            <w:tcW w:w="254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XX省（市）财政厅（局）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省级主管部门</w:t>
            </w:r>
          </w:p>
        </w:tc>
        <w:tc>
          <w:tcPr>
            <w:tcW w:w="2952" w:type="dxa"/>
            <w:gridSpan w:val="2"/>
            <w:tcBorders>
              <w:top w:val="single" w:color="auto" w:sz="4" w:space="0"/>
              <w:left w:val="nil"/>
              <w:bottom w:val="single" w:color="auto" w:sz="4" w:space="0"/>
              <w:right w:val="nil"/>
            </w:tcBorders>
            <w:vAlign w:val="center"/>
          </w:tcPr>
          <w:p>
            <w:pPr>
              <w:widowControl/>
              <w:snapToGrid w:val="0"/>
              <w:jc w:val="center"/>
              <w:rPr>
                <w:rFonts w:ascii="宋体" w:hAnsi="宋体" w:cs="宋体"/>
                <w:kern w:val="0"/>
                <w:sz w:val="24"/>
                <w:szCs w:val="24"/>
              </w:rPr>
            </w:pP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具体实施单位</w:t>
            </w:r>
          </w:p>
        </w:tc>
        <w:tc>
          <w:tcPr>
            <w:tcW w:w="2548"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vMerge w:val="restart"/>
            <w:tcBorders>
              <w:top w:val="single" w:color="auto" w:sz="4" w:space="0"/>
              <w:left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资金情况</w:t>
            </w:r>
            <w:r>
              <w:rPr>
                <w:rFonts w:hint="eastAsia" w:ascii="宋体" w:hAnsi="宋体" w:cs="宋体"/>
                <w:kern w:val="0"/>
                <w:sz w:val="24"/>
                <w:szCs w:val="24"/>
              </w:rPr>
              <w:br/>
            </w:r>
            <w:r>
              <w:rPr>
                <w:rFonts w:hint="eastAsia" w:ascii="宋体" w:hAnsi="宋体" w:cs="宋体"/>
                <w:kern w:val="0"/>
                <w:sz w:val="24"/>
                <w:szCs w:val="24"/>
              </w:rPr>
              <w:t>（万元）</w:t>
            </w:r>
          </w:p>
        </w:tc>
        <w:tc>
          <w:tcPr>
            <w:tcW w:w="1777"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项目总投资：</w:t>
            </w:r>
          </w:p>
        </w:tc>
        <w:tc>
          <w:tcPr>
            <w:tcW w:w="559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ascii="宋体" w:hAnsi="宋体" w:cs="宋体"/>
                <w:kern w:val="0"/>
                <w:sz w:val="24"/>
                <w:szCs w:val="24"/>
              </w:rPr>
            </w:pPr>
          </w:p>
        </w:tc>
        <w:tc>
          <w:tcPr>
            <w:tcW w:w="1777"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其中：财政资金</w:t>
            </w:r>
          </w:p>
        </w:tc>
        <w:tc>
          <w:tcPr>
            <w:tcW w:w="559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ascii="宋体" w:hAnsi="宋体" w:cs="宋体"/>
                <w:kern w:val="0"/>
                <w:sz w:val="24"/>
                <w:szCs w:val="24"/>
              </w:rPr>
            </w:pPr>
          </w:p>
        </w:tc>
        <w:tc>
          <w:tcPr>
            <w:tcW w:w="1777"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 xml:space="preserve">     其他资金</w:t>
            </w:r>
          </w:p>
        </w:tc>
        <w:tc>
          <w:tcPr>
            <w:tcW w:w="559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ascii="宋体" w:hAnsi="宋体" w:cs="宋体"/>
                <w:kern w:val="0"/>
                <w:sz w:val="24"/>
                <w:szCs w:val="24"/>
              </w:rPr>
            </w:pPr>
          </w:p>
        </w:tc>
        <w:tc>
          <w:tcPr>
            <w:tcW w:w="1777"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年度总投资</w:t>
            </w:r>
          </w:p>
        </w:tc>
        <w:tc>
          <w:tcPr>
            <w:tcW w:w="559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670" w:type="dxa"/>
            <w:gridSpan w:val="2"/>
            <w:vMerge w:val="continue"/>
            <w:tcBorders>
              <w:left w:val="single" w:color="auto" w:sz="4" w:space="0"/>
              <w:bottom w:val="single" w:color="000000" w:sz="4" w:space="0"/>
              <w:right w:val="single" w:color="000000" w:sz="4" w:space="0"/>
            </w:tcBorders>
            <w:vAlign w:val="center"/>
          </w:tcPr>
          <w:p>
            <w:pPr>
              <w:widowControl/>
              <w:snapToGrid w:val="0"/>
              <w:jc w:val="left"/>
              <w:rPr>
                <w:rFonts w:ascii="宋体" w:hAnsi="宋体" w:cs="宋体"/>
                <w:kern w:val="0"/>
                <w:sz w:val="24"/>
                <w:szCs w:val="24"/>
              </w:rPr>
            </w:pPr>
          </w:p>
        </w:tc>
        <w:tc>
          <w:tcPr>
            <w:tcW w:w="1777"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其中：XX年度</w:t>
            </w:r>
          </w:p>
        </w:tc>
        <w:tc>
          <w:tcPr>
            <w:tcW w:w="559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7" w:hRule="atLeast"/>
          <w:jc w:val="center"/>
        </w:trPr>
        <w:tc>
          <w:tcPr>
            <w:tcW w:w="669"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总</w:t>
            </w:r>
            <w:r>
              <w:rPr>
                <w:rFonts w:hint="eastAsia" w:ascii="宋体" w:hAnsi="宋体" w:cs="宋体"/>
                <w:kern w:val="0"/>
                <w:sz w:val="24"/>
                <w:szCs w:val="24"/>
              </w:rPr>
              <w:br/>
            </w:r>
            <w:r>
              <w:rPr>
                <w:rFonts w:hint="eastAsia" w:ascii="宋体" w:hAnsi="宋体" w:cs="宋体"/>
                <w:kern w:val="0"/>
                <w:sz w:val="24"/>
                <w:szCs w:val="24"/>
              </w:rPr>
              <w:t>体</w:t>
            </w:r>
            <w:r>
              <w:rPr>
                <w:rFonts w:hint="eastAsia" w:ascii="宋体" w:hAnsi="宋体" w:cs="宋体"/>
                <w:kern w:val="0"/>
                <w:sz w:val="24"/>
                <w:szCs w:val="24"/>
              </w:rPr>
              <w:br/>
            </w:r>
            <w:r>
              <w:rPr>
                <w:rFonts w:hint="eastAsia" w:ascii="宋体" w:hAnsi="宋体" w:cs="宋体"/>
                <w:kern w:val="0"/>
                <w:sz w:val="24"/>
                <w:szCs w:val="24"/>
              </w:rPr>
              <w:t>目</w:t>
            </w:r>
            <w:r>
              <w:rPr>
                <w:rFonts w:hint="eastAsia" w:ascii="宋体" w:hAnsi="宋体" w:cs="宋体"/>
                <w:kern w:val="0"/>
                <w:sz w:val="24"/>
                <w:szCs w:val="24"/>
              </w:rPr>
              <w:br/>
            </w:r>
            <w:r>
              <w:rPr>
                <w:rFonts w:hint="eastAsia" w:ascii="宋体" w:hAnsi="宋体" w:cs="宋体"/>
                <w:kern w:val="0"/>
                <w:sz w:val="24"/>
                <w:szCs w:val="24"/>
              </w:rPr>
              <w:t>标</w:t>
            </w:r>
          </w:p>
        </w:tc>
        <w:tc>
          <w:tcPr>
            <w:tcW w:w="8368" w:type="dxa"/>
            <w:gridSpan w:val="6"/>
            <w:tcBorders>
              <w:top w:val="single" w:color="auto" w:sz="4" w:space="0"/>
              <w:left w:val="nil"/>
              <w:bottom w:val="single" w:color="auto" w:sz="4" w:space="0"/>
              <w:right w:val="single" w:color="auto" w:sz="4" w:space="0"/>
            </w:tcBorders>
            <w:vAlign w:val="top"/>
          </w:tcPr>
          <w:p>
            <w:pPr>
              <w:widowControl/>
              <w:snapToGrid w:val="0"/>
              <w:jc w:val="left"/>
              <w:rPr>
                <w:rFonts w:ascii="宋体" w:hAnsi="宋体" w:cs="宋体"/>
                <w:kern w:val="0"/>
                <w:sz w:val="24"/>
                <w:szCs w:val="24"/>
              </w:rPr>
            </w:pPr>
          </w:p>
          <w:p>
            <w:pPr>
              <w:widowControl/>
              <w:snapToGrid w:val="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eastAsia="zh-CN"/>
              </w:rPr>
              <w:t>（填写项目总体目标、分年度目标）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669"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r>
            <w:r>
              <w:rPr>
                <w:rFonts w:hint="eastAsia" w:ascii="宋体" w:hAnsi="宋体" w:cs="宋体"/>
                <w:kern w:val="0"/>
                <w:sz w:val="24"/>
                <w:szCs w:val="24"/>
              </w:rPr>
              <w:t>效</w:t>
            </w:r>
            <w:r>
              <w:rPr>
                <w:rFonts w:hint="eastAsia" w:ascii="宋体" w:hAnsi="宋体" w:cs="宋体"/>
                <w:kern w:val="0"/>
                <w:sz w:val="24"/>
                <w:szCs w:val="24"/>
              </w:rPr>
              <w:br/>
            </w:r>
            <w:r>
              <w:rPr>
                <w:rFonts w:hint="eastAsia" w:ascii="宋体" w:hAnsi="宋体" w:cs="宋体"/>
                <w:kern w:val="0"/>
                <w:sz w:val="24"/>
                <w:szCs w:val="24"/>
              </w:rPr>
              <w:t>指</w:t>
            </w:r>
            <w:r>
              <w:rPr>
                <w:rFonts w:hint="eastAsia" w:ascii="宋体" w:hAnsi="宋体" w:cs="宋体"/>
                <w:kern w:val="0"/>
                <w:sz w:val="24"/>
                <w:szCs w:val="24"/>
              </w:rPr>
              <w:br/>
            </w:r>
            <w:r>
              <w:rPr>
                <w:rFonts w:hint="eastAsia" w:ascii="宋体" w:hAnsi="宋体" w:cs="宋体"/>
                <w:kern w:val="0"/>
                <w:sz w:val="24"/>
                <w:szCs w:val="24"/>
              </w:rPr>
              <w:t>标</w:t>
            </w:r>
          </w:p>
        </w:tc>
        <w:tc>
          <w:tcPr>
            <w:tcW w:w="1001" w:type="dxa"/>
            <w:tcBorders>
              <w:top w:val="nil"/>
              <w:left w:val="nil"/>
              <w:bottom w:val="nil"/>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一级</w:t>
            </w:r>
            <w:r>
              <w:rPr>
                <w:rFonts w:hint="eastAsia" w:ascii="宋体" w:hAnsi="宋体" w:cs="宋体"/>
                <w:kern w:val="0"/>
                <w:sz w:val="24"/>
                <w:szCs w:val="24"/>
              </w:rPr>
              <w:br/>
            </w:r>
            <w:r>
              <w:rPr>
                <w:rFonts w:hint="eastAsia" w:ascii="宋体" w:hAnsi="宋体" w:cs="宋体"/>
                <w:kern w:val="0"/>
                <w:sz w:val="24"/>
                <w:szCs w:val="24"/>
              </w:rPr>
              <w:t>指标</w:t>
            </w:r>
          </w:p>
        </w:tc>
        <w:tc>
          <w:tcPr>
            <w:tcW w:w="1777"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二级指标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三级指标</w:t>
            </w:r>
          </w:p>
        </w:tc>
        <w:tc>
          <w:tcPr>
            <w:tcW w:w="2008"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产</w:t>
            </w:r>
            <w:r>
              <w:rPr>
                <w:rFonts w:hint="eastAsia" w:ascii="宋体" w:hAnsi="宋体" w:cs="宋体"/>
                <w:kern w:val="0"/>
                <w:sz w:val="24"/>
                <w:szCs w:val="24"/>
              </w:rPr>
              <w:br/>
            </w:r>
            <w:r>
              <w:rPr>
                <w:rFonts w:hint="eastAsia" w:ascii="宋体" w:hAnsi="宋体" w:cs="宋体"/>
                <w:kern w:val="0"/>
                <w:sz w:val="24"/>
                <w:szCs w:val="24"/>
              </w:rPr>
              <w:t>出</w:t>
            </w:r>
            <w:r>
              <w:rPr>
                <w:rFonts w:hint="eastAsia" w:ascii="宋体" w:hAnsi="宋体" w:cs="宋体"/>
                <w:kern w:val="0"/>
                <w:sz w:val="24"/>
                <w:szCs w:val="24"/>
              </w:rPr>
              <w:br/>
            </w:r>
            <w:r>
              <w:rPr>
                <w:rFonts w:hint="eastAsia" w:ascii="宋体" w:hAnsi="宋体" w:cs="宋体"/>
                <w:kern w:val="0"/>
                <w:sz w:val="24"/>
                <w:szCs w:val="24"/>
              </w:rPr>
              <w:t>指</w:t>
            </w:r>
            <w:r>
              <w:rPr>
                <w:rFonts w:hint="eastAsia" w:ascii="宋体" w:hAnsi="宋体" w:cs="宋体"/>
                <w:kern w:val="0"/>
                <w:sz w:val="24"/>
                <w:szCs w:val="24"/>
              </w:rPr>
              <w:br/>
            </w:r>
            <w:r>
              <w:rPr>
                <w:rFonts w:hint="eastAsia" w:ascii="宋体" w:hAnsi="宋体" w:cs="宋体"/>
                <w:kern w:val="0"/>
                <w:sz w:val="24"/>
                <w:szCs w:val="24"/>
              </w:rPr>
              <w:t>标</w:t>
            </w:r>
          </w:p>
        </w:tc>
        <w:tc>
          <w:tcPr>
            <w:tcW w:w="1777" w:type="dxa"/>
            <w:vMerge w:val="restart"/>
            <w:tcBorders>
              <w:top w:val="nil"/>
              <w:left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数量指标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制造技术绿色化率</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lang w:eastAsia="zh-CN" w:bidi="en-US"/>
              </w:rPr>
              <w:t>比基期</w:t>
            </w:r>
            <w:r>
              <w:rPr>
                <w:rFonts w:hint="eastAsia" w:ascii="宋体" w:hAnsi="宋体" w:cs="宋体"/>
                <w:kern w:val="0"/>
                <w:sz w:val="24"/>
                <w:szCs w:val="24"/>
                <w:lang w:bidi="en-US"/>
              </w:rPr>
              <w:t>提高</w:t>
            </w:r>
            <w:r>
              <w:rPr>
                <w:rFonts w:hint="eastAsia" w:ascii="宋体" w:hAnsi="宋体" w:cs="宋体"/>
                <w:kern w:val="0"/>
                <w:sz w:val="24"/>
                <w:szCs w:val="24"/>
                <w:lang w:val="en-US" w:eastAsia="zh-CN" w:bidi="en-US"/>
              </w:rPr>
              <w:t>XX</w:t>
            </w:r>
            <w:r>
              <w:rPr>
                <w:rFonts w:hint="eastAsia" w:ascii="宋体" w:hAnsi="宋体" w:cs="宋体"/>
                <w:kern w:val="0"/>
                <w:sz w:val="24"/>
                <w:szCs w:val="24"/>
                <w:lang w:bidi="en-US"/>
              </w:rPr>
              <w:t>个百分点或达到90%以上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p>
        </w:tc>
        <w:tc>
          <w:tcPr>
            <w:tcW w:w="1777" w:type="dxa"/>
            <w:vMerge w:val="continue"/>
            <w:tcBorders>
              <w:left w:val="single" w:color="auto" w:sz="4" w:space="0"/>
              <w:right w:val="single" w:color="auto" w:sz="4" w:space="0"/>
            </w:tcBorders>
            <w:vAlign w:val="center"/>
          </w:tcPr>
          <w:p>
            <w:pPr>
              <w:widowControl/>
              <w:snapToGrid w:val="0"/>
              <w:jc w:val="center"/>
              <w:rPr>
                <w:rFonts w:ascii="宋体" w:hAnsi="宋体" w:cs="宋体"/>
                <w:kern w:val="0"/>
                <w:sz w:val="24"/>
                <w:szCs w:val="24"/>
              </w:rPr>
            </w:pP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制造过程绿色化率</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lang w:eastAsia="zh-CN" w:bidi="en-US"/>
              </w:rPr>
              <w:t>比基期</w:t>
            </w:r>
            <w:r>
              <w:rPr>
                <w:rFonts w:hint="eastAsia" w:ascii="宋体" w:hAnsi="宋体" w:cs="宋体"/>
                <w:kern w:val="0"/>
                <w:sz w:val="24"/>
                <w:szCs w:val="24"/>
                <w:lang w:bidi="en-US"/>
              </w:rPr>
              <w:t>提高</w:t>
            </w:r>
            <w:r>
              <w:rPr>
                <w:rFonts w:hint="eastAsia" w:ascii="宋体" w:hAnsi="宋体" w:cs="宋体"/>
                <w:kern w:val="0"/>
                <w:sz w:val="24"/>
                <w:szCs w:val="24"/>
                <w:lang w:val="en-US" w:eastAsia="zh-CN" w:bidi="en-US"/>
              </w:rPr>
              <w:t>XX</w:t>
            </w:r>
            <w:r>
              <w:rPr>
                <w:rFonts w:hint="eastAsia" w:ascii="宋体" w:hAnsi="宋体" w:cs="宋体"/>
                <w:kern w:val="0"/>
                <w:sz w:val="24"/>
                <w:szCs w:val="24"/>
                <w:lang w:bidi="en-US"/>
              </w:rPr>
              <w:t>个百分点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tcBorders>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lang w:bidi="en-US"/>
              </w:rPr>
            </w:pPr>
            <w:r>
              <w:rPr>
                <w:rFonts w:hint="eastAsia" w:ascii="宋体" w:hAnsi="宋体" w:cs="宋体"/>
                <w:kern w:val="0"/>
                <w:sz w:val="24"/>
                <w:szCs w:val="24"/>
              </w:rPr>
              <w:t>形成绿色制造标准</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lang w:bidi="en-US"/>
              </w:rPr>
            </w:pPr>
            <w:r>
              <w:rPr>
                <w:rFonts w:hint="eastAsia" w:ascii="宋体" w:hAnsi="宋体" w:cs="宋体"/>
                <w:kern w:val="0"/>
                <w:sz w:val="24"/>
                <w:szCs w:val="24"/>
              </w:rPr>
              <w:t>XX项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vMerge w:val="restart"/>
            <w:tcBorders>
              <w:top w:val="nil"/>
              <w:left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质量指标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技术</w:t>
            </w:r>
            <w:r>
              <w:rPr>
                <w:rFonts w:hint="eastAsia" w:ascii="宋体" w:hAnsi="宋体" w:cs="宋体"/>
                <w:kern w:val="0"/>
                <w:sz w:val="24"/>
                <w:szCs w:val="24"/>
              </w:rPr>
              <w:t>先进性</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定性描述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vMerge w:val="continue"/>
            <w:tcBorders>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绿色工厂</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达到评价标准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时效指标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项目实施期</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XX个月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效</w:t>
            </w:r>
            <w:r>
              <w:rPr>
                <w:rFonts w:hint="eastAsia" w:ascii="宋体" w:hAnsi="宋体" w:cs="宋体"/>
                <w:kern w:val="0"/>
                <w:sz w:val="24"/>
                <w:szCs w:val="24"/>
              </w:rPr>
              <w:br/>
            </w:r>
            <w:r>
              <w:rPr>
                <w:rFonts w:hint="eastAsia" w:ascii="宋体" w:hAnsi="宋体" w:cs="宋体"/>
                <w:kern w:val="0"/>
                <w:sz w:val="24"/>
                <w:szCs w:val="24"/>
              </w:rPr>
              <w:t>益</w:t>
            </w:r>
            <w:r>
              <w:rPr>
                <w:rFonts w:hint="eastAsia" w:ascii="宋体" w:hAnsi="宋体" w:cs="宋体"/>
                <w:kern w:val="0"/>
                <w:sz w:val="24"/>
                <w:szCs w:val="24"/>
              </w:rPr>
              <w:br/>
            </w:r>
            <w:r>
              <w:rPr>
                <w:rFonts w:hint="eastAsia" w:ascii="宋体" w:hAnsi="宋体" w:cs="宋体"/>
                <w:kern w:val="0"/>
                <w:sz w:val="24"/>
                <w:szCs w:val="24"/>
              </w:rPr>
              <w:t>指</w:t>
            </w:r>
            <w:r>
              <w:rPr>
                <w:rFonts w:hint="eastAsia" w:ascii="宋体" w:hAnsi="宋体" w:cs="宋体"/>
                <w:kern w:val="0"/>
                <w:sz w:val="24"/>
                <w:szCs w:val="24"/>
              </w:rPr>
              <w:br/>
            </w:r>
            <w:r>
              <w:rPr>
                <w:rFonts w:hint="eastAsia" w:ascii="宋体" w:hAnsi="宋体" w:cs="宋体"/>
                <w:kern w:val="0"/>
                <w:sz w:val="24"/>
                <w:szCs w:val="24"/>
              </w:rPr>
              <w:t>标</w:t>
            </w:r>
          </w:p>
        </w:tc>
        <w:tc>
          <w:tcPr>
            <w:tcW w:w="1777"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社会效益</w:t>
            </w:r>
            <w:r>
              <w:rPr>
                <w:rFonts w:hint="eastAsia" w:ascii="宋体" w:hAnsi="宋体" w:cs="宋体"/>
                <w:kern w:val="0"/>
                <w:sz w:val="24"/>
                <w:szCs w:val="24"/>
              </w:rPr>
              <w:br/>
            </w:r>
            <w:r>
              <w:rPr>
                <w:rFonts w:hint="eastAsia" w:ascii="宋体" w:hAnsi="宋体" w:cs="宋体"/>
                <w:kern w:val="0"/>
                <w:sz w:val="24"/>
                <w:szCs w:val="24"/>
              </w:rPr>
              <w:t>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绿色标准拟发挥的作用</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定性描述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hint="eastAsia" w:ascii="宋体" w:hAnsi="宋体" w:cs="宋体"/>
                <w:kern w:val="0"/>
                <w:sz w:val="24"/>
                <w:szCs w:val="24"/>
              </w:rPr>
              <w:t>联合体</w:t>
            </w:r>
            <w:r>
              <w:rPr>
                <w:rFonts w:ascii="宋体" w:hAnsi="宋体" w:cs="宋体"/>
                <w:kern w:val="0"/>
                <w:sz w:val="24"/>
                <w:szCs w:val="24"/>
              </w:rPr>
              <w:t>模式拟发挥的作用</w:t>
            </w:r>
          </w:p>
        </w:tc>
        <w:tc>
          <w:tcPr>
            <w:tcW w:w="2008"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定性描述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szCs w:val="24"/>
              </w:rPr>
            </w:pPr>
          </w:p>
        </w:tc>
        <w:tc>
          <w:tcPr>
            <w:tcW w:w="1777" w:type="dxa"/>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生态效益</w:t>
            </w:r>
            <w:r>
              <w:rPr>
                <w:rFonts w:hint="eastAsia" w:ascii="宋体" w:hAnsi="宋体" w:cs="宋体"/>
                <w:kern w:val="0"/>
                <w:sz w:val="24"/>
                <w:szCs w:val="24"/>
              </w:rPr>
              <w:br/>
            </w:r>
            <w:r>
              <w:rPr>
                <w:rFonts w:hint="eastAsia" w:ascii="宋体" w:hAnsi="宋体" w:cs="宋体"/>
                <w:kern w:val="0"/>
                <w:sz w:val="24"/>
                <w:szCs w:val="24"/>
              </w:rPr>
              <w:t>指标</w:t>
            </w:r>
          </w:p>
        </w:tc>
        <w:tc>
          <w:tcPr>
            <w:tcW w:w="3582" w:type="dxa"/>
            <w:gridSpan w:val="3"/>
            <w:tcBorders>
              <w:top w:val="single" w:color="auto" w:sz="4" w:space="0"/>
              <w:left w:val="nil"/>
              <w:bottom w:val="single" w:color="auto" w:sz="4" w:space="0"/>
              <w:right w:val="single" w:color="000000" w:sz="4" w:space="0"/>
            </w:tcBorders>
            <w:vAlign w:val="center"/>
          </w:tcPr>
          <w:p>
            <w:pPr>
              <w:widowControl/>
              <w:pBdr>
                <w:bottom w:val="none" w:color="auto" w:sz="0" w:space="0"/>
              </w:pBdr>
              <w:snapToGrid w:val="0"/>
              <w:jc w:val="left"/>
              <w:rPr>
                <w:rFonts w:ascii="宋体" w:hAnsi="宋体" w:cs="宋体"/>
                <w:kern w:val="0"/>
                <w:sz w:val="24"/>
                <w:szCs w:val="24"/>
              </w:rPr>
            </w:pPr>
            <w:r>
              <w:rPr>
                <w:rFonts w:hint="default" w:ascii="宋体" w:hAnsi="宋体" w:cs="宋体"/>
                <w:kern w:val="0"/>
                <w:sz w:val="24"/>
                <w:szCs w:val="24"/>
                <w:lang w:bidi="en-US"/>
              </w:rPr>
              <w:t>绿色制造资源环境影响度</w:t>
            </w:r>
          </w:p>
        </w:tc>
        <w:tc>
          <w:tcPr>
            <w:tcW w:w="2008" w:type="dxa"/>
            <w:tcBorders>
              <w:top w:val="nil"/>
              <w:left w:val="nil"/>
              <w:bottom w:val="single" w:color="auto" w:sz="4" w:space="0"/>
              <w:right w:val="single" w:color="auto" w:sz="4" w:space="0"/>
            </w:tcBorders>
            <w:vAlign w:val="center"/>
          </w:tcPr>
          <w:p>
            <w:pPr>
              <w:widowControl/>
              <w:pBdr>
                <w:bottom w:val="none" w:color="auto" w:sz="0" w:space="0"/>
              </w:pBdr>
              <w:snapToGrid w:val="0"/>
              <w:jc w:val="left"/>
              <w:rPr>
                <w:rFonts w:ascii="宋体" w:hAnsi="宋体" w:cs="宋体"/>
                <w:kern w:val="0"/>
                <w:sz w:val="24"/>
                <w:szCs w:val="24"/>
              </w:rPr>
            </w:pPr>
            <w:r>
              <w:rPr>
                <w:rFonts w:hint="default" w:ascii="宋体" w:hAnsi="宋体" w:cs="宋体"/>
                <w:kern w:val="0"/>
                <w:sz w:val="24"/>
                <w:szCs w:val="24"/>
                <w:lang w:bidi="en-US"/>
              </w:rPr>
              <w:t>下降</w:t>
            </w:r>
            <w:r>
              <w:rPr>
                <w:rFonts w:hint="default" w:ascii="宋体" w:hAnsi="宋体" w:cs="宋体"/>
                <w:kern w:val="0"/>
                <w:sz w:val="24"/>
                <w:szCs w:val="24"/>
                <w:lang w:val="en-US" w:eastAsia="zh-CN" w:bidi="en-US"/>
              </w:rPr>
              <w:t>XX</w:t>
            </w:r>
            <w:r>
              <w:rPr>
                <w:rFonts w:hint="default" w:ascii="宋体" w:hAnsi="宋体" w:cs="宋体"/>
                <w:kern w:val="0"/>
                <w:sz w:val="24"/>
                <w:szCs w:val="24"/>
                <w:lang w:bidi="en-US"/>
              </w:rPr>
              <w:t>个百分点或低于90%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ascii="宋体" w:hAnsi="宋体" w:cs="宋体"/>
                <w:kern w:val="0"/>
                <w:sz w:val="24"/>
                <w:szCs w:val="24"/>
              </w:rPr>
            </w:pPr>
          </w:p>
        </w:tc>
        <w:tc>
          <w:tcPr>
            <w:tcW w:w="1001" w:type="dxa"/>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满意度指标</w:t>
            </w:r>
          </w:p>
        </w:tc>
        <w:tc>
          <w:tcPr>
            <w:tcW w:w="1777" w:type="dxa"/>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cs="宋体"/>
                <w:kern w:val="0"/>
                <w:sz w:val="24"/>
                <w:szCs w:val="24"/>
              </w:rPr>
            </w:pPr>
            <w:r>
              <w:rPr>
                <w:rFonts w:hint="eastAsia" w:ascii="宋体" w:hAnsi="宋体" w:cs="宋体"/>
                <w:kern w:val="0"/>
                <w:sz w:val="24"/>
                <w:szCs w:val="24"/>
              </w:rPr>
              <w:t>服务对象</w:t>
            </w:r>
            <w:r>
              <w:rPr>
                <w:rFonts w:hint="eastAsia" w:ascii="宋体" w:hAnsi="宋体" w:cs="宋体"/>
                <w:kern w:val="0"/>
                <w:sz w:val="24"/>
                <w:szCs w:val="24"/>
              </w:rPr>
              <w:br/>
            </w:r>
            <w:r>
              <w:rPr>
                <w:rFonts w:hint="eastAsia" w:ascii="宋体" w:hAnsi="宋体" w:cs="宋体"/>
                <w:kern w:val="0"/>
                <w:sz w:val="24"/>
                <w:szCs w:val="24"/>
              </w:rPr>
              <w:t>满意度指标</w:t>
            </w:r>
          </w:p>
        </w:tc>
        <w:tc>
          <w:tcPr>
            <w:tcW w:w="3582" w:type="dxa"/>
            <w:gridSpan w:val="3"/>
            <w:tcBorders>
              <w:top w:val="single" w:color="auto" w:sz="4" w:space="0"/>
              <w:left w:val="nil"/>
              <w:bottom w:val="single" w:color="auto" w:sz="4" w:space="0"/>
              <w:right w:val="single" w:color="000000" w:sz="4" w:space="0"/>
            </w:tcBorders>
            <w:vAlign w:val="center"/>
          </w:tcPr>
          <w:p>
            <w:pPr>
              <w:widowControl/>
              <w:snapToGrid w:val="0"/>
              <w:jc w:val="left"/>
              <w:rPr>
                <w:rFonts w:ascii="宋体" w:hAnsi="宋体" w:cs="宋体"/>
                <w:kern w:val="0"/>
                <w:sz w:val="24"/>
                <w:szCs w:val="24"/>
              </w:rPr>
            </w:pPr>
            <w:r>
              <w:rPr>
                <w:rFonts w:ascii="宋体" w:hAnsi="宋体" w:cs="宋体"/>
                <w:kern w:val="0"/>
                <w:sz w:val="24"/>
                <w:szCs w:val="24"/>
              </w:rPr>
              <w:t>行业内</w:t>
            </w:r>
            <w:r>
              <w:rPr>
                <w:rFonts w:hint="eastAsia" w:ascii="宋体" w:hAnsi="宋体" w:cs="宋体"/>
                <w:kern w:val="0"/>
                <w:sz w:val="24"/>
                <w:szCs w:val="24"/>
              </w:rPr>
              <w:t>专家</w:t>
            </w:r>
            <w:r>
              <w:rPr>
                <w:rFonts w:ascii="宋体" w:hAnsi="宋体" w:cs="宋体"/>
                <w:kern w:val="0"/>
                <w:sz w:val="24"/>
                <w:szCs w:val="24"/>
              </w:rPr>
              <w:t>对项目的评价</w:t>
            </w:r>
            <w:r>
              <w:rPr>
                <w:rFonts w:hint="eastAsia" w:ascii="宋体" w:hAnsi="宋体" w:cs="宋体"/>
                <w:kern w:val="0"/>
                <w:sz w:val="24"/>
                <w:szCs w:val="24"/>
              </w:rPr>
              <w:t>满意度</w:t>
            </w:r>
          </w:p>
        </w:tc>
        <w:tc>
          <w:tcPr>
            <w:tcW w:w="2008" w:type="dxa"/>
            <w:tcBorders>
              <w:top w:val="nil"/>
              <w:left w:val="nil"/>
              <w:bottom w:val="single" w:color="auto" w:sz="4" w:space="0"/>
              <w:right w:val="single" w:color="auto" w:sz="4" w:space="0"/>
            </w:tcBorders>
            <w:vAlign w:val="center"/>
          </w:tcPr>
          <w:p>
            <w:pPr>
              <w:widowControl/>
              <w:snapToGrid w:val="0"/>
              <w:rPr>
                <w:rFonts w:ascii="宋体" w:hAnsi="宋体" w:cs="宋体"/>
                <w:kern w:val="0"/>
                <w:sz w:val="24"/>
                <w:szCs w:val="24"/>
              </w:rPr>
            </w:pPr>
            <w:r>
              <w:rPr>
                <w:rFonts w:hint="eastAsia" w:ascii="宋体" w:hAnsi="宋体" w:cs="宋体"/>
                <w:kern w:val="0"/>
                <w:sz w:val="24"/>
                <w:szCs w:val="24"/>
              </w:rPr>
              <w:t>大于等于90%</w:t>
            </w:r>
          </w:p>
        </w:tc>
      </w:tr>
    </w:tbl>
    <w:p>
      <w:pPr>
        <w:adjustRightInd/>
        <w:snapToGrid/>
        <w:spacing w:line="320" w:lineRule="exact"/>
        <w:jc w:val="both"/>
        <w:rPr>
          <w:rFonts w:hint="eastAsia" w:ascii="Times New Roman" w:hAnsi="Times New Roman" w:eastAsia="仿宋_GB2312" w:cs="Times New Roman"/>
          <w:sz w:val="32"/>
          <w:szCs w:val="32"/>
        </w:rPr>
      </w:pPr>
    </w:p>
    <w:p>
      <w:pPr>
        <w:adjustRightInd/>
        <w:snapToGrid/>
        <w:spacing w:line="3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附件5</w:t>
      </w:r>
    </w:p>
    <w:p>
      <w:pPr>
        <w:adjustRightInd w:val="0"/>
        <w:snapToGrid w:val="0"/>
        <w:spacing w:line="240" w:lineRule="atLeast"/>
        <w:jc w:val="center"/>
        <w:rPr>
          <w:rFonts w:hint="eastAsia" w:ascii="宋体" w:hAnsi="宋体" w:cs="宋体"/>
          <w:b/>
          <w:bCs/>
          <w:color w:val="000000"/>
          <w:kern w:val="0"/>
          <w:szCs w:val="21"/>
        </w:rPr>
      </w:pPr>
      <w:r>
        <w:rPr>
          <w:rFonts w:hint="eastAsia" w:ascii="黑体" w:hAnsi="黑体" w:eastAsia="黑体"/>
          <w:sz w:val="28"/>
          <w:szCs w:val="28"/>
        </w:rPr>
        <w:t>中央对地方专项转移支付绩效自评表</w:t>
      </w:r>
    </w:p>
    <w:p>
      <w:pPr>
        <w:adjustRightInd w:val="0"/>
        <w:snapToGrid w:val="0"/>
        <w:spacing w:line="240" w:lineRule="atLeast"/>
        <w:jc w:val="center"/>
        <w:rPr>
          <w:szCs w:val="21"/>
        </w:rPr>
      </w:pPr>
      <w:r>
        <w:rPr>
          <w:rFonts w:hint="eastAsia" w:ascii="宋体" w:hAnsi="宋体" w:cs="宋体"/>
          <w:b/>
          <w:bCs/>
          <w:color w:val="000000"/>
          <w:kern w:val="0"/>
          <w:szCs w:val="21"/>
        </w:rPr>
        <w:t>(     年度)</w:t>
      </w:r>
    </w:p>
    <w:tbl>
      <w:tblPr>
        <w:tblStyle w:val="15"/>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25"/>
        <w:gridCol w:w="1134"/>
        <w:gridCol w:w="709"/>
        <w:gridCol w:w="425"/>
        <w:gridCol w:w="709"/>
        <w:gridCol w:w="851"/>
        <w:gridCol w:w="992"/>
        <w:gridCol w:w="850"/>
        <w:gridCol w:w="56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280" w:type="dxa"/>
            <w:gridSpan w:val="9"/>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3"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2460" w:type="dxa"/>
            <w:gridSpan w:val="3"/>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Merge w:val="restart"/>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项目资金                    （万元）</w:t>
            </w:r>
          </w:p>
        </w:tc>
        <w:tc>
          <w:tcPr>
            <w:tcW w:w="1843"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gridSpan w:val="2"/>
            <w:vAlign w:val="center"/>
          </w:tcPr>
          <w:p>
            <w:pPr>
              <w:widowControl/>
              <w:adjustRightInd w:val="0"/>
              <w:snapToGrid w:val="0"/>
              <w:spacing w:line="240" w:lineRule="atLeas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分值</w:t>
            </w:r>
          </w:p>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850"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得分计算方法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1843" w:type="dxa"/>
            <w:gridSpan w:val="2"/>
            <w:vAlign w:val="center"/>
          </w:tcPr>
          <w:p>
            <w:pPr>
              <w:widowControl/>
              <w:adjustRightInd w:val="0"/>
              <w:snapToGrid w:val="0"/>
              <w:spacing w:line="240" w:lineRule="atLeas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gridSpan w:val="2"/>
            <w:vAlign w:val="center"/>
          </w:tcPr>
          <w:p>
            <w:pPr>
              <w:widowControl/>
              <w:adjustRightInd w:val="0"/>
              <w:snapToGrid w:val="0"/>
              <w:spacing w:line="240" w:lineRule="atLeast"/>
              <w:jc w:val="center"/>
              <w:rPr>
                <w:rFonts w:ascii="宋体" w:hAnsi="宋体" w:cs="宋体"/>
                <w:color w:val="000000"/>
                <w:kern w:val="0"/>
                <w:sz w:val="18"/>
                <w:szCs w:val="18"/>
              </w:rPr>
            </w:pP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992"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850"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Merge w:val="restart"/>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执行率*该指标分值，最高不得超过分值上限。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1843" w:type="dxa"/>
            <w:gridSpan w:val="2"/>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其中：本年一般公共预算拨款　</w:t>
            </w:r>
          </w:p>
        </w:tc>
        <w:tc>
          <w:tcPr>
            <w:tcW w:w="1134" w:type="dxa"/>
            <w:gridSpan w:val="2"/>
            <w:vAlign w:val="center"/>
          </w:tcPr>
          <w:p>
            <w:pPr>
              <w:widowControl/>
              <w:adjustRightInd w:val="0"/>
              <w:snapToGrid w:val="0"/>
              <w:spacing w:line="240" w:lineRule="atLeast"/>
              <w:jc w:val="center"/>
              <w:rPr>
                <w:rFonts w:ascii="宋体" w:hAnsi="宋体" w:cs="宋体"/>
                <w:color w:val="000000"/>
                <w:kern w:val="0"/>
                <w:sz w:val="18"/>
                <w:szCs w:val="18"/>
              </w:rPr>
            </w:pP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992"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850"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2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1843" w:type="dxa"/>
            <w:gridSpan w:val="2"/>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gridSpan w:val="2"/>
            <w:vAlign w:val="center"/>
          </w:tcPr>
          <w:p>
            <w:pPr>
              <w:widowControl/>
              <w:adjustRightInd w:val="0"/>
              <w:snapToGrid w:val="0"/>
              <w:spacing w:line="240" w:lineRule="atLeast"/>
              <w:jc w:val="center"/>
              <w:rPr>
                <w:rFonts w:ascii="宋体" w:hAnsi="宋体" w:cs="宋体"/>
                <w:color w:val="000000"/>
                <w:kern w:val="0"/>
                <w:sz w:val="18"/>
                <w:szCs w:val="18"/>
              </w:rPr>
            </w:pP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992"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850"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年度目标完成情况</w:t>
            </w:r>
          </w:p>
        </w:tc>
        <w:tc>
          <w:tcPr>
            <w:tcW w:w="2977" w:type="dxa"/>
            <w:gridSpan w:val="4"/>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年初设定目标</w:t>
            </w:r>
          </w:p>
        </w:tc>
        <w:tc>
          <w:tcPr>
            <w:tcW w:w="4303" w:type="dxa"/>
            <w:gridSpan w:val="5"/>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restart"/>
            <w:textDirection w:val="tbRlV"/>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725"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25"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842" w:type="dxa"/>
            <w:gridSpan w:val="2"/>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得分计算方法</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产出指标(50分)</w:t>
            </w: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数量指标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restart"/>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完成值达到指标值，记满分；未达到指标值，按B/A或A/B*该指标分值记分。</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质量指标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restart"/>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1.若为定性指标，则根据“三档”原则分别按照指标分值的100-80%(含80%)、80-50%(含50%)、50-0%来记分。</w:t>
            </w:r>
            <w:r>
              <w:rPr>
                <w:rFonts w:hint="eastAsia" w:ascii="宋体" w:hAnsi="宋体" w:cs="宋体"/>
                <w:color w:val="000000"/>
                <w:kern w:val="0"/>
                <w:sz w:val="15"/>
                <w:szCs w:val="15"/>
              </w:rPr>
              <w:br/>
            </w:r>
            <w:r>
              <w:rPr>
                <w:rFonts w:hint="eastAsia" w:ascii="宋体" w:hAnsi="宋体" w:cs="宋体"/>
                <w:color w:val="000000"/>
                <w:kern w:val="0"/>
                <w:sz w:val="15"/>
                <w:szCs w:val="15"/>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时效指标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成本指标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5"/>
                <w:szCs w:val="15"/>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效益指标(30分)</w:t>
            </w: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经济效益</w:t>
            </w:r>
            <w:r>
              <w:rPr>
                <w:rFonts w:hint="eastAsia" w:ascii="宋体" w:hAnsi="宋体" w:cs="宋体"/>
                <w:kern w:val="0"/>
                <w:sz w:val="18"/>
                <w:szCs w:val="18"/>
              </w:rPr>
              <w:br/>
            </w:r>
            <w:r>
              <w:rPr>
                <w:rFonts w:hint="eastAsia" w:ascii="宋体" w:hAnsi="宋体" w:cs="宋体"/>
                <w:kern w:val="0"/>
                <w:sz w:val="18"/>
                <w:szCs w:val="18"/>
              </w:rPr>
              <w:t>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restart"/>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1.若为定性指标，则根据“三档”原则分别按照指标分值的100-80%(含80%)、80-50%(含50%)、50-0%来记分。</w:t>
            </w:r>
            <w:r>
              <w:rPr>
                <w:rFonts w:hint="eastAsia" w:ascii="宋体" w:hAnsi="宋体" w:cs="宋体"/>
                <w:color w:val="000000"/>
                <w:kern w:val="0"/>
                <w:sz w:val="15"/>
                <w:szCs w:val="15"/>
              </w:rPr>
              <w:br/>
            </w:r>
            <w:r>
              <w:rPr>
                <w:rFonts w:hint="eastAsia" w:ascii="宋体" w:hAnsi="宋体" w:cs="宋体"/>
                <w:color w:val="000000"/>
                <w:kern w:val="0"/>
                <w:sz w:val="15"/>
                <w:szCs w:val="15"/>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社会效益</w:t>
            </w:r>
            <w:r>
              <w:rPr>
                <w:rFonts w:hint="eastAsia" w:ascii="宋体" w:hAnsi="宋体" w:cs="宋体"/>
                <w:kern w:val="0"/>
                <w:sz w:val="18"/>
                <w:szCs w:val="18"/>
              </w:rPr>
              <w:br/>
            </w:r>
            <w:r>
              <w:rPr>
                <w:rFonts w:hint="eastAsia" w:ascii="宋体" w:hAnsi="宋体" w:cs="宋体"/>
                <w:kern w:val="0"/>
                <w:sz w:val="18"/>
                <w:szCs w:val="18"/>
              </w:rPr>
              <w:t>指标</w:t>
            </w:r>
          </w:p>
        </w:tc>
        <w:tc>
          <w:tcPr>
            <w:tcW w:w="709"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425"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709"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425"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709"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　</w:t>
            </w:r>
          </w:p>
        </w:tc>
        <w:tc>
          <w:tcPr>
            <w:tcW w:w="851" w:type="dxa"/>
            <w:vAlign w:val="center"/>
          </w:tcPr>
          <w:p>
            <w:pPr>
              <w:widowControl/>
              <w:adjustRightInd w:val="0"/>
              <w:snapToGrid w:val="0"/>
              <w:spacing w:line="24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425"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709"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生态效益</w:t>
            </w:r>
            <w:r>
              <w:rPr>
                <w:rFonts w:hint="eastAsia" w:ascii="宋体" w:hAnsi="宋体" w:cs="宋体"/>
                <w:kern w:val="0"/>
                <w:sz w:val="18"/>
                <w:szCs w:val="18"/>
              </w:rPr>
              <w:br/>
            </w:r>
            <w:r>
              <w:rPr>
                <w:rFonts w:hint="eastAsia" w:ascii="宋体" w:hAnsi="宋体" w:cs="宋体"/>
                <w:kern w:val="0"/>
                <w:sz w:val="18"/>
                <w:szCs w:val="18"/>
              </w:rPr>
              <w:t>指标</w:t>
            </w:r>
          </w:p>
        </w:tc>
        <w:tc>
          <w:tcPr>
            <w:tcW w:w="709"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425" w:type="dxa"/>
            <w:vAlign w:val="center"/>
          </w:tcPr>
          <w:p>
            <w:pPr>
              <w:widowControl/>
              <w:adjustRightInd w:val="0"/>
              <w:snapToGrid w:val="0"/>
              <w:spacing w:line="240" w:lineRule="atLeast"/>
              <w:jc w:val="left"/>
              <w:rPr>
                <w:rFonts w:ascii="宋体" w:hAnsi="宋体" w:cs="宋体"/>
                <w:kern w:val="0"/>
                <w:sz w:val="18"/>
                <w:szCs w:val="18"/>
              </w:rPr>
            </w:pPr>
            <w:r>
              <w:rPr>
                <w:rFonts w:hint="eastAsia" w:ascii="宋体" w:hAnsi="宋体" w:cs="宋体"/>
                <w:kern w:val="0"/>
                <w:sz w:val="18"/>
                <w:szCs w:val="18"/>
              </w:rPr>
              <w:t>　</w:t>
            </w:r>
          </w:p>
        </w:tc>
        <w:tc>
          <w:tcPr>
            <w:tcW w:w="709"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可持续影响指标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满意度指标（10分）</w:t>
            </w:r>
          </w:p>
        </w:tc>
        <w:tc>
          <w:tcPr>
            <w:tcW w:w="1134" w:type="dxa"/>
            <w:vMerge w:val="restart"/>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r>
            <w:r>
              <w:rPr>
                <w:rFonts w:hint="eastAsia" w:ascii="宋体" w:hAnsi="宋体" w:cs="宋体"/>
                <w:kern w:val="0"/>
                <w:sz w:val="18"/>
                <w:szCs w:val="18"/>
              </w:rPr>
              <w:t>满意度指标</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restart"/>
            <w:vAlign w:val="center"/>
          </w:tcPr>
          <w:p>
            <w:pPr>
              <w:widowControl/>
              <w:adjustRightInd w:val="0"/>
              <w:snapToGrid w:val="0"/>
              <w:spacing w:line="240" w:lineRule="atLeast"/>
              <w:jc w:val="left"/>
              <w:rPr>
                <w:rFonts w:ascii="宋体" w:hAnsi="宋体" w:cs="宋体"/>
                <w:color w:val="000000"/>
                <w:kern w:val="0"/>
                <w:sz w:val="15"/>
                <w:szCs w:val="15"/>
              </w:rPr>
            </w:pPr>
            <w:r>
              <w:rPr>
                <w:rFonts w:hint="eastAsia" w:ascii="宋体" w:hAnsi="宋体" w:cs="宋体"/>
                <w:color w:val="000000"/>
                <w:kern w:val="0"/>
                <w:sz w:val="15"/>
                <w:szCs w:val="15"/>
              </w:rPr>
              <w:t>同效益指标得分计算方式。</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17" w:type="dxa"/>
            <w:vMerge w:val="continue"/>
            <w:vAlign w:val="center"/>
          </w:tcPr>
          <w:p>
            <w:pPr>
              <w:widowControl/>
              <w:adjustRightInd w:val="0"/>
              <w:snapToGrid w:val="0"/>
              <w:spacing w:line="240" w:lineRule="atLeast"/>
              <w:jc w:val="left"/>
              <w:rPr>
                <w:rFonts w:ascii="宋体" w:hAnsi="宋体" w:cs="宋体"/>
                <w:color w:val="000000"/>
                <w:kern w:val="0"/>
                <w:sz w:val="18"/>
                <w:szCs w:val="18"/>
              </w:rPr>
            </w:pPr>
          </w:p>
        </w:tc>
        <w:tc>
          <w:tcPr>
            <w:tcW w:w="725" w:type="dxa"/>
            <w:vMerge w:val="continue"/>
            <w:vAlign w:val="center"/>
          </w:tcPr>
          <w:p>
            <w:pPr>
              <w:widowControl/>
              <w:adjustRightInd w:val="0"/>
              <w:snapToGrid w:val="0"/>
              <w:spacing w:line="240" w:lineRule="atLeast"/>
              <w:jc w:val="left"/>
              <w:rPr>
                <w:rFonts w:ascii="宋体" w:hAnsi="宋体" w:cs="宋体"/>
                <w:kern w:val="0"/>
                <w:sz w:val="18"/>
                <w:szCs w:val="18"/>
              </w:rPr>
            </w:pPr>
          </w:p>
        </w:tc>
        <w:tc>
          <w:tcPr>
            <w:tcW w:w="1134" w:type="dxa"/>
            <w:vAlign w:val="center"/>
          </w:tcPr>
          <w:p>
            <w:pPr>
              <w:widowControl/>
              <w:adjustRightInd w:val="0"/>
              <w:snapToGrid w:val="0"/>
              <w:spacing w:line="240" w:lineRule="atLeast"/>
              <w:jc w:val="center"/>
              <w:rPr>
                <w:rFonts w:ascii="宋体" w:hAnsi="宋体" w:cs="宋体"/>
                <w:kern w:val="0"/>
                <w:sz w:val="18"/>
                <w:szCs w:val="18"/>
              </w:rPr>
            </w:pPr>
            <w:r>
              <w:rPr>
                <w:rFonts w:hint="eastAsia" w:ascii="宋体" w:hAnsi="宋体" w:cs="宋体"/>
                <w:kern w:val="0"/>
                <w:sz w:val="18"/>
                <w:szCs w:val="18"/>
              </w:rPr>
              <w:t>……</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gridSpan w:val="2"/>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7" w:type="dxa"/>
            <w:vAlign w:val="center"/>
          </w:tcPr>
          <w:p>
            <w:pPr>
              <w:widowControl/>
              <w:adjustRightInd w:val="0"/>
              <w:snapToGrid w:val="0"/>
              <w:spacing w:line="240" w:lineRule="atLeast"/>
              <w:jc w:val="center"/>
              <w:rPr>
                <w:rFonts w:ascii="宋体" w:hAnsi="宋体" w:cs="宋体"/>
                <w:color w:val="000000"/>
                <w:kern w:val="0"/>
                <w:sz w:val="18"/>
                <w:szCs w:val="18"/>
              </w:rPr>
            </w:pPr>
          </w:p>
        </w:tc>
        <w:tc>
          <w:tcPr>
            <w:tcW w:w="1043" w:type="dxa"/>
            <w:vAlign w:val="center"/>
          </w:tcPr>
          <w:p>
            <w:pPr>
              <w:widowControl/>
              <w:adjustRightInd w:val="0"/>
              <w:snapToGrid w:val="0"/>
              <w:spacing w:line="240" w:lineRule="atLeas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479" w:type="dxa"/>
            <w:gridSpan w:val="10"/>
            <w:vAlign w:val="center"/>
          </w:tcPr>
          <w:p>
            <w:pPr>
              <w:widowControl/>
              <w:adjustRightInd w:val="0"/>
              <w:snapToGrid w:val="0"/>
              <w:spacing w:line="240" w:lineRule="atLeast"/>
              <w:jc w:val="center"/>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1043" w:type="dxa"/>
            <w:vAlign w:val="center"/>
          </w:tcPr>
          <w:p>
            <w:pPr>
              <w:widowControl/>
              <w:adjustRightInd w:val="0"/>
              <w:snapToGrid w:val="0"/>
              <w:spacing w:line="24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adjustRightInd w:val="0"/>
        <w:snapToGrid w:val="0"/>
        <w:spacing w:line="240" w:lineRule="atLeast"/>
        <w:rPr>
          <w:rFonts w:ascii="宋体" w:hAnsi="宋体" w:cs="宋体"/>
          <w:color w:val="000000"/>
          <w:kern w:val="0"/>
          <w:sz w:val="15"/>
          <w:szCs w:val="15"/>
        </w:rPr>
      </w:pPr>
      <w:r>
        <w:rPr>
          <w:rFonts w:hint="eastAsia" w:ascii="宋体" w:hAnsi="宋体" w:cs="宋体"/>
          <w:color w:val="000000"/>
          <w:kern w:val="0"/>
          <w:sz w:val="15"/>
          <w:szCs w:val="15"/>
        </w:rPr>
        <w:t>注：1.得分一档最高不能超过该指标分值上限。</w:t>
      </w:r>
    </w:p>
    <w:p>
      <w:pPr>
        <w:adjustRightInd w:val="0"/>
        <w:snapToGrid w:val="0"/>
        <w:spacing w:line="240" w:lineRule="atLeast"/>
        <w:ind w:firstLine="300" w:firstLineChars="200"/>
        <w:rPr>
          <w:rFonts w:ascii="宋体" w:hAnsi="宋体" w:cs="宋体"/>
          <w:color w:val="000000"/>
          <w:kern w:val="0"/>
          <w:sz w:val="15"/>
          <w:szCs w:val="15"/>
        </w:rPr>
      </w:pPr>
      <w:r>
        <w:rPr>
          <w:rFonts w:hint="eastAsia" w:ascii="宋体" w:hAnsi="宋体" w:cs="宋体"/>
          <w:color w:val="000000"/>
          <w:kern w:val="0"/>
          <w:sz w:val="15"/>
          <w:szCs w:val="15"/>
        </w:rPr>
        <w:t>2.定性指标根据指标完成情况分为：达成预期指标、部分达成预期指标并具有一定效果、未达成预期指标且效果较差三档，分别按照该指标对应分值区间100-80%(含80%)、80-50%(含50%)、50-0%合理确定分值。</w:t>
      </w:r>
    </w:p>
    <w:p>
      <w:pPr>
        <w:adjustRightInd w:val="0"/>
        <w:snapToGrid w:val="0"/>
        <w:spacing w:line="240" w:lineRule="atLeast"/>
        <w:ind w:firstLine="300" w:firstLineChars="200"/>
        <w:rPr>
          <w:rFonts w:ascii="宋体" w:hAnsi="宋体" w:cs="宋体"/>
          <w:color w:val="000000"/>
          <w:kern w:val="0"/>
          <w:sz w:val="15"/>
          <w:szCs w:val="15"/>
        </w:rPr>
      </w:pPr>
      <w:r>
        <w:rPr>
          <w:rFonts w:hint="eastAsia" w:ascii="宋体" w:hAnsi="宋体" w:cs="宋体"/>
          <w:color w:val="000000"/>
          <w:kern w:val="0"/>
          <w:sz w:val="15"/>
          <w:szCs w:val="15"/>
        </w:rPr>
        <w:t>3.定量指标若为正向指标（即指标值为≥*），则得分计算方法应用全年</w:t>
      </w:r>
      <w:bookmarkStart w:id="0" w:name="_GoBack"/>
      <w:bookmarkEnd w:id="0"/>
      <w:r>
        <w:rPr>
          <w:rFonts w:hint="eastAsia" w:ascii="宋体" w:hAnsi="宋体" w:cs="宋体"/>
          <w:color w:val="000000"/>
          <w:kern w:val="0"/>
          <w:sz w:val="15"/>
          <w:szCs w:val="15"/>
        </w:rPr>
        <w:t xml:space="preserve">实际值（B）/年度指标值（A）*该指标分值；若定量指标为反向指标（即指标值为≤*），则得分计算方法应用年度指标值（A）/全年实际值（B）*该指标分值。 </w:t>
      </w:r>
    </w:p>
    <w:p>
      <w:pPr>
        <w:widowControl w:val="0"/>
        <w:adjustRightInd w:val="0"/>
        <w:snapToGrid w:val="0"/>
        <w:spacing w:beforeLines="-2147483648" w:afterLines="-2147483648" w:line="240" w:lineRule="atLeast"/>
        <w:ind w:firstLine="300" w:firstLineChars="200"/>
        <w:jc w:val="both"/>
        <w:rPr>
          <w:rFonts w:ascii="Times New Roman" w:hAnsi="黑体" w:eastAsia="黑体" w:cs="Times New Roman"/>
          <w:sz w:val="32"/>
          <w:szCs w:val="32"/>
        </w:rPr>
      </w:pPr>
      <w:r>
        <w:rPr>
          <w:rFonts w:hint="eastAsia" w:ascii="宋体" w:hAnsi="宋体" w:cs="宋体"/>
          <w:color w:val="000000"/>
          <w:kern w:val="0"/>
          <w:sz w:val="15"/>
          <w:szCs w:val="15"/>
        </w:rPr>
        <w:t>4.请在“未完成原因分析”中说明偏离目标、不能完成目标的原因及拟采取的措施。</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18"/>
        <w:szCs w:val="18"/>
      </w:rPr>
    </w:pPr>
    <w:r>
      <w:rPr>
        <w:rFonts w:ascii="Calibri" w:hAnsi="Calibri" w:eastAsia="宋体" w:cs="黑体"/>
        <w:kern w:val="2"/>
        <w:sz w:val="18"/>
        <w:szCs w:val="22"/>
        <w:lang w:val="en-US" w:eastAsia="zh-CN" w:bidi="ar-SA"/>
      </w:rPr>
      <w:pict>
        <v:rect id="Quad Arrow 3"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18"/>
        <w:szCs w:val="18"/>
      </w:rPr>
    </w:pPr>
    <w:r>
      <w:rPr>
        <w:rFonts w:ascii="Calibri" w:hAnsi="Calibri" w:eastAsia="宋体" w:cs="黑体"/>
        <w:kern w:val="2"/>
        <w:sz w:val="18"/>
        <w:szCs w:val="22"/>
        <w:lang w:val="en-US" w:eastAsia="zh-CN" w:bidi="ar-SA"/>
      </w:rPr>
      <w:pict>
        <v:rect id="文本框 1"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2178604">
    <w:nsid w:val="57BFA9AC"/>
    <w:multiLevelType w:val="singleLevel"/>
    <w:tmpl w:val="57BFA9AC"/>
    <w:lvl w:ilvl="0" w:tentative="1">
      <w:start w:val="1"/>
      <w:numFmt w:val="decimal"/>
      <w:suff w:val="nothing"/>
      <w:lvlText w:val="%1."/>
      <w:lvlJc w:val="left"/>
    </w:lvl>
  </w:abstractNum>
  <w:abstractNum w:abstractNumId="1472544483">
    <w:nsid w:val="57C53EE3"/>
    <w:multiLevelType w:val="singleLevel"/>
    <w:tmpl w:val="57C53EE3"/>
    <w:lvl w:ilvl="0" w:tentative="1">
      <w:start w:val="3"/>
      <w:numFmt w:val="decimal"/>
      <w:suff w:val="nothing"/>
      <w:lvlText w:val="%1."/>
      <w:lvlJc w:val="left"/>
    </w:lvl>
  </w:abstractNum>
  <w:abstractNum w:abstractNumId="1472544312">
    <w:nsid w:val="57C53E38"/>
    <w:multiLevelType w:val="singleLevel"/>
    <w:tmpl w:val="57C53E38"/>
    <w:lvl w:ilvl="0" w:tentative="1">
      <w:start w:val="2"/>
      <w:numFmt w:val="decimal"/>
      <w:suff w:val="nothing"/>
      <w:lvlText w:val="%1."/>
      <w:lvlJc w:val="left"/>
    </w:lvl>
  </w:abstractNum>
  <w:abstractNum w:abstractNumId="1472547051">
    <w:nsid w:val="57C548EB"/>
    <w:multiLevelType w:val="singleLevel"/>
    <w:tmpl w:val="57C548EB"/>
    <w:lvl w:ilvl="0" w:tentative="1">
      <w:start w:val="2"/>
      <w:numFmt w:val="decimal"/>
      <w:suff w:val="space"/>
      <w:lvlText w:val="%1."/>
      <w:lvlJc w:val="left"/>
    </w:lvl>
  </w:abstractNum>
  <w:num w:numId="1">
    <w:abstractNumId w:val="1472178604"/>
  </w:num>
  <w:num w:numId="2">
    <w:abstractNumId w:val="1472544312"/>
  </w:num>
  <w:num w:numId="3">
    <w:abstractNumId w:val="1472544483"/>
  </w:num>
  <w:num w:numId="4">
    <w:abstractNumId w:val="14725470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2670"/>
    <w:rsid w:val="000065C4"/>
    <w:rsid w:val="00006F2A"/>
    <w:rsid w:val="00010136"/>
    <w:rsid w:val="000210AD"/>
    <w:rsid w:val="00021205"/>
    <w:rsid w:val="00031F95"/>
    <w:rsid w:val="00033E6D"/>
    <w:rsid w:val="00034460"/>
    <w:rsid w:val="00036C68"/>
    <w:rsid w:val="0003775D"/>
    <w:rsid w:val="000378AC"/>
    <w:rsid w:val="000412E1"/>
    <w:rsid w:val="00041637"/>
    <w:rsid w:val="00041901"/>
    <w:rsid w:val="00041D04"/>
    <w:rsid w:val="00045161"/>
    <w:rsid w:val="00051017"/>
    <w:rsid w:val="00052A0C"/>
    <w:rsid w:val="00052ED8"/>
    <w:rsid w:val="0005446D"/>
    <w:rsid w:val="00055F8B"/>
    <w:rsid w:val="0005655E"/>
    <w:rsid w:val="000565E4"/>
    <w:rsid w:val="00056CD2"/>
    <w:rsid w:val="000625FA"/>
    <w:rsid w:val="000627D2"/>
    <w:rsid w:val="00066145"/>
    <w:rsid w:val="00072B7A"/>
    <w:rsid w:val="00074926"/>
    <w:rsid w:val="00074FA0"/>
    <w:rsid w:val="00081671"/>
    <w:rsid w:val="000866F9"/>
    <w:rsid w:val="00095DFE"/>
    <w:rsid w:val="000961C1"/>
    <w:rsid w:val="00097EC6"/>
    <w:rsid w:val="000A070D"/>
    <w:rsid w:val="000A0C1B"/>
    <w:rsid w:val="000A3746"/>
    <w:rsid w:val="000A461C"/>
    <w:rsid w:val="000A58A0"/>
    <w:rsid w:val="000A70C7"/>
    <w:rsid w:val="000A758C"/>
    <w:rsid w:val="000B083C"/>
    <w:rsid w:val="000B0A32"/>
    <w:rsid w:val="000B1BD4"/>
    <w:rsid w:val="000B2971"/>
    <w:rsid w:val="000B3608"/>
    <w:rsid w:val="000B3D2A"/>
    <w:rsid w:val="000B3ED4"/>
    <w:rsid w:val="000B4599"/>
    <w:rsid w:val="000C09B1"/>
    <w:rsid w:val="000C0ADD"/>
    <w:rsid w:val="000C105F"/>
    <w:rsid w:val="000C24A4"/>
    <w:rsid w:val="000C67D5"/>
    <w:rsid w:val="000D2B8A"/>
    <w:rsid w:val="000D342F"/>
    <w:rsid w:val="000D3A89"/>
    <w:rsid w:val="000D5013"/>
    <w:rsid w:val="000D5B0E"/>
    <w:rsid w:val="000E0D26"/>
    <w:rsid w:val="000E35E2"/>
    <w:rsid w:val="000E5F67"/>
    <w:rsid w:val="000F3682"/>
    <w:rsid w:val="000F3CE0"/>
    <w:rsid w:val="000F7E4E"/>
    <w:rsid w:val="00101213"/>
    <w:rsid w:val="00101830"/>
    <w:rsid w:val="00101E38"/>
    <w:rsid w:val="00103312"/>
    <w:rsid w:val="001058C0"/>
    <w:rsid w:val="001063C4"/>
    <w:rsid w:val="00111E83"/>
    <w:rsid w:val="001121CB"/>
    <w:rsid w:val="00113DFE"/>
    <w:rsid w:val="0011588F"/>
    <w:rsid w:val="001162AB"/>
    <w:rsid w:val="0011666C"/>
    <w:rsid w:val="00116F19"/>
    <w:rsid w:val="0012143E"/>
    <w:rsid w:val="001216BB"/>
    <w:rsid w:val="00122B74"/>
    <w:rsid w:val="00125E2E"/>
    <w:rsid w:val="00130173"/>
    <w:rsid w:val="001319C8"/>
    <w:rsid w:val="00132639"/>
    <w:rsid w:val="00132FE5"/>
    <w:rsid w:val="0013569F"/>
    <w:rsid w:val="00135A95"/>
    <w:rsid w:val="001465CB"/>
    <w:rsid w:val="001521BE"/>
    <w:rsid w:val="0015528B"/>
    <w:rsid w:val="00156855"/>
    <w:rsid w:val="001572E3"/>
    <w:rsid w:val="00157404"/>
    <w:rsid w:val="001605F2"/>
    <w:rsid w:val="00162F1E"/>
    <w:rsid w:val="0016307C"/>
    <w:rsid w:val="00163673"/>
    <w:rsid w:val="00164AF9"/>
    <w:rsid w:val="001721C8"/>
    <w:rsid w:val="00173FBD"/>
    <w:rsid w:val="0017425C"/>
    <w:rsid w:val="00174AAD"/>
    <w:rsid w:val="00174EBD"/>
    <w:rsid w:val="00180E47"/>
    <w:rsid w:val="001833B6"/>
    <w:rsid w:val="00184F71"/>
    <w:rsid w:val="001854B6"/>
    <w:rsid w:val="001946F5"/>
    <w:rsid w:val="00196F01"/>
    <w:rsid w:val="001A1253"/>
    <w:rsid w:val="001A26D4"/>
    <w:rsid w:val="001A2ADE"/>
    <w:rsid w:val="001A4543"/>
    <w:rsid w:val="001A4B5C"/>
    <w:rsid w:val="001B072E"/>
    <w:rsid w:val="001B2EDB"/>
    <w:rsid w:val="001B39AB"/>
    <w:rsid w:val="001B4409"/>
    <w:rsid w:val="001B651A"/>
    <w:rsid w:val="001B6580"/>
    <w:rsid w:val="001B6E66"/>
    <w:rsid w:val="001B769E"/>
    <w:rsid w:val="001B7F4A"/>
    <w:rsid w:val="001C1991"/>
    <w:rsid w:val="001C4979"/>
    <w:rsid w:val="001C4D32"/>
    <w:rsid w:val="001C7F57"/>
    <w:rsid w:val="001D1E1E"/>
    <w:rsid w:val="001D2444"/>
    <w:rsid w:val="001D2675"/>
    <w:rsid w:val="001D2C95"/>
    <w:rsid w:val="001D301E"/>
    <w:rsid w:val="001D5D96"/>
    <w:rsid w:val="001D7274"/>
    <w:rsid w:val="001E4D33"/>
    <w:rsid w:val="001E5EDA"/>
    <w:rsid w:val="001F24B4"/>
    <w:rsid w:val="001F2A3B"/>
    <w:rsid w:val="001F4304"/>
    <w:rsid w:val="001F4964"/>
    <w:rsid w:val="001F584A"/>
    <w:rsid w:val="001F7A8F"/>
    <w:rsid w:val="002004AC"/>
    <w:rsid w:val="002006B7"/>
    <w:rsid w:val="00202762"/>
    <w:rsid w:val="00204566"/>
    <w:rsid w:val="00204D26"/>
    <w:rsid w:val="002064FB"/>
    <w:rsid w:val="00206518"/>
    <w:rsid w:val="00206790"/>
    <w:rsid w:val="002107D9"/>
    <w:rsid w:val="00212A58"/>
    <w:rsid w:val="00215788"/>
    <w:rsid w:val="002173E6"/>
    <w:rsid w:val="00222CC4"/>
    <w:rsid w:val="00222FEE"/>
    <w:rsid w:val="00223477"/>
    <w:rsid w:val="0022437F"/>
    <w:rsid w:val="002249B8"/>
    <w:rsid w:val="00226815"/>
    <w:rsid w:val="00226886"/>
    <w:rsid w:val="002319A1"/>
    <w:rsid w:val="00235EAE"/>
    <w:rsid w:val="002365C3"/>
    <w:rsid w:val="002369D4"/>
    <w:rsid w:val="0024206F"/>
    <w:rsid w:val="00245723"/>
    <w:rsid w:val="00250D60"/>
    <w:rsid w:val="00254189"/>
    <w:rsid w:val="0026276E"/>
    <w:rsid w:val="002652EB"/>
    <w:rsid w:val="00267669"/>
    <w:rsid w:val="0027090F"/>
    <w:rsid w:val="002713F5"/>
    <w:rsid w:val="00271855"/>
    <w:rsid w:val="00273946"/>
    <w:rsid w:val="00275170"/>
    <w:rsid w:val="00276F0F"/>
    <w:rsid w:val="00281E4C"/>
    <w:rsid w:val="00286C15"/>
    <w:rsid w:val="00292B77"/>
    <w:rsid w:val="00293328"/>
    <w:rsid w:val="00293467"/>
    <w:rsid w:val="002A0BB1"/>
    <w:rsid w:val="002A0D9A"/>
    <w:rsid w:val="002A101F"/>
    <w:rsid w:val="002A3A78"/>
    <w:rsid w:val="002A4283"/>
    <w:rsid w:val="002A6FBB"/>
    <w:rsid w:val="002A70B2"/>
    <w:rsid w:val="002B0972"/>
    <w:rsid w:val="002B2672"/>
    <w:rsid w:val="002B2E5E"/>
    <w:rsid w:val="002B351B"/>
    <w:rsid w:val="002B76CF"/>
    <w:rsid w:val="002C481E"/>
    <w:rsid w:val="002C6AAE"/>
    <w:rsid w:val="002D1F0D"/>
    <w:rsid w:val="002D2C55"/>
    <w:rsid w:val="002E2BAD"/>
    <w:rsid w:val="002E34BD"/>
    <w:rsid w:val="002E384C"/>
    <w:rsid w:val="002E5E56"/>
    <w:rsid w:val="002F08A1"/>
    <w:rsid w:val="002F342C"/>
    <w:rsid w:val="002F4EF0"/>
    <w:rsid w:val="00304353"/>
    <w:rsid w:val="00305BF2"/>
    <w:rsid w:val="00306251"/>
    <w:rsid w:val="00306431"/>
    <w:rsid w:val="00306F50"/>
    <w:rsid w:val="0031483B"/>
    <w:rsid w:val="00314C37"/>
    <w:rsid w:val="00315753"/>
    <w:rsid w:val="00316131"/>
    <w:rsid w:val="00317010"/>
    <w:rsid w:val="003210FE"/>
    <w:rsid w:val="00322C3F"/>
    <w:rsid w:val="003263E6"/>
    <w:rsid w:val="00327444"/>
    <w:rsid w:val="00327AB8"/>
    <w:rsid w:val="00331BD5"/>
    <w:rsid w:val="00331FF0"/>
    <w:rsid w:val="00332BC4"/>
    <w:rsid w:val="00333226"/>
    <w:rsid w:val="00333F6F"/>
    <w:rsid w:val="00334827"/>
    <w:rsid w:val="00334DCA"/>
    <w:rsid w:val="00343023"/>
    <w:rsid w:val="00344EA8"/>
    <w:rsid w:val="003452C2"/>
    <w:rsid w:val="00345C05"/>
    <w:rsid w:val="00345CA1"/>
    <w:rsid w:val="00346A4F"/>
    <w:rsid w:val="00347180"/>
    <w:rsid w:val="003476DD"/>
    <w:rsid w:val="00347AB0"/>
    <w:rsid w:val="00350E97"/>
    <w:rsid w:val="00352F6F"/>
    <w:rsid w:val="00353328"/>
    <w:rsid w:val="003566E0"/>
    <w:rsid w:val="00356A35"/>
    <w:rsid w:val="0036512E"/>
    <w:rsid w:val="00366B99"/>
    <w:rsid w:val="00366F93"/>
    <w:rsid w:val="00383476"/>
    <w:rsid w:val="00384D8A"/>
    <w:rsid w:val="00386384"/>
    <w:rsid w:val="00387D17"/>
    <w:rsid w:val="00390085"/>
    <w:rsid w:val="00391376"/>
    <w:rsid w:val="00392003"/>
    <w:rsid w:val="0039301F"/>
    <w:rsid w:val="0039446B"/>
    <w:rsid w:val="003952B2"/>
    <w:rsid w:val="0039544B"/>
    <w:rsid w:val="0039602C"/>
    <w:rsid w:val="00397EFC"/>
    <w:rsid w:val="003A0D8B"/>
    <w:rsid w:val="003A1C05"/>
    <w:rsid w:val="003A36BF"/>
    <w:rsid w:val="003A4DEA"/>
    <w:rsid w:val="003A6897"/>
    <w:rsid w:val="003A6A57"/>
    <w:rsid w:val="003A79FA"/>
    <w:rsid w:val="003A7FAF"/>
    <w:rsid w:val="003B7295"/>
    <w:rsid w:val="003B72B1"/>
    <w:rsid w:val="003C1F6E"/>
    <w:rsid w:val="003C2029"/>
    <w:rsid w:val="003C4D0E"/>
    <w:rsid w:val="003C7409"/>
    <w:rsid w:val="003C76FC"/>
    <w:rsid w:val="003D17EC"/>
    <w:rsid w:val="003D31F5"/>
    <w:rsid w:val="003E0CF1"/>
    <w:rsid w:val="003E2F23"/>
    <w:rsid w:val="003E30E1"/>
    <w:rsid w:val="003E4C9A"/>
    <w:rsid w:val="003E63D5"/>
    <w:rsid w:val="003E7056"/>
    <w:rsid w:val="003F2421"/>
    <w:rsid w:val="003F7C23"/>
    <w:rsid w:val="00400D72"/>
    <w:rsid w:val="0040219A"/>
    <w:rsid w:val="00403387"/>
    <w:rsid w:val="00403F21"/>
    <w:rsid w:val="004059D8"/>
    <w:rsid w:val="00406F2B"/>
    <w:rsid w:val="004078AF"/>
    <w:rsid w:val="004127CC"/>
    <w:rsid w:val="00413639"/>
    <w:rsid w:val="00414F21"/>
    <w:rsid w:val="00416798"/>
    <w:rsid w:val="004167DD"/>
    <w:rsid w:val="00422F12"/>
    <w:rsid w:val="00426585"/>
    <w:rsid w:val="0042684A"/>
    <w:rsid w:val="00430E76"/>
    <w:rsid w:val="0043296B"/>
    <w:rsid w:val="00435EC1"/>
    <w:rsid w:val="00440939"/>
    <w:rsid w:val="0044209D"/>
    <w:rsid w:val="00442D83"/>
    <w:rsid w:val="00442D8B"/>
    <w:rsid w:val="0044638A"/>
    <w:rsid w:val="0045382C"/>
    <w:rsid w:val="004541AA"/>
    <w:rsid w:val="00454437"/>
    <w:rsid w:val="004556EE"/>
    <w:rsid w:val="0045627B"/>
    <w:rsid w:val="004563DE"/>
    <w:rsid w:val="004633A5"/>
    <w:rsid w:val="00464134"/>
    <w:rsid w:val="00464866"/>
    <w:rsid w:val="004655F9"/>
    <w:rsid w:val="004679FA"/>
    <w:rsid w:val="004701A5"/>
    <w:rsid w:val="0047659C"/>
    <w:rsid w:val="00477AE8"/>
    <w:rsid w:val="00480786"/>
    <w:rsid w:val="00480B82"/>
    <w:rsid w:val="00481C2A"/>
    <w:rsid w:val="00483285"/>
    <w:rsid w:val="00486BD6"/>
    <w:rsid w:val="00486C93"/>
    <w:rsid w:val="00491EE8"/>
    <w:rsid w:val="004945B1"/>
    <w:rsid w:val="00495953"/>
    <w:rsid w:val="0049616C"/>
    <w:rsid w:val="0049696D"/>
    <w:rsid w:val="004A1150"/>
    <w:rsid w:val="004A1FFA"/>
    <w:rsid w:val="004A239F"/>
    <w:rsid w:val="004A3B8A"/>
    <w:rsid w:val="004A4F0E"/>
    <w:rsid w:val="004A54B7"/>
    <w:rsid w:val="004B1489"/>
    <w:rsid w:val="004B3B5F"/>
    <w:rsid w:val="004B5763"/>
    <w:rsid w:val="004B7593"/>
    <w:rsid w:val="004B76FD"/>
    <w:rsid w:val="004B7ABA"/>
    <w:rsid w:val="004C24FF"/>
    <w:rsid w:val="004C2FDE"/>
    <w:rsid w:val="004C4A90"/>
    <w:rsid w:val="004C5BE1"/>
    <w:rsid w:val="004C72A7"/>
    <w:rsid w:val="004D2A69"/>
    <w:rsid w:val="004D4584"/>
    <w:rsid w:val="004D6921"/>
    <w:rsid w:val="004D71D4"/>
    <w:rsid w:val="004D789A"/>
    <w:rsid w:val="004E20BB"/>
    <w:rsid w:val="004E3B97"/>
    <w:rsid w:val="004E591A"/>
    <w:rsid w:val="004F0056"/>
    <w:rsid w:val="004F033A"/>
    <w:rsid w:val="004F0571"/>
    <w:rsid w:val="004F0FC7"/>
    <w:rsid w:val="004F1E22"/>
    <w:rsid w:val="004F26F1"/>
    <w:rsid w:val="004F430C"/>
    <w:rsid w:val="004F566C"/>
    <w:rsid w:val="004F595B"/>
    <w:rsid w:val="004F5C8C"/>
    <w:rsid w:val="004F68D2"/>
    <w:rsid w:val="00505134"/>
    <w:rsid w:val="00507048"/>
    <w:rsid w:val="00507139"/>
    <w:rsid w:val="0051317C"/>
    <w:rsid w:val="00513F1C"/>
    <w:rsid w:val="00513F2D"/>
    <w:rsid w:val="00515C6A"/>
    <w:rsid w:val="00522D5C"/>
    <w:rsid w:val="0052332E"/>
    <w:rsid w:val="0052362C"/>
    <w:rsid w:val="00523F8F"/>
    <w:rsid w:val="00525893"/>
    <w:rsid w:val="00526725"/>
    <w:rsid w:val="00526A88"/>
    <w:rsid w:val="00530014"/>
    <w:rsid w:val="00535599"/>
    <w:rsid w:val="00535DE5"/>
    <w:rsid w:val="005405E9"/>
    <w:rsid w:val="005408D6"/>
    <w:rsid w:val="00540B16"/>
    <w:rsid w:val="00542A1B"/>
    <w:rsid w:val="005432BC"/>
    <w:rsid w:val="00553C8D"/>
    <w:rsid w:val="00555519"/>
    <w:rsid w:val="00562F3F"/>
    <w:rsid w:val="0056642C"/>
    <w:rsid w:val="005672C3"/>
    <w:rsid w:val="00573364"/>
    <w:rsid w:val="005736C1"/>
    <w:rsid w:val="005741DA"/>
    <w:rsid w:val="0057607E"/>
    <w:rsid w:val="00582D4E"/>
    <w:rsid w:val="00583567"/>
    <w:rsid w:val="00584838"/>
    <w:rsid w:val="00585D5E"/>
    <w:rsid w:val="00590050"/>
    <w:rsid w:val="00590A93"/>
    <w:rsid w:val="00590E5E"/>
    <w:rsid w:val="0059205B"/>
    <w:rsid w:val="005927E4"/>
    <w:rsid w:val="00593033"/>
    <w:rsid w:val="0059391D"/>
    <w:rsid w:val="00594A13"/>
    <w:rsid w:val="00595902"/>
    <w:rsid w:val="00597247"/>
    <w:rsid w:val="005A0731"/>
    <w:rsid w:val="005B19E3"/>
    <w:rsid w:val="005B1E37"/>
    <w:rsid w:val="005B39F6"/>
    <w:rsid w:val="005B40F3"/>
    <w:rsid w:val="005B5C4E"/>
    <w:rsid w:val="005B75C6"/>
    <w:rsid w:val="005B7F1F"/>
    <w:rsid w:val="005C059E"/>
    <w:rsid w:val="005C3FB3"/>
    <w:rsid w:val="005C6696"/>
    <w:rsid w:val="005D0AE3"/>
    <w:rsid w:val="005D1342"/>
    <w:rsid w:val="005D28CE"/>
    <w:rsid w:val="005D2B6E"/>
    <w:rsid w:val="005D3B3B"/>
    <w:rsid w:val="005D4124"/>
    <w:rsid w:val="005D527D"/>
    <w:rsid w:val="005D5305"/>
    <w:rsid w:val="005D5357"/>
    <w:rsid w:val="005E1378"/>
    <w:rsid w:val="005E3D94"/>
    <w:rsid w:val="005F0997"/>
    <w:rsid w:val="005F3500"/>
    <w:rsid w:val="005F35BA"/>
    <w:rsid w:val="005F7BF4"/>
    <w:rsid w:val="00600017"/>
    <w:rsid w:val="00603CD3"/>
    <w:rsid w:val="00604381"/>
    <w:rsid w:val="00606D92"/>
    <w:rsid w:val="00606F30"/>
    <w:rsid w:val="00610CC7"/>
    <w:rsid w:val="00610F7E"/>
    <w:rsid w:val="00611F95"/>
    <w:rsid w:val="00614AB7"/>
    <w:rsid w:val="006152A0"/>
    <w:rsid w:val="00617C0C"/>
    <w:rsid w:val="006205B7"/>
    <w:rsid w:val="00621497"/>
    <w:rsid w:val="00622B4D"/>
    <w:rsid w:val="00623D37"/>
    <w:rsid w:val="00625D25"/>
    <w:rsid w:val="006278A6"/>
    <w:rsid w:val="00630FC2"/>
    <w:rsid w:val="00631D6D"/>
    <w:rsid w:val="00633009"/>
    <w:rsid w:val="0063533F"/>
    <w:rsid w:val="00640090"/>
    <w:rsid w:val="0064024B"/>
    <w:rsid w:val="006410A8"/>
    <w:rsid w:val="00642563"/>
    <w:rsid w:val="00642686"/>
    <w:rsid w:val="00644631"/>
    <w:rsid w:val="00647108"/>
    <w:rsid w:val="00647D52"/>
    <w:rsid w:val="00651A53"/>
    <w:rsid w:val="00652F93"/>
    <w:rsid w:val="00653FF6"/>
    <w:rsid w:val="0065482B"/>
    <w:rsid w:val="0065573A"/>
    <w:rsid w:val="00660D83"/>
    <w:rsid w:val="0066233A"/>
    <w:rsid w:val="006628C2"/>
    <w:rsid w:val="0066439C"/>
    <w:rsid w:val="0066467F"/>
    <w:rsid w:val="00671FEF"/>
    <w:rsid w:val="00673260"/>
    <w:rsid w:val="0067655F"/>
    <w:rsid w:val="0067724B"/>
    <w:rsid w:val="006829DA"/>
    <w:rsid w:val="0068348B"/>
    <w:rsid w:val="006847D3"/>
    <w:rsid w:val="006858E6"/>
    <w:rsid w:val="0068700C"/>
    <w:rsid w:val="00687074"/>
    <w:rsid w:val="00690777"/>
    <w:rsid w:val="00692E95"/>
    <w:rsid w:val="00692F48"/>
    <w:rsid w:val="006935B9"/>
    <w:rsid w:val="00694254"/>
    <w:rsid w:val="006A1C31"/>
    <w:rsid w:val="006A2ED1"/>
    <w:rsid w:val="006B4690"/>
    <w:rsid w:val="006B4DE0"/>
    <w:rsid w:val="006B7237"/>
    <w:rsid w:val="006C0BE4"/>
    <w:rsid w:val="006C2E6F"/>
    <w:rsid w:val="006C61C1"/>
    <w:rsid w:val="006C61E3"/>
    <w:rsid w:val="006C7E89"/>
    <w:rsid w:val="006D364C"/>
    <w:rsid w:val="006D3A4A"/>
    <w:rsid w:val="006D3FAF"/>
    <w:rsid w:val="006D5B69"/>
    <w:rsid w:val="006D70FA"/>
    <w:rsid w:val="006E305B"/>
    <w:rsid w:val="006E3826"/>
    <w:rsid w:val="006E70E4"/>
    <w:rsid w:val="006E7A1E"/>
    <w:rsid w:val="006F549E"/>
    <w:rsid w:val="006F6419"/>
    <w:rsid w:val="006F79C1"/>
    <w:rsid w:val="00702254"/>
    <w:rsid w:val="007038B5"/>
    <w:rsid w:val="00703BEA"/>
    <w:rsid w:val="00707AED"/>
    <w:rsid w:val="00707FE3"/>
    <w:rsid w:val="00710FF4"/>
    <w:rsid w:val="00711AFA"/>
    <w:rsid w:val="007122C5"/>
    <w:rsid w:val="00714EB7"/>
    <w:rsid w:val="007166F4"/>
    <w:rsid w:val="007176AE"/>
    <w:rsid w:val="00717C47"/>
    <w:rsid w:val="0072164A"/>
    <w:rsid w:val="0072333B"/>
    <w:rsid w:val="00724162"/>
    <w:rsid w:val="0072545E"/>
    <w:rsid w:val="00726BA0"/>
    <w:rsid w:val="00726DE8"/>
    <w:rsid w:val="00730348"/>
    <w:rsid w:val="00730FFF"/>
    <w:rsid w:val="00733FF3"/>
    <w:rsid w:val="00734FFA"/>
    <w:rsid w:val="00735DC0"/>
    <w:rsid w:val="00737D6F"/>
    <w:rsid w:val="0074108F"/>
    <w:rsid w:val="00741FE3"/>
    <w:rsid w:val="00743893"/>
    <w:rsid w:val="00744698"/>
    <w:rsid w:val="00746CE1"/>
    <w:rsid w:val="007478CC"/>
    <w:rsid w:val="00751E1F"/>
    <w:rsid w:val="00754B7D"/>
    <w:rsid w:val="00755C94"/>
    <w:rsid w:val="0075679A"/>
    <w:rsid w:val="00757611"/>
    <w:rsid w:val="0075763D"/>
    <w:rsid w:val="0075766B"/>
    <w:rsid w:val="00763035"/>
    <w:rsid w:val="007634E6"/>
    <w:rsid w:val="007649E7"/>
    <w:rsid w:val="00773B7E"/>
    <w:rsid w:val="007749F1"/>
    <w:rsid w:val="00775CC4"/>
    <w:rsid w:val="007766DE"/>
    <w:rsid w:val="00776DA0"/>
    <w:rsid w:val="0077763B"/>
    <w:rsid w:val="00782A35"/>
    <w:rsid w:val="00785B54"/>
    <w:rsid w:val="00786D8F"/>
    <w:rsid w:val="007953A4"/>
    <w:rsid w:val="007A0C2B"/>
    <w:rsid w:val="007A541F"/>
    <w:rsid w:val="007A6672"/>
    <w:rsid w:val="007A6CA7"/>
    <w:rsid w:val="007B0E81"/>
    <w:rsid w:val="007B1A13"/>
    <w:rsid w:val="007B2C1A"/>
    <w:rsid w:val="007B2D24"/>
    <w:rsid w:val="007B30CD"/>
    <w:rsid w:val="007B3717"/>
    <w:rsid w:val="007B511E"/>
    <w:rsid w:val="007B53B2"/>
    <w:rsid w:val="007B66C1"/>
    <w:rsid w:val="007C091E"/>
    <w:rsid w:val="007C0A3A"/>
    <w:rsid w:val="007C18BF"/>
    <w:rsid w:val="007C3A2C"/>
    <w:rsid w:val="007C58FA"/>
    <w:rsid w:val="007C5AD9"/>
    <w:rsid w:val="007C604A"/>
    <w:rsid w:val="007D056B"/>
    <w:rsid w:val="007D10BE"/>
    <w:rsid w:val="007E18A7"/>
    <w:rsid w:val="007E281F"/>
    <w:rsid w:val="007E31A5"/>
    <w:rsid w:val="007E3AB5"/>
    <w:rsid w:val="007E3C47"/>
    <w:rsid w:val="007E453A"/>
    <w:rsid w:val="007E65BC"/>
    <w:rsid w:val="007E6A6E"/>
    <w:rsid w:val="007E6DD8"/>
    <w:rsid w:val="007F3F9E"/>
    <w:rsid w:val="007F4648"/>
    <w:rsid w:val="008017A3"/>
    <w:rsid w:val="008021C3"/>
    <w:rsid w:val="00802B60"/>
    <w:rsid w:val="008117FA"/>
    <w:rsid w:val="00811835"/>
    <w:rsid w:val="008124B7"/>
    <w:rsid w:val="00813EB5"/>
    <w:rsid w:val="008153E5"/>
    <w:rsid w:val="008158B2"/>
    <w:rsid w:val="00822208"/>
    <w:rsid w:val="00822ADA"/>
    <w:rsid w:val="0082311D"/>
    <w:rsid w:val="0082335D"/>
    <w:rsid w:val="008257B1"/>
    <w:rsid w:val="00830F72"/>
    <w:rsid w:val="00831985"/>
    <w:rsid w:val="00831CA0"/>
    <w:rsid w:val="00833D12"/>
    <w:rsid w:val="00834B8E"/>
    <w:rsid w:val="0083729F"/>
    <w:rsid w:val="0083751E"/>
    <w:rsid w:val="00840508"/>
    <w:rsid w:val="008456C0"/>
    <w:rsid w:val="00845748"/>
    <w:rsid w:val="008556AC"/>
    <w:rsid w:val="00861528"/>
    <w:rsid w:val="008621ED"/>
    <w:rsid w:val="00862A05"/>
    <w:rsid w:val="0086311A"/>
    <w:rsid w:val="00863C4E"/>
    <w:rsid w:val="00864469"/>
    <w:rsid w:val="008649D6"/>
    <w:rsid w:val="00866323"/>
    <w:rsid w:val="0086770A"/>
    <w:rsid w:val="008718AE"/>
    <w:rsid w:val="008738C4"/>
    <w:rsid w:val="00875582"/>
    <w:rsid w:val="008760ED"/>
    <w:rsid w:val="008763C9"/>
    <w:rsid w:val="00880A9C"/>
    <w:rsid w:val="00881856"/>
    <w:rsid w:val="00890832"/>
    <w:rsid w:val="00891B6A"/>
    <w:rsid w:val="00891BE1"/>
    <w:rsid w:val="00893B86"/>
    <w:rsid w:val="00893EEF"/>
    <w:rsid w:val="00894D21"/>
    <w:rsid w:val="00896693"/>
    <w:rsid w:val="008A3527"/>
    <w:rsid w:val="008A3BEB"/>
    <w:rsid w:val="008B2148"/>
    <w:rsid w:val="008B3517"/>
    <w:rsid w:val="008B3EAC"/>
    <w:rsid w:val="008C1488"/>
    <w:rsid w:val="008C2CA3"/>
    <w:rsid w:val="008C39B2"/>
    <w:rsid w:val="008C3E39"/>
    <w:rsid w:val="008C6210"/>
    <w:rsid w:val="008C6513"/>
    <w:rsid w:val="008C6571"/>
    <w:rsid w:val="008D2D08"/>
    <w:rsid w:val="008D4467"/>
    <w:rsid w:val="008E0739"/>
    <w:rsid w:val="008E12F1"/>
    <w:rsid w:val="008E1485"/>
    <w:rsid w:val="008E18EA"/>
    <w:rsid w:val="008E28E1"/>
    <w:rsid w:val="008E3ECB"/>
    <w:rsid w:val="008E6208"/>
    <w:rsid w:val="008E6379"/>
    <w:rsid w:val="008F05B1"/>
    <w:rsid w:val="008F0FA1"/>
    <w:rsid w:val="008F1336"/>
    <w:rsid w:val="008F2727"/>
    <w:rsid w:val="008F406C"/>
    <w:rsid w:val="00900738"/>
    <w:rsid w:val="00900A2F"/>
    <w:rsid w:val="00900D09"/>
    <w:rsid w:val="00900D2E"/>
    <w:rsid w:val="00901E8B"/>
    <w:rsid w:val="00902B7B"/>
    <w:rsid w:val="009030D5"/>
    <w:rsid w:val="00903884"/>
    <w:rsid w:val="00904D37"/>
    <w:rsid w:val="009111D1"/>
    <w:rsid w:val="00914D57"/>
    <w:rsid w:val="009169F7"/>
    <w:rsid w:val="009240A6"/>
    <w:rsid w:val="0092705A"/>
    <w:rsid w:val="009270E2"/>
    <w:rsid w:val="00930857"/>
    <w:rsid w:val="00930879"/>
    <w:rsid w:val="00930D6E"/>
    <w:rsid w:val="00934546"/>
    <w:rsid w:val="009371EA"/>
    <w:rsid w:val="00937956"/>
    <w:rsid w:val="00937AC8"/>
    <w:rsid w:val="00942517"/>
    <w:rsid w:val="009452B2"/>
    <w:rsid w:val="00945B00"/>
    <w:rsid w:val="009462DA"/>
    <w:rsid w:val="0095209D"/>
    <w:rsid w:val="009537F9"/>
    <w:rsid w:val="009545C4"/>
    <w:rsid w:val="00956635"/>
    <w:rsid w:val="00957171"/>
    <w:rsid w:val="00962883"/>
    <w:rsid w:val="00962D9E"/>
    <w:rsid w:val="00963CEF"/>
    <w:rsid w:val="0096464C"/>
    <w:rsid w:val="00967326"/>
    <w:rsid w:val="00967474"/>
    <w:rsid w:val="00967F9F"/>
    <w:rsid w:val="00970848"/>
    <w:rsid w:val="009712B4"/>
    <w:rsid w:val="009717F4"/>
    <w:rsid w:val="00972350"/>
    <w:rsid w:val="009751D2"/>
    <w:rsid w:val="00976F33"/>
    <w:rsid w:val="00977EA1"/>
    <w:rsid w:val="0098000A"/>
    <w:rsid w:val="00980D8A"/>
    <w:rsid w:val="0098147F"/>
    <w:rsid w:val="00982E26"/>
    <w:rsid w:val="00984F6A"/>
    <w:rsid w:val="00986C0C"/>
    <w:rsid w:val="00986E29"/>
    <w:rsid w:val="00994CE7"/>
    <w:rsid w:val="00996141"/>
    <w:rsid w:val="009A0089"/>
    <w:rsid w:val="009A190D"/>
    <w:rsid w:val="009A6A19"/>
    <w:rsid w:val="009B190F"/>
    <w:rsid w:val="009B1B7D"/>
    <w:rsid w:val="009B1C37"/>
    <w:rsid w:val="009B2B30"/>
    <w:rsid w:val="009B2CAE"/>
    <w:rsid w:val="009B60C8"/>
    <w:rsid w:val="009B7224"/>
    <w:rsid w:val="009C01B9"/>
    <w:rsid w:val="009C4372"/>
    <w:rsid w:val="009C732B"/>
    <w:rsid w:val="009D0291"/>
    <w:rsid w:val="009D0930"/>
    <w:rsid w:val="009D597F"/>
    <w:rsid w:val="009D6741"/>
    <w:rsid w:val="009E0B00"/>
    <w:rsid w:val="009E4FA0"/>
    <w:rsid w:val="009E55CA"/>
    <w:rsid w:val="009E7D31"/>
    <w:rsid w:val="009F2757"/>
    <w:rsid w:val="009F2923"/>
    <w:rsid w:val="009F4E44"/>
    <w:rsid w:val="009F4FBD"/>
    <w:rsid w:val="009F51FD"/>
    <w:rsid w:val="009F7F3E"/>
    <w:rsid w:val="00A009C1"/>
    <w:rsid w:val="00A009D8"/>
    <w:rsid w:val="00A02F7B"/>
    <w:rsid w:val="00A052F3"/>
    <w:rsid w:val="00A059AD"/>
    <w:rsid w:val="00A07F0D"/>
    <w:rsid w:val="00A11692"/>
    <w:rsid w:val="00A1193B"/>
    <w:rsid w:val="00A1193E"/>
    <w:rsid w:val="00A167EA"/>
    <w:rsid w:val="00A17430"/>
    <w:rsid w:val="00A2030C"/>
    <w:rsid w:val="00A30297"/>
    <w:rsid w:val="00A33227"/>
    <w:rsid w:val="00A37948"/>
    <w:rsid w:val="00A45627"/>
    <w:rsid w:val="00A466E8"/>
    <w:rsid w:val="00A4675A"/>
    <w:rsid w:val="00A468B8"/>
    <w:rsid w:val="00A46EC3"/>
    <w:rsid w:val="00A51038"/>
    <w:rsid w:val="00A53EB7"/>
    <w:rsid w:val="00A549C9"/>
    <w:rsid w:val="00A57CCB"/>
    <w:rsid w:val="00A6009F"/>
    <w:rsid w:val="00A601D1"/>
    <w:rsid w:val="00A64D49"/>
    <w:rsid w:val="00A66F65"/>
    <w:rsid w:val="00A72065"/>
    <w:rsid w:val="00A723C7"/>
    <w:rsid w:val="00A72B08"/>
    <w:rsid w:val="00A72F1A"/>
    <w:rsid w:val="00A75B29"/>
    <w:rsid w:val="00A771DF"/>
    <w:rsid w:val="00A77695"/>
    <w:rsid w:val="00A81E4C"/>
    <w:rsid w:val="00A823FE"/>
    <w:rsid w:val="00A83AE6"/>
    <w:rsid w:val="00A905FE"/>
    <w:rsid w:val="00A91D8A"/>
    <w:rsid w:val="00A96877"/>
    <w:rsid w:val="00AA1961"/>
    <w:rsid w:val="00AA7580"/>
    <w:rsid w:val="00AB0726"/>
    <w:rsid w:val="00AB2AC7"/>
    <w:rsid w:val="00AB37C6"/>
    <w:rsid w:val="00AB4390"/>
    <w:rsid w:val="00AB68EE"/>
    <w:rsid w:val="00AC0CCD"/>
    <w:rsid w:val="00AC2369"/>
    <w:rsid w:val="00AC2F66"/>
    <w:rsid w:val="00AC5448"/>
    <w:rsid w:val="00AC6257"/>
    <w:rsid w:val="00AC694E"/>
    <w:rsid w:val="00AC7F8B"/>
    <w:rsid w:val="00AD1EB4"/>
    <w:rsid w:val="00AD253D"/>
    <w:rsid w:val="00AD37D0"/>
    <w:rsid w:val="00AD5ADB"/>
    <w:rsid w:val="00AE12B3"/>
    <w:rsid w:val="00AE1466"/>
    <w:rsid w:val="00AE1B25"/>
    <w:rsid w:val="00AE348C"/>
    <w:rsid w:val="00AE4DE9"/>
    <w:rsid w:val="00AF551C"/>
    <w:rsid w:val="00AF5616"/>
    <w:rsid w:val="00AF5910"/>
    <w:rsid w:val="00AF62D1"/>
    <w:rsid w:val="00B05DD3"/>
    <w:rsid w:val="00B062FF"/>
    <w:rsid w:val="00B06AD4"/>
    <w:rsid w:val="00B074F8"/>
    <w:rsid w:val="00B07510"/>
    <w:rsid w:val="00B106C0"/>
    <w:rsid w:val="00B11B24"/>
    <w:rsid w:val="00B11B4B"/>
    <w:rsid w:val="00B11EC4"/>
    <w:rsid w:val="00B2358D"/>
    <w:rsid w:val="00B23E13"/>
    <w:rsid w:val="00B23E26"/>
    <w:rsid w:val="00B2405B"/>
    <w:rsid w:val="00B2499A"/>
    <w:rsid w:val="00B25A3A"/>
    <w:rsid w:val="00B2687A"/>
    <w:rsid w:val="00B338A4"/>
    <w:rsid w:val="00B357EA"/>
    <w:rsid w:val="00B374EE"/>
    <w:rsid w:val="00B41E81"/>
    <w:rsid w:val="00B42763"/>
    <w:rsid w:val="00B46501"/>
    <w:rsid w:val="00B5026D"/>
    <w:rsid w:val="00B50563"/>
    <w:rsid w:val="00B51B2B"/>
    <w:rsid w:val="00B545CD"/>
    <w:rsid w:val="00B545F3"/>
    <w:rsid w:val="00B5552F"/>
    <w:rsid w:val="00B57926"/>
    <w:rsid w:val="00B57E67"/>
    <w:rsid w:val="00B60A94"/>
    <w:rsid w:val="00B63928"/>
    <w:rsid w:val="00B66A39"/>
    <w:rsid w:val="00B66B5A"/>
    <w:rsid w:val="00B71FA7"/>
    <w:rsid w:val="00B769F2"/>
    <w:rsid w:val="00B779DF"/>
    <w:rsid w:val="00B8033A"/>
    <w:rsid w:val="00B84736"/>
    <w:rsid w:val="00B847AB"/>
    <w:rsid w:val="00B8549D"/>
    <w:rsid w:val="00B87011"/>
    <w:rsid w:val="00B87707"/>
    <w:rsid w:val="00B932DD"/>
    <w:rsid w:val="00B93FB3"/>
    <w:rsid w:val="00B96856"/>
    <w:rsid w:val="00B97458"/>
    <w:rsid w:val="00BA0A68"/>
    <w:rsid w:val="00BA510F"/>
    <w:rsid w:val="00BA5D6E"/>
    <w:rsid w:val="00BA615F"/>
    <w:rsid w:val="00BA6179"/>
    <w:rsid w:val="00BA6EDF"/>
    <w:rsid w:val="00BA7FA5"/>
    <w:rsid w:val="00BB05B6"/>
    <w:rsid w:val="00BB1E37"/>
    <w:rsid w:val="00BB49EB"/>
    <w:rsid w:val="00BB5D8B"/>
    <w:rsid w:val="00BC3421"/>
    <w:rsid w:val="00BC6B6D"/>
    <w:rsid w:val="00BD2E7F"/>
    <w:rsid w:val="00BD48A7"/>
    <w:rsid w:val="00BD610A"/>
    <w:rsid w:val="00BE29BC"/>
    <w:rsid w:val="00BE5833"/>
    <w:rsid w:val="00BF1040"/>
    <w:rsid w:val="00BF1707"/>
    <w:rsid w:val="00BF3064"/>
    <w:rsid w:val="00BF3EFC"/>
    <w:rsid w:val="00C03AAE"/>
    <w:rsid w:val="00C03AF5"/>
    <w:rsid w:val="00C03EA4"/>
    <w:rsid w:val="00C04910"/>
    <w:rsid w:val="00C05A8B"/>
    <w:rsid w:val="00C079D9"/>
    <w:rsid w:val="00C11FD8"/>
    <w:rsid w:val="00C157EB"/>
    <w:rsid w:val="00C17147"/>
    <w:rsid w:val="00C229A0"/>
    <w:rsid w:val="00C25659"/>
    <w:rsid w:val="00C26AD8"/>
    <w:rsid w:val="00C30530"/>
    <w:rsid w:val="00C326CF"/>
    <w:rsid w:val="00C33D30"/>
    <w:rsid w:val="00C35D8A"/>
    <w:rsid w:val="00C35DFC"/>
    <w:rsid w:val="00C36826"/>
    <w:rsid w:val="00C40A1E"/>
    <w:rsid w:val="00C4426A"/>
    <w:rsid w:val="00C451B9"/>
    <w:rsid w:val="00C47FF9"/>
    <w:rsid w:val="00C523A5"/>
    <w:rsid w:val="00C52ADE"/>
    <w:rsid w:val="00C540B7"/>
    <w:rsid w:val="00C547EA"/>
    <w:rsid w:val="00C54B95"/>
    <w:rsid w:val="00C55E4C"/>
    <w:rsid w:val="00C5644F"/>
    <w:rsid w:val="00C60FBF"/>
    <w:rsid w:val="00C61E17"/>
    <w:rsid w:val="00C70DFE"/>
    <w:rsid w:val="00C7316B"/>
    <w:rsid w:val="00C73D75"/>
    <w:rsid w:val="00C7548D"/>
    <w:rsid w:val="00C75CDB"/>
    <w:rsid w:val="00C80CBB"/>
    <w:rsid w:val="00C84563"/>
    <w:rsid w:val="00CA039C"/>
    <w:rsid w:val="00CA309B"/>
    <w:rsid w:val="00CA3645"/>
    <w:rsid w:val="00CA46D4"/>
    <w:rsid w:val="00CA615A"/>
    <w:rsid w:val="00CA632A"/>
    <w:rsid w:val="00CA6F71"/>
    <w:rsid w:val="00CB46F8"/>
    <w:rsid w:val="00CB4AB8"/>
    <w:rsid w:val="00CB5875"/>
    <w:rsid w:val="00CB6112"/>
    <w:rsid w:val="00CC0B83"/>
    <w:rsid w:val="00CC108E"/>
    <w:rsid w:val="00CC1695"/>
    <w:rsid w:val="00CC4CE4"/>
    <w:rsid w:val="00CC5D40"/>
    <w:rsid w:val="00CC5F76"/>
    <w:rsid w:val="00CC6862"/>
    <w:rsid w:val="00CD3317"/>
    <w:rsid w:val="00CD4062"/>
    <w:rsid w:val="00CD5BEC"/>
    <w:rsid w:val="00CD5FC1"/>
    <w:rsid w:val="00CD7055"/>
    <w:rsid w:val="00CE2BA5"/>
    <w:rsid w:val="00CE5DE7"/>
    <w:rsid w:val="00CF1B0A"/>
    <w:rsid w:val="00CF5EC2"/>
    <w:rsid w:val="00CF60B0"/>
    <w:rsid w:val="00CF741A"/>
    <w:rsid w:val="00D01048"/>
    <w:rsid w:val="00D012F1"/>
    <w:rsid w:val="00D0148F"/>
    <w:rsid w:val="00D040B2"/>
    <w:rsid w:val="00D04926"/>
    <w:rsid w:val="00D07067"/>
    <w:rsid w:val="00D072EC"/>
    <w:rsid w:val="00D118BD"/>
    <w:rsid w:val="00D13CCB"/>
    <w:rsid w:val="00D13F9B"/>
    <w:rsid w:val="00D14401"/>
    <w:rsid w:val="00D14E1D"/>
    <w:rsid w:val="00D15D85"/>
    <w:rsid w:val="00D17578"/>
    <w:rsid w:val="00D20E0A"/>
    <w:rsid w:val="00D213CB"/>
    <w:rsid w:val="00D27667"/>
    <w:rsid w:val="00D30689"/>
    <w:rsid w:val="00D334BC"/>
    <w:rsid w:val="00D335E4"/>
    <w:rsid w:val="00D3582E"/>
    <w:rsid w:val="00D35ECA"/>
    <w:rsid w:val="00D4167F"/>
    <w:rsid w:val="00D42B1E"/>
    <w:rsid w:val="00D44197"/>
    <w:rsid w:val="00D45C7F"/>
    <w:rsid w:val="00D4666F"/>
    <w:rsid w:val="00D46EF3"/>
    <w:rsid w:val="00D500EF"/>
    <w:rsid w:val="00D522FF"/>
    <w:rsid w:val="00D5437A"/>
    <w:rsid w:val="00D579A9"/>
    <w:rsid w:val="00D60F53"/>
    <w:rsid w:val="00D6104F"/>
    <w:rsid w:val="00D61971"/>
    <w:rsid w:val="00D628D1"/>
    <w:rsid w:val="00D63161"/>
    <w:rsid w:val="00D677C3"/>
    <w:rsid w:val="00D72A37"/>
    <w:rsid w:val="00D744B1"/>
    <w:rsid w:val="00D77B2C"/>
    <w:rsid w:val="00D77E39"/>
    <w:rsid w:val="00D8045D"/>
    <w:rsid w:val="00D811E4"/>
    <w:rsid w:val="00D81202"/>
    <w:rsid w:val="00D814E9"/>
    <w:rsid w:val="00D82BFA"/>
    <w:rsid w:val="00D8392E"/>
    <w:rsid w:val="00D84CA5"/>
    <w:rsid w:val="00D8643A"/>
    <w:rsid w:val="00D87053"/>
    <w:rsid w:val="00D87910"/>
    <w:rsid w:val="00D91104"/>
    <w:rsid w:val="00D920C5"/>
    <w:rsid w:val="00D93183"/>
    <w:rsid w:val="00D965AF"/>
    <w:rsid w:val="00D97C60"/>
    <w:rsid w:val="00DA092F"/>
    <w:rsid w:val="00DA0B10"/>
    <w:rsid w:val="00DA102D"/>
    <w:rsid w:val="00DA1304"/>
    <w:rsid w:val="00DA3DD5"/>
    <w:rsid w:val="00DB0CA4"/>
    <w:rsid w:val="00DB185C"/>
    <w:rsid w:val="00DB1FAE"/>
    <w:rsid w:val="00DB1FD9"/>
    <w:rsid w:val="00DB4477"/>
    <w:rsid w:val="00DB797B"/>
    <w:rsid w:val="00DB7A37"/>
    <w:rsid w:val="00DC0512"/>
    <w:rsid w:val="00DC1049"/>
    <w:rsid w:val="00DC2AEC"/>
    <w:rsid w:val="00DC2DBD"/>
    <w:rsid w:val="00DC2E2B"/>
    <w:rsid w:val="00DC2E7E"/>
    <w:rsid w:val="00DC4A2C"/>
    <w:rsid w:val="00DC4FEC"/>
    <w:rsid w:val="00DC696C"/>
    <w:rsid w:val="00DC77CD"/>
    <w:rsid w:val="00DD3056"/>
    <w:rsid w:val="00DD3BD1"/>
    <w:rsid w:val="00DD3E49"/>
    <w:rsid w:val="00DD4E17"/>
    <w:rsid w:val="00DD5721"/>
    <w:rsid w:val="00DE1DA4"/>
    <w:rsid w:val="00DE21D7"/>
    <w:rsid w:val="00DE24DF"/>
    <w:rsid w:val="00DE2A23"/>
    <w:rsid w:val="00DE5F08"/>
    <w:rsid w:val="00DE78C6"/>
    <w:rsid w:val="00DF1203"/>
    <w:rsid w:val="00DF20C5"/>
    <w:rsid w:val="00DF5213"/>
    <w:rsid w:val="00DF5E15"/>
    <w:rsid w:val="00E018B2"/>
    <w:rsid w:val="00E01ADA"/>
    <w:rsid w:val="00E06C12"/>
    <w:rsid w:val="00E07B3A"/>
    <w:rsid w:val="00E1025A"/>
    <w:rsid w:val="00E1084A"/>
    <w:rsid w:val="00E12B7D"/>
    <w:rsid w:val="00E161B3"/>
    <w:rsid w:val="00E163E3"/>
    <w:rsid w:val="00E17485"/>
    <w:rsid w:val="00E20AD7"/>
    <w:rsid w:val="00E22758"/>
    <w:rsid w:val="00E23402"/>
    <w:rsid w:val="00E254F9"/>
    <w:rsid w:val="00E27ACE"/>
    <w:rsid w:val="00E313A6"/>
    <w:rsid w:val="00E315E8"/>
    <w:rsid w:val="00E33A01"/>
    <w:rsid w:val="00E346B5"/>
    <w:rsid w:val="00E349B4"/>
    <w:rsid w:val="00E35E7C"/>
    <w:rsid w:val="00E37BAB"/>
    <w:rsid w:val="00E37FD6"/>
    <w:rsid w:val="00E41E3E"/>
    <w:rsid w:val="00E43FEF"/>
    <w:rsid w:val="00E442AB"/>
    <w:rsid w:val="00E456C5"/>
    <w:rsid w:val="00E46AC3"/>
    <w:rsid w:val="00E474AE"/>
    <w:rsid w:val="00E53C6A"/>
    <w:rsid w:val="00E54077"/>
    <w:rsid w:val="00E557BB"/>
    <w:rsid w:val="00E55915"/>
    <w:rsid w:val="00E57068"/>
    <w:rsid w:val="00E57826"/>
    <w:rsid w:val="00E61003"/>
    <w:rsid w:val="00E616FA"/>
    <w:rsid w:val="00E63A84"/>
    <w:rsid w:val="00E641E0"/>
    <w:rsid w:val="00E67439"/>
    <w:rsid w:val="00E70028"/>
    <w:rsid w:val="00E70875"/>
    <w:rsid w:val="00E71BEE"/>
    <w:rsid w:val="00E80608"/>
    <w:rsid w:val="00E81BD8"/>
    <w:rsid w:val="00E97F9F"/>
    <w:rsid w:val="00EA2123"/>
    <w:rsid w:val="00EA303C"/>
    <w:rsid w:val="00EA4168"/>
    <w:rsid w:val="00EA7742"/>
    <w:rsid w:val="00EB009E"/>
    <w:rsid w:val="00EB3506"/>
    <w:rsid w:val="00EB4043"/>
    <w:rsid w:val="00EB624D"/>
    <w:rsid w:val="00EB7A69"/>
    <w:rsid w:val="00EC1DDD"/>
    <w:rsid w:val="00EC47EB"/>
    <w:rsid w:val="00EC5D1D"/>
    <w:rsid w:val="00EC61DE"/>
    <w:rsid w:val="00EC6690"/>
    <w:rsid w:val="00EC7AD7"/>
    <w:rsid w:val="00ED0722"/>
    <w:rsid w:val="00ED15BD"/>
    <w:rsid w:val="00ED18FF"/>
    <w:rsid w:val="00ED58B1"/>
    <w:rsid w:val="00ED6E9E"/>
    <w:rsid w:val="00ED6F2D"/>
    <w:rsid w:val="00EE139D"/>
    <w:rsid w:val="00EE356E"/>
    <w:rsid w:val="00EE4C19"/>
    <w:rsid w:val="00EE5CD7"/>
    <w:rsid w:val="00EE7611"/>
    <w:rsid w:val="00EE7F5D"/>
    <w:rsid w:val="00EF19B6"/>
    <w:rsid w:val="00EF1FB6"/>
    <w:rsid w:val="00EF2432"/>
    <w:rsid w:val="00EF3DAA"/>
    <w:rsid w:val="00EF431D"/>
    <w:rsid w:val="00EF551C"/>
    <w:rsid w:val="00EF5E38"/>
    <w:rsid w:val="00F0044F"/>
    <w:rsid w:val="00F03443"/>
    <w:rsid w:val="00F04316"/>
    <w:rsid w:val="00F067DC"/>
    <w:rsid w:val="00F067F4"/>
    <w:rsid w:val="00F1180F"/>
    <w:rsid w:val="00F139A3"/>
    <w:rsid w:val="00F14355"/>
    <w:rsid w:val="00F157CC"/>
    <w:rsid w:val="00F15F6C"/>
    <w:rsid w:val="00F16389"/>
    <w:rsid w:val="00F17255"/>
    <w:rsid w:val="00F216FA"/>
    <w:rsid w:val="00F2199B"/>
    <w:rsid w:val="00F27868"/>
    <w:rsid w:val="00F27DA9"/>
    <w:rsid w:val="00F31F9F"/>
    <w:rsid w:val="00F34C73"/>
    <w:rsid w:val="00F40C58"/>
    <w:rsid w:val="00F45F4A"/>
    <w:rsid w:val="00F475F0"/>
    <w:rsid w:val="00F50563"/>
    <w:rsid w:val="00F50849"/>
    <w:rsid w:val="00F51121"/>
    <w:rsid w:val="00F5156C"/>
    <w:rsid w:val="00F52287"/>
    <w:rsid w:val="00F52CD8"/>
    <w:rsid w:val="00F546D9"/>
    <w:rsid w:val="00F55CA2"/>
    <w:rsid w:val="00F57917"/>
    <w:rsid w:val="00F60360"/>
    <w:rsid w:val="00F610D0"/>
    <w:rsid w:val="00F62670"/>
    <w:rsid w:val="00F64AC4"/>
    <w:rsid w:val="00F67042"/>
    <w:rsid w:val="00F720C3"/>
    <w:rsid w:val="00F745C6"/>
    <w:rsid w:val="00F74B08"/>
    <w:rsid w:val="00F74F41"/>
    <w:rsid w:val="00F75B51"/>
    <w:rsid w:val="00F75D44"/>
    <w:rsid w:val="00F765EE"/>
    <w:rsid w:val="00F77FFB"/>
    <w:rsid w:val="00F82168"/>
    <w:rsid w:val="00F82218"/>
    <w:rsid w:val="00F83FC6"/>
    <w:rsid w:val="00F8419E"/>
    <w:rsid w:val="00F845FC"/>
    <w:rsid w:val="00F8790F"/>
    <w:rsid w:val="00F94E6A"/>
    <w:rsid w:val="00F97641"/>
    <w:rsid w:val="00F97B03"/>
    <w:rsid w:val="00FA279F"/>
    <w:rsid w:val="00FA3F93"/>
    <w:rsid w:val="00FA55E7"/>
    <w:rsid w:val="00FA5C65"/>
    <w:rsid w:val="00FA6BE8"/>
    <w:rsid w:val="00FB0292"/>
    <w:rsid w:val="00FB1B71"/>
    <w:rsid w:val="00FB32BB"/>
    <w:rsid w:val="00FB3E9F"/>
    <w:rsid w:val="00FB51A5"/>
    <w:rsid w:val="00FB5875"/>
    <w:rsid w:val="00FB5964"/>
    <w:rsid w:val="00FB606A"/>
    <w:rsid w:val="00FC239E"/>
    <w:rsid w:val="00FC29C5"/>
    <w:rsid w:val="00FC4059"/>
    <w:rsid w:val="00FD20EA"/>
    <w:rsid w:val="00FE0299"/>
    <w:rsid w:val="00FE109A"/>
    <w:rsid w:val="00FE149E"/>
    <w:rsid w:val="00FE1500"/>
    <w:rsid w:val="00FE428B"/>
    <w:rsid w:val="00FE4545"/>
    <w:rsid w:val="00FE4E6D"/>
    <w:rsid w:val="00FE5034"/>
    <w:rsid w:val="00FE5D32"/>
    <w:rsid w:val="00FE5FA9"/>
    <w:rsid w:val="00FE602D"/>
    <w:rsid w:val="00FF4359"/>
    <w:rsid w:val="00FF4FDF"/>
    <w:rsid w:val="0131747F"/>
    <w:rsid w:val="015676BF"/>
    <w:rsid w:val="0179474B"/>
    <w:rsid w:val="0185498B"/>
    <w:rsid w:val="01990ECA"/>
    <w:rsid w:val="01E65CA9"/>
    <w:rsid w:val="02595396"/>
    <w:rsid w:val="02A837E9"/>
    <w:rsid w:val="032F6F45"/>
    <w:rsid w:val="033B7DBC"/>
    <w:rsid w:val="03C211A0"/>
    <w:rsid w:val="048552F8"/>
    <w:rsid w:val="04C44DDD"/>
    <w:rsid w:val="050071C0"/>
    <w:rsid w:val="059C28C2"/>
    <w:rsid w:val="05D27519"/>
    <w:rsid w:val="06320837"/>
    <w:rsid w:val="069C2465"/>
    <w:rsid w:val="06FF4708"/>
    <w:rsid w:val="07130E80"/>
    <w:rsid w:val="07354BE2"/>
    <w:rsid w:val="079061F5"/>
    <w:rsid w:val="07A504E5"/>
    <w:rsid w:val="07B81938"/>
    <w:rsid w:val="07CB2B57"/>
    <w:rsid w:val="07EC308B"/>
    <w:rsid w:val="08115849"/>
    <w:rsid w:val="0875556E"/>
    <w:rsid w:val="09DF6D3E"/>
    <w:rsid w:val="0A241A31"/>
    <w:rsid w:val="0AE0600F"/>
    <w:rsid w:val="0B6658C1"/>
    <w:rsid w:val="0BC22757"/>
    <w:rsid w:val="0BCB0E68"/>
    <w:rsid w:val="0C192FCE"/>
    <w:rsid w:val="0D11117F"/>
    <w:rsid w:val="0E7F4BD9"/>
    <w:rsid w:val="0EA9219A"/>
    <w:rsid w:val="0EAE6622"/>
    <w:rsid w:val="0F363083"/>
    <w:rsid w:val="0F7563EB"/>
    <w:rsid w:val="0F80697A"/>
    <w:rsid w:val="10534754"/>
    <w:rsid w:val="114D01EF"/>
    <w:rsid w:val="11CF74C4"/>
    <w:rsid w:val="11DB0D58"/>
    <w:rsid w:val="11E00A63"/>
    <w:rsid w:val="12EE791C"/>
    <w:rsid w:val="12F108A0"/>
    <w:rsid w:val="139C67BB"/>
    <w:rsid w:val="139E68C6"/>
    <w:rsid w:val="13AD22D8"/>
    <w:rsid w:val="13B363E0"/>
    <w:rsid w:val="13ED52C0"/>
    <w:rsid w:val="14347C33"/>
    <w:rsid w:val="144349CA"/>
    <w:rsid w:val="14972B7C"/>
    <w:rsid w:val="14AF1AFB"/>
    <w:rsid w:val="14D80741"/>
    <w:rsid w:val="15447F4A"/>
    <w:rsid w:val="15584512"/>
    <w:rsid w:val="15BF2FBD"/>
    <w:rsid w:val="15C01FB9"/>
    <w:rsid w:val="15EA575C"/>
    <w:rsid w:val="160D33F7"/>
    <w:rsid w:val="162E6AF4"/>
    <w:rsid w:val="174662BC"/>
    <w:rsid w:val="17543053"/>
    <w:rsid w:val="176645F2"/>
    <w:rsid w:val="17BD71FF"/>
    <w:rsid w:val="18B22F8F"/>
    <w:rsid w:val="192440FA"/>
    <w:rsid w:val="19592F57"/>
    <w:rsid w:val="196A273E"/>
    <w:rsid w:val="19A91329"/>
    <w:rsid w:val="19EE0799"/>
    <w:rsid w:val="1A8D159C"/>
    <w:rsid w:val="1B01155A"/>
    <w:rsid w:val="1BCB44A6"/>
    <w:rsid w:val="1C7104B7"/>
    <w:rsid w:val="1C951971"/>
    <w:rsid w:val="1CA05783"/>
    <w:rsid w:val="1CDC33EA"/>
    <w:rsid w:val="1D9E7C25"/>
    <w:rsid w:val="1DB10E44"/>
    <w:rsid w:val="1E1C04F3"/>
    <w:rsid w:val="1E29560A"/>
    <w:rsid w:val="1E5054CA"/>
    <w:rsid w:val="1E904C3A"/>
    <w:rsid w:val="1EAE1E82"/>
    <w:rsid w:val="1EE97C47"/>
    <w:rsid w:val="1EEE084B"/>
    <w:rsid w:val="1EF736D9"/>
    <w:rsid w:val="1FE85722"/>
    <w:rsid w:val="1FE91D68"/>
    <w:rsid w:val="1FEA19E8"/>
    <w:rsid w:val="207E5B72"/>
    <w:rsid w:val="20D40A6C"/>
    <w:rsid w:val="2185500C"/>
    <w:rsid w:val="21C24E71"/>
    <w:rsid w:val="224B1552"/>
    <w:rsid w:val="234D23FA"/>
    <w:rsid w:val="23906366"/>
    <w:rsid w:val="240F46B6"/>
    <w:rsid w:val="241B04C9"/>
    <w:rsid w:val="242B0763"/>
    <w:rsid w:val="24BC0052"/>
    <w:rsid w:val="25893F23"/>
    <w:rsid w:val="25AA1ED9"/>
    <w:rsid w:val="25B03DE2"/>
    <w:rsid w:val="263E6EC9"/>
    <w:rsid w:val="2647305C"/>
    <w:rsid w:val="2665260C"/>
    <w:rsid w:val="26B3018D"/>
    <w:rsid w:val="26B57763"/>
    <w:rsid w:val="26E36DD6"/>
    <w:rsid w:val="28043B56"/>
    <w:rsid w:val="28D336F1"/>
    <w:rsid w:val="28D5110C"/>
    <w:rsid w:val="29F050DC"/>
    <w:rsid w:val="2A012DF7"/>
    <w:rsid w:val="2A2777B4"/>
    <w:rsid w:val="2A3000C3"/>
    <w:rsid w:val="2A67601F"/>
    <w:rsid w:val="2AF43684"/>
    <w:rsid w:val="2B413784"/>
    <w:rsid w:val="2BF31029"/>
    <w:rsid w:val="2C06004A"/>
    <w:rsid w:val="2CCF5514"/>
    <w:rsid w:val="2CDA38A5"/>
    <w:rsid w:val="2CDC01E6"/>
    <w:rsid w:val="2CED4AC4"/>
    <w:rsid w:val="2D3816C0"/>
    <w:rsid w:val="2D7733A3"/>
    <w:rsid w:val="2DBF4E1C"/>
    <w:rsid w:val="2EBE06BA"/>
    <w:rsid w:val="2F0D6CBD"/>
    <w:rsid w:val="2F5C5B42"/>
    <w:rsid w:val="2F6B035B"/>
    <w:rsid w:val="2F96119F"/>
    <w:rsid w:val="2FB43FD3"/>
    <w:rsid w:val="302F0099"/>
    <w:rsid w:val="30817EA3"/>
    <w:rsid w:val="31013C75"/>
    <w:rsid w:val="314224E0"/>
    <w:rsid w:val="31494069"/>
    <w:rsid w:val="326A79C4"/>
    <w:rsid w:val="32A22EA4"/>
    <w:rsid w:val="32C25E54"/>
    <w:rsid w:val="32D95A79"/>
    <w:rsid w:val="32D973F6"/>
    <w:rsid w:val="332D48DA"/>
    <w:rsid w:val="335B4D4D"/>
    <w:rsid w:val="33A07A40"/>
    <w:rsid w:val="343D5340"/>
    <w:rsid w:val="34DE074D"/>
    <w:rsid w:val="35026383"/>
    <w:rsid w:val="355C5798"/>
    <w:rsid w:val="358A2DE4"/>
    <w:rsid w:val="35CA5DCC"/>
    <w:rsid w:val="376D09FB"/>
    <w:rsid w:val="37B67EF6"/>
    <w:rsid w:val="37FD60EC"/>
    <w:rsid w:val="38C735B6"/>
    <w:rsid w:val="38F85F83"/>
    <w:rsid w:val="3A270BF4"/>
    <w:rsid w:val="3B4C67D8"/>
    <w:rsid w:val="3B690306"/>
    <w:rsid w:val="3BED2ADE"/>
    <w:rsid w:val="3C3C60E0"/>
    <w:rsid w:val="3C5B0B93"/>
    <w:rsid w:val="3CF81D16"/>
    <w:rsid w:val="3D4D7587"/>
    <w:rsid w:val="3D4E4CA4"/>
    <w:rsid w:val="3D6200C1"/>
    <w:rsid w:val="3D962E9A"/>
    <w:rsid w:val="3DEE3528"/>
    <w:rsid w:val="3DF60935"/>
    <w:rsid w:val="3E2A2088"/>
    <w:rsid w:val="3EC42287"/>
    <w:rsid w:val="3F9C7D6C"/>
    <w:rsid w:val="405F7F9D"/>
    <w:rsid w:val="40612FAD"/>
    <w:rsid w:val="40AB2127"/>
    <w:rsid w:val="40FD66AE"/>
    <w:rsid w:val="410B59C4"/>
    <w:rsid w:val="415A0FC6"/>
    <w:rsid w:val="41AF06D0"/>
    <w:rsid w:val="41D00C05"/>
    <w:rsid w:val="42A866EA"/>
    <w:rsid w:val="42DE3341"/>
    <w:rsid w:val="438D556B"/>
    <w:rsid w:val="43F23209"/>
    <w:rsid w:val="44FA23B6"/>
    <w:rsid w:val="45E52950"/>
    <w:rsid w:val="45EA3344"/>
    <w:rsid w:val="465161EB"/>
    <w:rsid w:val="465374F0"/>
    <w:rsid w:val="46A2666E"/>
    <w:rsid w:val="46D67BBE"/>
    <w:rsid w:val="471A5C34"/>
    <w:rsid w:val="472B71D3"/>
    <w:rsid w:val="47C84AD3"/>
    <w:rsid w:val="481C0CDA"/>
    <w:rsid w:val="48C4437E"/>
    <w:rsid w:val="49447BA8"/>
    <w:rsid w:val="4A545481"/>
    <w:rsid w:val="4A791E3E"/>
    <w:rsid w:val="4ADC085D"/>
    <w:rsid w:val="4B464DF9"/>
    <w:rsid w:val="4BE25B8D"/>
    <w:rsid w:val="4BEE199F"/>
    <w:rsid w:val="4CC94448"/>
    <w:rsid w:val="4CE9093D"/>
    <w:rsid w:val="4CF119A5"/>
    <w:rsid w:val="4D1C2158"/>
    <w:rsid w:val="4E884B66"/>
    <w:rsid w:val="4EAF6934"/>
    <w:rsid w:val="4F2E2A40"/>
    <w:rsid w:val="4FA26BAE"/>
    <w:rsid w:val="4FAC1446"/>
    <w:rsid w:val="501058E7"/>
    <w:rsid w:val="504D0FCF"/>
    <w:rsid w:val="505F0EE9"/>
    <w:rsid w:val="50C75416"/>
    <w:rsid w:val="50EE52D5"/>
    <w:rsid w:val="51F15DFD"/>
    <w:rsid w:val="527463D6"/>
    <w:rsid w:val="534D60B9"/>
    <w:rsid w:val="53653760"/>
    <w:rsid w:val="53FF00DB"/>
    <w:rsid w:val="54105761"/>
    <w:rsid w:val="54B42188"/>
    <w:rsid w:val="557D1BD1"/>
    <w:rsid w:val="558511DC"/>
    <w:rsid w:val="55E9238B"/>
    <w:rsid w:val="56532B2E"/>
    <w:rsid w:val="56DC5010"/>
    <w:rsid w:val="56E80E23"/>
    <w:rsid w:val="570C405C"/>
    <w:rsid w:val="57A646D9"/>
    <w:rsid w:val="580E2E04"/>
    <w:rsid w:val="58587D80"/>
    <w:rsid w:val="585A7A00"/>
    <w:rsid w:val="58645D91"/>
    <w:rsid w:val="58FD050E"/>
    <w:rsid w:val="593041E0"/>
    <w:rsid w:val="598629F0"/>
    <w:rsid w:val="598C5387"/>
    <w:rsid w:val="59F55223"/>
    <w:rsid w:val="5AC34212"/>
    <w:rsid w:val="5AED79B9"/>
    <w:rsid w:val="5B432946"/>
    <w:rsid w:val="5B9723D0"/>
    <w:rsid w:val="5BAB0D22"/>
    <w:rsid w:val="5BEF4F58"/>
    <w:rsid w:val="5C0E3314"/>
    <w:rsid w:val="5C201030"/>
    <w:rsid w:val="5C3F5168"/>
    <w:rsid w:val="5C915E6B"/>
    <w:rsid w:val="5C9E5181"/>
    <w:rsid w:val="5CDE0169"/>
    <w:rsid w:val="5D870982"/>
    <w:rsid w:val="5DE97722"/>
    <w:rsid w:val="5E5644D2"/>
    <w:rsid w:val="5E677FF0"/>
    <w:rsid w:val="5E797F0A"/>
    <w:rsid w:val="5EA63358"/>
    <w:rsid w:val="5ED50624"/>
    <w:rsid w:val="5ED54F71"/>
    <w:rsid w:val="5EE66340"/>
    <w:rsid w:val="5F4B0263"/>
    <w:rsid w:val="5F7A4635"/>
    <w:rsid w:val="5FA62EFB"/>
    <w:rsid w:val="5FAA7382"/>
    <w:rsid w:val="5FD03D3F"/>
    <w:rsid w:val="60510E15"/>
    <w:rsid w:val="609A6C8B"/>
    <w:rsid w:val="61386F0F"/>
    <w:rsid w:val="61703BA0"/>
    <w:rsid w:val="61D50F91"/>
    <w:rsid w:val="620948E3"/>
    <w:rsid w:val="62184EFE"/>
    <w:rsid w:val="621A25FF"/>
    <w:rsid w:val="624834CE"/>
    <w:rsid w:val="62AC1A2B"/>
    <w:rsid w:val="62F12662"/>
    <w:rsid w:val="62FB742B"/>
    <w:rsid w:val="64562060"/>
    <w:rsid w:val="64E7729A"/>
    <w:rsid w:val="65254B81"/>
    <w:rsid w:val="65CC2D90"/>
    <w:rsid w:val="65E16E99"/>
    <w:rsid w:val="671E0D2F"/>
    <w:rsid w:val="672C74D4"/>
    <w:rsid w:val="673832E7"/>
    <w:rsid w:val="676818B7"/>
    <w:rsid w:val="67D5446A"/>
    <w:rsid w:val="67D643E4"/>
    <w:rsid w:val="683B3E0E"/>
    <w:rsid w:val="68953223"/>
    <w:rsid w:val="68DC0114"/>
    <w:rsid w:val="690470DA"/>
    <w:rsid w:val="6A0333FA"/>
    <w:rsid w:val="6A141E3D"/>
    <w:rsid w:val="6AAA4E8C"/>
    <w:rsid w:val="6AD92401"/>
    <w:rsid w:val="6B1A09C3"/>
    <w:rsid w:val="6BA01F21"/>
    <w:rsid w:val="6C642F64"/>
    <w:rsid w:val="6D06056F"/>
    <w:rsid w:val="6E08125F"/>
    <w:rsid w:val="6E1703AC"/>
    <w:rsid w:val="6E255143"/>
    <w:rsid w:val="6E620A03"/>
    <w:rsid w:val="6ED54C37"/>
    <w:rsid w:val="6F5248B0"/>
    <w:rsid w:val="6FDB3510"/>
    <w:rsid w:val="703A6DAC"/>
    <w:rsid w:val="70452BBF"/>
    <w:rsid w:val="706A537D"/>
    <w:rsid w:val="70876EAC"/>
    <w:rsid w:val="70AB0365"/>
    <w:rsid w:val="70C64412"/>
    <w:rsid w:val="70D97BAF"/>
    <w:rsid w:val="7174146B"/>
    <w:rsid w:val="71CE254E"/>
    <w:rsid w:val="7298210F"/>
    <w:rsid w:val="73231CF3"/>
    <w:rsid w:val="732A09FA"/>
    <w:rsid w:val="73376795"/>
    <w:rsid w:val="73794C80"/>
    <w:rsid w:val="743A1013"/>
    <w:rsid w:val="74FB517C"/>
    <w:rsid w:val="752836C2"/>
    <w:rsid w:val="7571063E"/>
    <w:rsid w:val="76E44C9C"/>
    <w:rsid w:val="76F529B8"/>
    <w:rsid w:val="771B4791"/>
    <w:rsid w:val="77832E5D"/>
    <w:rsid w:val="7809377A"/>
    <w:rsid w:val="78CA163A"/>
    <w:rsid w:val="79042718"/>
    <w:rsid w:val="792C25D8"/>
    <w:rsid w:val="79653A37"/>
    <w:rsid w:val="79905B80"/>
    <w:rsid w:val="79E22107"/>
    <w:rsid w:val="7AA546C9"/>
    <w:rsid w:val="7AC96B81"/>
    <w:rsid w:val="7AEE5ABC"/>
    <w:rsid w:val="7AF357C7"/>
    <w:rsid w:val="7B716095"/>
    <w:rsid w:val="7BD01932"/>
    <w:rsid w:val="7BFB4974"/>
    <w:rsid w:val="7C01687E"/>
    <w:rsid w:val="7CC47C40"/>
    <w:rsid w:val="7D9E75A3"/>
    <w:rsid w:val="7DA83736"/>
    <w:rsid w:val="7E06544D"/>
    <w:rsid w:val="7E163D6A"/>
    <w:rsid w:val="7E4C4244"/>
    <w:rsid w:val="7E8F5FB2"/>
    <w:rsid w:val="7EE37C3B"/>
    <w:rsid w:val="7F544A77"/>
    <w:rsid w:val="7FC0595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4"/>
    <w:qFormat/>
    <w:uiPriority w:val="0"/>
    <w:pPr>
      <w:keepNext/>
      <w:keepLines/>
      <w:spacing w:beforeLines="50" w:afterLines="50" w:line="360" w:lineRule="auto"/>
      <w:jc w:val="center"/>
      <w:outlineLvl w:val="0"/>
    </w:pPr>
    <w:rPr>
      <w:rFonts w:ascii="Times New Roman" w:hAnsi="Times New Roman" w:eastAsia="方正小标宋简体" w:cs="Times New Roman"/>
      <w:kern w:val="44"/>
      <w:sz w:val="36"/>
      <w:szCs w:val="20"/>
    </w:rPr>
  </w:style>
  <w:style w:type="character" w:default="1" w:styleId="10">
    <w:name w:val="Default Paragraph Font"/>
    <w:unhideWhenUsed/>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3">
    <w:name w:val="Document Map"/>
    <w:basedOn w:val="1"/>
    <w:link w:val="23"/>
    <w:unhideWhenUsed/>
    <w:qFormat/>
    <w:uiPriority w:val="0"/>
    <w:rPr>
      <w:rFonts w:ascii="宋体"/>
      <w:sz w:val="18"/>
      <w:szCs w:val="18"/>
    </w:r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1"/>
    <w:unhideWhenUsed/>
    <w:qFormat/>
    <w:uiPriority w:val="99"/>
    <w:pPr>
      <w:snapToGrid w:val="0"/>
      <w:jc w:val="left"/>
    </w:pPr>
    <w:rPr>
      <w:sz w:val="18"/>
      <w:szCs w:val="18"/>
    </w:rPr>
  </w:style>
  <w:style w:type="paragraph" w:styleId="8">
    <w:name w:val="Normal (Web)"/>
    <w:basedOn w:val="1"/>
    <w:unhideWhenUsed/>
    <w:qFormat/>
    <w:uiPriority w:val="99"/>
    <w:rPr>
      <w:rFonts w:ascii="Times New Roman" w:hAnsi="Times New Roman" w:cs="Times New Roman"/>
      <w:sz w:val="24"/>
      <w:szCs w:val="20"/>
    </w:rPr>
  </w:style>
  <w:style w:type="paragraph" w:styleId="9">
    <w:name w:val="Title"/>
    <w:basedOn w:val="1"/>
    <w:next w:val="1"/>
    <w:link w:val="25"/>
    <w:qFormat/>
    <w:uiPriority w:val="10"/>
    <w:pPr>
      <w:spacing w:before="240" w:after="60"/>
      <w:jc w:val="center"/>
      <w:outlineLvl w:val="0"/>
    </w:pPr>
    <w:rPr>
      <w:rFonts w:ascii="Cambria" w:hAnsi="Cambria" w:cs="Times New Roman"/>
      <w:b/>
      <w:bCs/>
      <w:sz w:val="32"/>
      <w:szCs w:val="32"/>
    </w:rPr>
  </w:style>
  <w:style w:type="character" w:styleId="11">
    <w:name w:val="FollowedHyperlink"/>
    <w:basedOn w:val="10"/>
    <w:unhideWhenUsed/>
    <w:qFormat/>
    <w:uiPriority w:val="0"/>
    <w:rPr>
      <w:color w:val="666666"/>
      <w:u w:val="none"/>
    </w:rPr>
  </w:style>
  <w:style w:type="character" w:styleId="12">
    <w:name w:val="Emphasis"/>
    <w:basedOn w:val="10"/>
    <w:qFormat/>
    <w:uiPriority w:val="20"/>
    <w:rPr/>
  </w:style>
  <w:style w:type="character" w:styleId="13">
    <w:name w:val="Hyperlink"/>
    <w:basedOn w:val="10"/>
    <w:unhideWhenUsed/>
    <w:qFormat/>
    <w:uiPriority w:val="0"/>
    <w:rPr>
      <w:color w:val="666666"/>
      <w:u w:val="none"/>
    </w:rPr>
  </w:style>
  <w:style w:type="character" w:styleId="14">
    <w:name w:val="footnote reference"/>
    <w:basedOn w:val="10"/>
    <w:unhideWhenUsed/>
    <w:qFormat/>
    <w:uiPriority w:val="99"/>
    <w:rPr>
      <w:vertAlign w:val="superscript"/>
    </w:r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7">
    <w:name w:val="Char1"/>
    <w:basedOn w:val="1"/>
    <w:qFormat/>
    <w:uiPriority w:val="0"/>
    <w:pPr>
      <w:snapToGrid w:val="0"/>
      <w:spacing w:line="360" w:lineRule="auto"/>
      <w:ind w:firstLine="200" w:firstLineChars="200"/>
    </w:pPr>
    <w:rPr>
      <w:rFonts w:ascii="黑体" w:hAnsi="宋体" w:eastAsia="仿宋_GB2312"/>
      <w:sz w:val="24"/>
      <w:szCs w:val="24"/>
    </w:rPr>
  </w:style>
  <w:style w:type="paragraph" w:customStyle="1" w:styleId="18">
    <w:name w:val="列出段落1"/>
    <w:basedOn w:val="1"/>
    <w:qFormat/>
    <w:uiPriority w:val="34"/>
    <w:pPr>
      <w:widowControl/>
      <w:spacing w:before="100" w:beforeAutospacing="1" w:after="100" w:afterAutospacing="1"/>
      <w:jc w:val="left"/>
    </w:pPr>
    <w:rPr>
      <w:rFonts w:ascii="宋体" w:hAnsi="宋体" w:cs="宋体"/>
      <w:kern w:val="0"/>
      <w:sz w:val="24"/>
      <w:szCs w:val="24"/>
    </w:rPr>
  </w:style>
  <w:style w:type="character" w:customStyle="1" w:styleId="19">
    <w:name w:val="页眉 Char"/>
    <w:basedOn w:val="10"/>
    <w:link w:val="6"/>
    <w:semiHidden/>
    <w:qFormat/>
    <w:uiPriority w:val="99"/>
    <w:rPr>
      <w:sz w:val="18"/>
      <w:szCs w:val="18"/>
    </w:rPr>
  </w:style>
  <w:style w:type="character" w:customStyle="1" w:styleId="20">
    <w:name w:val="页脚 Char"/>
    <w:basedOn w:val="10"/>
    <w:link w:val="5"/>
    <w:qFormat/>
    <w:uiPriority w:val="99"/>
    <w:rPr>
      <w:sz w:val="18"/>
      <w:szCs w:val="18"/>
    </w:rPr>
  </w:style>
  <w:style w:type="character" w:customStyle="1" w:styleId="21">
    <w:name w:val="脚注文本 Char"/>
    <w:basedOn w:val="10"/>
    <w:link w:val="7"/>
    <w:qFormat/>
    <w:uiPriority w:val="99"/>
    <w:rPr>
      <w:rFonts w:ascii="Calibri" w:hAnsi="Calibri" w:eastAsia="宋体" w:cs="黑体"/>
      <w:sz w:val="18"/>
      <w:szCs w:val="18"/>
    </w:rPr>
  </w:style>
  <w:style w:type="character" w:customStyle="1" w:styleId="22">
    <w:name w:val="批注框文本 Char"/>
    <w:basedOn w:val="10"/>
    <w:link w:val="4"/>
    <w:semiHidden/>
    <w:qFormat/>
    <w:uiPriority w:val="99"/>
    <w:rPr>
      <w:sz w:val="18"/>
      <w:szCs w:val="18"/>
    </w:rPr>
  </w:style>
  <w:style w:type="character" w:customStyle="1" w:styleId="23">
    <w:name w:val="文档结构图 Char"/>
    <w:basedOn w:val="10"/>
    <w:link w:val="3"/>
    <w:semiHidden/>
    <w:qFormat/>
    <w:uiPriority w:val="0"/>
    <w:rPr>
      <w:rFonts w:ascii="宋体" w:hAnsi="Calibri" w:cs="黑体"/>
      <w:kern w:val="2"/>
      <w:sz w:val="18"/>
      <w:szCs w:val="18"/>
    </w:rPr>
  </w:style>
  <w:style w:type="character" w:customStyle="1" w:styleId="24">
    <w:name w:val="标题 1 Char"/>
    <w:basedOn w:val="10"/>
    <w:link w:val="2"/>
    <w:qFormat/>
    <w:uiPriority w:val="0"/>
    <w:rPr>
      <w:rFonts w:eastAsia="方正小标宋简体"/>
      <w:kern w:val="44"/>
      <w:sz w:val="36"/>
    </w:rPr>
  </w:style>
  <w:style w:type="character" w:customStyle="1" w:styleId="25">
    <w:name w:val="标题 Char"/>
    <w:basedOn w:val="10"/>
    <w:link w:val="9"/>
    <w:qFormat/>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1871</Words>
  <Characters>10669</Characters>
  <Lines>88</Lines>
  <Paragraphs>25</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2016-10-25T12:48:00Z</dcterms:created>
  <dc:creator>刁诚诚</dc:creator>
  <cp:lastModifiedBy>Administrator</cp:lastModifiedBy>
  <cp:lastPrinted>2016-11-21T08:28:00Z</cp:lastPrinted>
  <dcterms:modified xsi:type="dcterms:W3CDTF">2016-11-23T03:59:26Z</dcterms:modified>
  <dc:title>工业和信息化部 财政部关于组织实施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