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 w:line="450" w:lineRule="atLeast"/>
        <w:ind w:firstLine="3240" w:firstLineChars="13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Style w:val="5"/>
        <w:tblW w:w="14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59"/>
        <w:gridCol w:w="2758"/>
        <w:gridCol w:w="2835"/>
        <w:gridCol w:w="2268"/>
        <w:gridCol w:w="1701"/>
        <w:gridCol w:w="283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辽宁省政府定价涉企经营服务性收费目录清单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收费依据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收费主体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收费对象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公证服务收费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辽价发[2011]70号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公证处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委托者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司法鉴定服务收费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辽价函[2014]90号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司法鉴定机构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委托者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律师服务收费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辽价函[2014]128号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辽价发[1999]43号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律师事务所、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法律服务所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委托者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新建住宅供电工程建设费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辽价发[2009]3号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辽价发[2012]31号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电力公司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新建住宅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非住房交易手续费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辽价发[2002]124号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房地产交易中心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交易当事人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汽车客运站服务收费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交公路发[1996]263号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辽交运发[2005]85号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客运站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进站车辆和乘客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鸭绿江大桥作业通道车辆通行费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辽价函[2003]96号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铁路部门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通行车辆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公共资源市场交易服务费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辽价函[2014]3号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辽价函[2014]140号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辽价函[2015]70号等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公共资源交易中心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进场交易单位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详见文件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包括土地、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矿产、建筑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工程交易服务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社会化机动车安全技术检验费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辽价发[2008]119号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安全技术检验机构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被检车辆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汽车类每车次100元；三轮汽车、低速载货汽车、摩托车、拖拉机（含联合收割机）每车次50元。人工检验按上述标准减半收费。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机动车排放污染物环保检测费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辽价发[2012]87号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环保检测机构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被检车辆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简易瞬态工况法或加载减速工况法：60元/辆次；双怠速法或自由加速不透光烟度法20元/辆次；自由加速滤纸烟度法：20元/辆次。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危险废物处置收费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授权市、县人民政府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处置单位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排放单位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道路清障服务费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授权市人民政府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委托者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电动汽车充换电服务费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授权市人民政府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充电站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充电车辆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7F3A"/>
    <w:rsid w:val="003D35D2"/>
    <w:rsid w:val="004A209F"/>
    <w:rsid w:val="004D0625"/>
    <w:rsid w:val="006D06F6"/>
    <w:rsid w:val="00D37BFB"/>
    <w:rsid w:val="00EA7F3A"/>
    <w:rsid w:val="63355C7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32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6"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1242</Characters>
  <Lines>10</Lines>
  <Paragraphs>2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2015-10-14T00:37:00Z</dcterms:created>
  <dc:creator>User</dc:creator>
  <cp:lastModifiedBy>Administrator</cp:lastModifiedBy>
  <dcterms:modified xsi:type="dcterms:W3CDTF">2015-10-15T06:49:51Z</dcterms:modified>
  <dc:title>辽宁省政府定价涉企经营服务性收费目录清单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