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1470"/>
        </w:tabs>
        <w:spacing w:line="600" w:lineRule="exact"/>
        <w:jc w:val="left"/>
        <w:rPr>
          <w:rFonts w:hint="default" w:ascii="Times New Roman" w:hAnsi="Times New Roman" w:eastAsia="仿宋_GB2312" w:cs="Times New Roman"/>
          <w:color w:val="auto"/>
          <w:kern w:val="0"/>
          <w:szCs w:val="21"/>
        </w:rPr>
      </w:pPr>
      <w:bookmarkStart w:id="0" w:name="_GoBack"/>
      <w:bookmarkEnd w:id="0"/>
    </w:p>
    <w:p>
      <w:pPr>
        <w:pStyle w:val="7"/>
        <w:shd w:val="clear" w:color="auto" w:fill="FFFFFF"/>
        <w:spacing w:before="0" w:after="0" w:line="600" w:lineRule="exact"/>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lang w:eastAsia="zh-CN"/>
        </w:rPr>
        <w:t>关于修改</w:t>
      </w:r>
      <w:r>
        <w:rPr>
          <w:rFonts w:hint="eastAsia" w:ascii="黑体" w:hAnsi="黑体" w:eastAsia="黑体" w:cs="黑体"/>
          <w:b w:val="0"/>
          <w:bCs w:val="0"/>
          <w:color w:val="auto"/>
          <w:sz w:val="36"/>
          <w:szCs w:val="36"/>
        </w:rPr>
        <w:t>《乘用车企业平均燃料消耗量与新能源</w:t>
      </w:r>
    </w:p>
    <w:p>
      <w:pPr>
        <w:pStyle w:val="7"/>
        <w:shd w:val="clear" w:color="auto" w:fill="FFFFFF"/>
        <w:spacing w:before="0" w:after="0" w:line="600" w:lineRule="exact"/>
        <w:rPr>
          <w:rFonts w:hint="eastAsia" w:ascii="黑体" w:hAnsi="黑体" w:eastAsia="黑体" w:cs="黑体"/>
          <w:b w:val="0"/>
          <w:bCs w:val="0"/>
          <w:color w:val="auto"/>
          <w:sz w:val="36"/>
          <w:szCs w:val="36"/>
          <w:lang w:eastAsia="zh-CN"/>
        </w:rPr>
      </w:pPr>
      <w:r>
        <w:rPr>
          <w:rFonts w:hint="eastAsia" w:ascii="黑体" w:hAnsi="黑体" w:eastAsia="黑体" w:cs="黑体"/>
          <w:b w:val="0"/>
          <w:bCs w:val="0"/>
          <w:color w:val="auto"/>
          <w:sz w:val="36"/>
          <w:szCs w:val="36"/>
        </w:rPr>
        <w:t>汽车积分并行管理办法》</w:t>
      </w:r>
      <w:r>
        <w:rPr>
          <w:rFonts w:hint="eastAsia" w:ascii="黑体" w:hAnsi="黑体" w:eastAsia="黑体" w:cs="黑体"/>
          <w:b w:val="0"/>
          <w:bCs w:val="0"/>
          <w:color w:val="auto"/>
          <w:sz w:val="36"/>
          <w:szCs w:val="36"/>
          <w:lang w:eastAsia="zh-CN"/>
        </w:rPr>
        <w:t>的决定</w:t>
      </w:r>
    </w:p>
    <w:p>
      <w:pPr>
        <w:widowControl/>
        <w:shd w:val="clear" w:color="auto" w:fill="FFFFFF"/>
        <w:spacing w:line="600" w:lineRule="exact"/>
        <w:ind w:firstLine="420" w:firstLineChars="200"/>
        <w:jc w:val="left"/>
        <w:rPr>
          <w:rFonts w:hint="default" w:ascii="Times New Roman" w:hAnsi="Times New Roman" w:cs="Times New Roman"/>
          <w:color w:val="auto"/>
        </w:rPr>
      </w:pP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为</w:t>
      </w:r>
      <w:r>
        <w:rPr>
          <w:rFonts w:hint="default" w:ascii="Times New Roman" w:hAnsi="Times New Roman" w:eastAsia="仿宋_GB2312" w:cs="Times New Roman"/>
          <w:color w:val="auto"/>
          <w:kern w:val="0"/>
          <w:sz w:val="32"/>
          <w:szCs w:val="21"/>
          <w:lang w:eastAsia="zh-CN"/>
        </w:rPr>
        <w:t>了</w:t>
      </w:r>
      <w:r>
        <w:rPr>
          <w:rFonts w:hint="default" w:ascii="Times New Roman" w:hAnsi="Times New Roman" w:eastAsia="仿宋_GB2312" w:cs="Times New Roman"/>
          <w:color w:val="auto"/>
          <w:kern w:val="0"/>
          <w:sz w:val="32"/>
          <w:szCs w:val="21"/>
        </w:rPr>
        <w:t>适应我国节能与新能源汽车产业发展的需要，工业和信息化部</w:t>
      </w:r>
      <w:r>
        <w:rPr>
          <w:rFonts w:hint="default" w:ascii="Times New Roman" w:hAnsi="Times New Roman" w:eastAsia="仿宋_GB2312" w:cs="Times New Roman"/>
          <w:color w:val="auto"/>
          <w:kern w:val="0"/>
          <w:sz w:val="32"/>
          <w:szCs w:val="21"/>
          <w:lang w:eastAsia="zh-CN"/>
        </w:rPr>
        <w:t>等有</w:t>
      </w:r>
      <w:r>
        <w:rPr>
          <w:rFonts w:hint="default" w:ascii="Times New Roman" w:hAnsi="Times New Roman" w:eastAsia="仿宋_GB2312" w:cs="Times New Roman"/>
          <w:color w:val="auto"/>
          <w:kern w:val="0"/>
          <w:sz w:val="32"/>
          <w:szCs w:val="21"/>
        </w:rPr>
        <w:t>关部门决定对《乘用车企业平均燃料消耗量与新能源汽车积分并行管理办法》</w:t>
      </w:r>
      <w:r>
        <w:rPr>
          <w:rFonts w:hint="default" w:ascii="Times New Roman" w:hAnsi="Times New Roman" w:eastAsia="仿宋_GB2312" w:cs="Times New Roman"/>
          <w:color w:val="auto"/>
          <w:kern w:val="0"/>
          <w:sz w:val="32"/>
          <w:szCs w:val="21"/>
          <w:lang w:eastAsia="zh-CN"/>
        </w:rPr>
        <w:t>作</w:t>
      </w:r>
      <w:r>
        <w:rPr>
          <w:rFonts w:hint="default" w:ascii="Times New Roman" w:hAnsi="Times New Roman" w:eastAsia="仿宋_GB2312" w:cs="Times New Roman"/>
          <w:color w:val="auto"/>
          <w:kern w:val="0"/>
          <w:sz w:val="32"/>
          <w:szCs w:val="21"/>
        </w:rPr>
        <w:t>如下修改：</w:t>
      </w:r>
    </w:p>
    <w:p>
      <w:pPr>
        <w:widowControl/>
        <w:numPr>
          <w:ilvl w:val="0"/>
          <w:numId w:val="1"/>
        </w:numPr>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将</w:t>
      </w:r>
      <w:r>
        <w:rPr>
          <w:rFonts w:hint="default" w:ascii="Times New Roman" w:hAnsi="Times New Roman" w:eastAsia="仿宋_GB2312" w:cs="Times New Roman"/>
          <w:color w:val="auto"/>
          <w:kern w:val="0"/>
          <w:sz w:val="32"/>
          <w:szCs w:val="21"/>
        </w:rPr>
        <w:t>第四条第三款修改为</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rPr>
        <w:t>“本办法所称传统能源乘用车，是指除新能源乘用车以外的，能够燃用汽油、柴油、气体燃料或者醇醚燃料等的乘用车（含非插电式混合动力乘用车）。”</w:t>
      </w:r>
    </w:p>
    <w:p>
      <w:pPr>
        <w:widowControl/>
        <w:numPr>
          <w:ilvl w:val="0"/>
          <w:numId w:val="0"/>
        </w:numPr>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增加一款作为</w:t>
      </w:r>
      <w:r>
        <w:rPr>
          <w:rFonts w:hint="default" w:ascii="Times New Roman" w:hAnsi="Times New Roman" w:eastAsia="仿宋_GB2312" w:cs="Times New Roman"/>
          <w:color w:val="auto"/>
          <w:kern w:val="0"/>
          <w:sz w:val="32"/>
          <w:szCs w:val="21"/>
          <w:lang w:eastAsia="zh-CN"/>
        </w:rPr>
        <w:t>第四条</w:t>
      </w:r>
      <w:r>
        <w:rPr>
          <w:rFonts w:hint="default" w:ascii="Times New Roman" w:hAnsi="Times New Roman" w:eastAsia="仿宋_GB2312" w:cs="Times New Roman"/>
          <w:color w:val="auto"/>
          <w:kern w:val="0"/>
          <w:sz w:val="32"/>
          <w:szCs w:val="21"/>
        </w:rPr>
        <w:t>第四款：“本办法所称低油耗乘用车，是指综合燃料消耗量不超过《乘用车燃料消耗量评价方法及指标》</w:t>
      </w:r>
      <w:r>
        <w:rPr>
          <w:rFonts w:hint="default" w:ascii="Times New Roman" w:hAnsi="Times New Roman" w:eastAsia="仿宋_GB2312" w:cs="Times New Roman"/>
          <w:b w:val="0"/>
          <w:bCs w:val="0"/>
          <w:color w:val="auto"/>
          <w:kern w:val="0"/>
          <w:sz w:val="32"/>
          <w:szCs w:val="32"/>
        </w:rPr>
        <w:t>（GB</w:t>
      </w:r>
      <w:r>
        <w:rPr>
          <w:rFonts w:hint="eastAsia" w:ascii="Times New Roman" w:hAnsi="Times New Roman" w:eastAsia="仿宋_GB2312" w:cs="Times New Roman"/>
          <w:b w:val="0"/>
          <w:bCs w:val="0"/>
          <w:color w:val="auto"/>
          <w:kern w:val="0"/>
          <w:sz w:val="32"/>
          <w:szCs w:val="32"/>
          <w:lang w:val="en-US" w:eastAsia="zh-CN"/>
        </w:rPr>
        <w:t xml:space="preserve"> 27999</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color w:val="auto"/>
          <w:kern w:val="0"/>
          <w:sz w:val="32"/>
          <w:szCs w:val="21"/>
        </w:rPr>
        <w:t>中对应的车型燃料消耗量目标值与该核算年度的企业平均燃料消耗量要求之积（计算结果按四舍五入原则保留两位小数）的传统能源乘用车。”</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二</w:t>
      </w:r>
      <w:r>
        <w:rPr>
          <w:rFonts w:hint="default" w:ascii="Times New Roman" w:hAnsi="Times New Roman" w:eastAsia="仿宋_GB2312" w:cs="Times New Roman"/>
          <w:color w:val="auto"/>
          <w:kern w:val="0"/>
          <w:sz w:val="32"/>
          <w:szCs w:val="21"/>
        </w:rPr>
        <w:t>、</w:t>
      </w:r>
      <w:r>
        <w:rPr>
          <w:rFonts w:hint="default" w:ascii="Times New Roman" w:hAnsi="Times New Roman" w:eastAsia="仿宋_GB2312" w:cs="Times New Roman"/>
          <w:color w:val="auto"/>
          <w:kern w:val="0"/>
          <w:sz w:val="32"/>
          <w:szCs w:val="21"/>
          <w:lang w:eastAsia="zh-CN"/>
        </w:rPr>
        <w:t>将</w:t>
      </w:r>
      <w:r>
        <w:rPr>
          <w:rFonts w:hint="default" w:ascii="Times New Roman" w:hAnsi="Times New Roman" w:eastAsia="仿宋_GB2312" w:cs="Times New Roman"/>
          <w:color w:val="auto"/>
          <w:kern w:val="0"/>
          <w:sz w:val="32"/>
          <w:szCs w:val="21"/>
        </w:rPr>
        <w:t>第十二条第一款修改为：“对核算年度生产量2000辆以下并且生产、研发和运营保持独立的境内乘用车生产企业，进口量2000辆以下的获境外乘用车生产企业授权的进口乘用车供应企业，放宽其企业平均燃料消耗量积分的达标要求：</w:t>
      </w:r>
    </w:p>
    <w:p>
      <w:pPr>
        <w:widowControl/>
        <w:shd w:val="clear" w:color="auto" w:fill="auto"/>
        <w:tabs>
          <w:tab w:val="left" w:pos="1418"/>
          <w:tab w:val="left" w:pos="1701"/>
          <w:tab w:val="left" w:pos="1843"/>
        </w:tabs>
        <w:snapToGrid w:val="0"/>
        <w:spacing w:line="600" w:lineRule="exact"/>
        <w:ind w:firstLine="640" w:firstLineChars="200"/>
        <w:rPr>
          <w:rFonts w:hint="default" w:ascii="Times New Roman" w:hAnsi="Times New Roman" w:eastAsia="仿宋_GB2312" w:cs="Times New Roman"/>
          <w:color w:val="auto"/>
          <w:kern w:val="0"/>
          <w:sz w:val="32"/>
          <w:szCs w:val="21"/>
          <w:lang w:val="en-US" w:eastAsia="zh-CN"/>
        </w:rPr>
      </w:pPr>
      <w:r>
        <w:rPr>
          <w:rFonts w:hint="default" w:ascii="Times New Roman" w:hAnsi="Times New Roman" w:eastAsia="仿宋_GB2312" w:cs="Times New Roman"/>
          <w:color w:val="auto"/>
          <w:kern w:val="0"/>
          <w:sz w:val="32"/>
          <w:szCs w:val="21"/>
          <w:lang w:eastAsia="zh-CN"/>
        </w:rPr>
        <w:t>（一）</w:t>
      </w:r>
      <w:r>
        <w:rPr>
          <w:rFonts w:hint="default" w:ascii="Times New Roman" w:hAnsi="Times New Roman" w:eastAsia="仿宋_GB2312" w:cs="Times New Roman"/>
          <w:color w:val="auto"/>
          <w:kern w:val="0"/>
          <w:sz w:val="32"/>
          <w:szCs w:val="21"/>
          <w:lang w:val="en-US" w:eastAsia="zh-CN"/>
        </w:rPr>
        <w:t>2016年度至2020年度，企业</w:t>
      </w:r>
      <w:r>
        <w:rPr>
          <w:rFonts w:hint="default" w:ascii="Times New Roman" w:hAnsi="Times New Roman" w:eastAsia="仿宋_GB2312" w:cs="Times New Roman"/>
          <w:sz w:val="32"/>
        </w:rPr>
        <w:t>平均燃料消耗量较上一年度下降6%以上的，其达标值在《乘用车燃料消耗量评价方法及指标》规定的企业平均燃料消耗量要求基础上放宽60%；下降3%以上不满6%的，其达标值放宽30%</w:t>
      </w:r>
      <w:r>
        <w:rPr>
          <w:rFonts w:hint="default" w:ascii="Times New Roman" w:hAnsi="Times New Roman" w:eastAsia="仿宋_GB2312" w:cs="Times New Roman"/>
          <w:sz w:val="32"/>
          <w:lang w:eastAsia="zh-CN"/>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（二）</w:t>
      </w:r>
      <w:r>
        <w:rPr>
          <w:rFonts w:hint="default" w:ascii="Times New Roman" w:hAnsi="Times New Roman" w:eastAsia="仿宋_GB2312" w:cs="Times New Roman"/>
          <w:color w:val="auto"/>
          <w:kern w:val="0"/>
          <w:sz w:val="32"/>
          <w:szCs w:val="21"/>
          <w:lang w:val="en-US" w:eastAsia="zh-CN"/>
        </w:rPr>
        <w:t>2021年度至2023年度，</w:t>
      </w:r>
      <w:r>
        <w:rPr>
          <w:rFonts w:hint="default" w:ascii="Times New Roman" w:hAnsi="Times New Roman" w:eastAsia="仿宋_GB2312" w:cs="Times New Roman"/>
          <w:color w:val="auto"/>
          <w:kern w:val="0"/>
          <w:sz w:val="32"/>
          <w:szCs w:val="21"/>
        </w:rPr>
        <w:t>企业平均燃料消耗量较上一年度下降达到4%以上的，其达标值在《乘用车燃料消耗量评价方法及指标》规定的企业平均燃料消耗量要求基础上放宽60%；下降2%以上不满4%的，其达标值放宽30%</w:t>
      </w:r>
      <w:r>
        <w:rPr>
          <w:rFonts w:hint="default" w:ascii="Times New Roman" w:hAnsi="Times New Roman" w:eastAsia="仿宋_GB2312" w:cs="Times New Roman"/>
          <w:color w:val="auto"/>
          <w:kern w:val="0"/>
          <w:sz w:val="32"/>
          <w:szCs w:val="21"/>
          <w:lang w:eastAsia="zh-CN"/>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（三）</w:t>
      </w:r>
      <w:r>
        <w:rPr>
          <w:rFonts w:hint="default" w:ascii="Times New Roman" w:hAnsi="Times New Roman" w:eastAsia="仿宋_GB2312" w:cs="Times New Roman"/>
          <w:color w:val="auto"/>
          <w:kern w:val="0"/>
          <w:sz w:val="32"/>
          <w:szCs w:val="21"/>
        </w:rPr>
        <w:t>2024年度及以后年度的核算要求，由工业和信息化部另行公布。”</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三</w:t>
      </w:r>
      <w:r>
        <w:rPr>
          <w:rFonts w:hint="default" w:ascii="Times New Roman" w:hAnsi="Times New Roman" w:eastAsia="仿宋_GB2312" w:cs="Times New Roman"/>
          <w:color w:val="auto"/>
          <w:kern w:val="0"/>
          <w:sz w:val="32"/>
          <w:szCs w:val="21"/>
        </w:rPr>
        <w:t>、第十六条增加一款作为第二款：</w:t>
      </w:r>
      <w:r>
        <w:rPr>
          <w:rFonts w:hint="default" w:ascii="Times New Roman" w:hAnsi="Times New Roman" w:eastAsia="仿宋_GB2312" w:cs="Times New Roman"/>
          <w:color w:val="auto"/>
          <w:kern w:val="0"/>
          <w:sz w:val="32"/>
          <w:szCs w:val="21"/>
          <w:lang w:eastAsia="zh-CN"/>
        </w:rPr>
        <w:t>“传统能源乘用车中</w:t>
      </w:r>
      <w:r>
        <w:rPr>
          <w:rFonts w:hint="default" w:ascii="Times New Roman" w:hAnsi="Times New Roman" w:eastAsia="仿宋_GB2312" w:cs="Times New Roman"/>
          <w:color w:val="auto"/>
          <w:kern w:val="0"/>
          <w:sz w:val="32"/>
          <w:szCs w:val="21"/>
        </w:rPr>
        <w:t>低油耗乘用车</w:t>
      </w:r>
      <w:r>
        <w:rPr>
          <w:rFonts w:hint="default" w:ascii="Times New Roman" w:hAnsi="Times New Roman" w:eastAsia="仿宋_GB2312" w:cs="Times New Roman"/>
          <w:color w:val="auto"/>
          <w:kern w:val="0"/>
          <w:sz w:val="32"/>
          <w:szCs w:val="21"/>
          <w:lang w:eastAsia="zh-CN"/>
        </w:rPr>
        <w:t>的</w:t>
      </w:r>
      <w:r>
        <w:rPr>
          <w:rFonts w:hint="default" w:ascii="Times New Roman" w:hAnsi="Times New Roman" w:eastAsia="仿宋_GB2312" w:cs="Times New Roman"/>
          <w:color w:val="auto"/>
          <w:kern w:val="0"/>
          <w:sz w:val="32"/>
          <w:szCs w:val="21"/>
        </w:rPr>
        <w:t>生产量或者进口量按照</w:t>
      </w:r>
      <w:r>
        <w:rPr>
          <w:rFonts w:hint="default" w:ascii="Times New Roman" w:hAnsi="Times New Roman" w:eastAsia="仿宋_GB2312" w:cs="Times New Roman"/>
          <w:color w:val="auto"/>
          <w:kern w:val="0"/>
          <w:sz w:val="32"/>
          <w:szCs w:val="21"/>
          <w:lang w:eastAsia="zh-CN"/>
        </w:rPr>
        <w:t>以下规定计算：</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（一）</w:t>
      </w:r>
      <w:r>
        <w:rPr>
          <w:rFonts w:hint="default" w:ascii="Times New Roman" w:hAnsi="Times New Roman" w:eastAsia="仿宋_GB2312" w:cs="Times New Roman"/>
          <w:color w:val="auto"/>
          <w:kern w:val="0"/>
          <w:sz w:val="32"/>
          <w:szCs w:val="21"/>
        </w:rPr>
        <w:t>2021</w:t>
      </w:r>
      <w:r>
        <w:rPr>
          <w:rFonts w:hint="default" w:ascii="Times New Roman" w:hAnsi="Times New Roman" w:eastAsia="仿宋_GB2312" w:cs="Times New Roman"/>
          <w:color w:val="auto"/>
          <w:kern w:val="0"/>
          <w:sz w:val="32"/>
          <w:szCs w:val="21"/>
          <w:lang w:eastAsia="zh-CN"/>
        </w:rPr>
        <w:t>年度、</w:t>
      </w:r>
      <w:r>
        <w:rPr>
          <w:rFonts w:hint="default" w:ascii="Times New Roman" w:hAnsi="Times New Roman" w:eastAsia="仿宋_GB2312" w:cs="Times New Roman"/>
          <w:color w:val="auto"/>
          <w:kern w:val="0"/>
          <w:sz w:val="32"/>
          <w:szCs w:val="21"/>
          <w:lang w:val="en-US" w:eastAsia="zh-CN"/>
        </w:rPr>
        <w:t>2022年度、</w:t>
      </w:r>
      <w:r>
        <w:rPr>
          <w:rFonts w:hint="default" w:ascii="Times New Roman" w:hAnsi="Times New Roman" w:eastAsia="仿宋_GB2312" w:cs="Times New Roman"/>
          <w:color w:val="auto"/>
          <w:kern w:val="0"/>
          <w:sz w:val="32"/>
          <w:szCs w:val="21"/>
        </w:rPr>
        <w:t>2023年度</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rPr>
        <w:t>低油耗乘用车的生产量或者进口量</w:t>
      </w:r>
      <w:r>
        <w:rPr>
          <w:rFonts w:hint="default" w:ascii="Times New Roman" w:hAnsi="Times New Roman" w:eastAsia="仿宋_GB2312" w:cs="Times New Roman"/>
          <w:color w:val="auto"/>
          <w:kern w:val="0"/>
          <w:sz w:val="32"/>
          <w:szCs w:val="21"/>
          <w:lang w:eastAsia="zh-CN"/>
        </w:rPr>
        <w:t>分别</w:t>
      </w:r>
      <w:r>
        <w:rPr>
          <w:rFonts w:hint="default" w:ascii="Times New Roman" w:hAnsi="Times New Roman" w:eastAsia="仿宋_GB2312" w:cs="Times New Roman"/>
          <w:color w:val="auto"/>
          <w:kern w:val="0"/>
          <w:sz w:val="32"/>
          <w:szCs w:val="21"/>
        </w:rPr>
        <w:t>按照其数量的0.5倍、0.3倍、0.2倍计算</w:t>
      </w:r>
      <w:r>
        <w:rPr>
          <w:rFonts w:hint="default" w:ascii="Times New Roman" w:hAnsi="Times New Roman" w:eastAsia="仿宋_GB2312" w:cs="Times New Roman"/>
          <w:color w:val="auto"/>
          <w:kern w:val="0"/>
          <w:sz w:val="32"/>
          <w:szCs w:val="21"/>
          <w:lang w:eastAsia="zh-CN"/>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（二）</w:t>
      </w:r>
      <w:r>
        <w:rPr>
          <w:rFonts w:hint="default" w:ascii="Times New Roman" w:hAnsi="Times New Roman" w:eastAsia="仿宋_GB2312" w:cs="Times New Roman"/>
          <w:color w:val="auto"/>
          <w:kern w:val="0"/>
          <w:sz w:val="32"/>
          <w:szCs w:val="21"/>
        </w:rPr>
        <w:t>2024年度及以后年度的</w:t>
      </w:r>
      <w:r>
        <w:rPr>
          <w:rFonts w:hint="default" w:ascii="Times New Roman" w:hAnsi="Times New Roman" w:eastAsia="仿宋_GB2312" w:cs="Times New Roman"/>
          <w:color w:val="auto"/>
          <w:kern w:val="0"/>
          <w:sz w:val="32"/>
          <w:szCs w:val="21"/>
          <w:lang w:val="en-US" w:eastAsia="zh-CN"/>
        </w:rPr>
        <w:t>低油耗乘用车</w:t>
      </w:r>
      <w:r>
        <w:rPr>
          <w:rFonts w:hint="default" w:ascii="Times New Roman" w:hAnsi="Times New Roman" w:eastAsia="仿宋_GB2312" w:cs="Times New Roman"/>
          <w:color w:val="auto"/>
          <w:kern w:val="0"/>
          <w:sz w:val="32"/>
          <w:szCs w:val="21"/>
        </w:rPr>
        <w:t>生产量或者进口量</w:t>
      </w:r>
      <w:r>
        <w:rPr>
          <w:rFonts w:hint="default" w:ascii="Times New Roman" w:hAnsi="Times New Roman" w:eastAsia="仿宋_GB2312" w:cs="Times New Roman"/>
          <w:color w:val="auto"/>
          <w:kern w:val="0"/>
          <w:sz w:val="32"/>
          <w:szCs w:val="21"/>
          <w:lang w:eastAsia="zh-CN"/>
        </w:rPr>
        <w:t>计算倍数</w:t>
      </w:r>
      <w:r>
        <w:rPr>
          <w:rFonts w:hint="default" w:ascii="Times New Roman" w:hAnsi="Times New Roman" w:eastAsia="仿宋_GB2312" w:cs="Times New Roman"/>
          <w:color w:val="auto"/>
          <w:kern w:val="0"/>
          <w:sz w:val="32"/>
          <w:szCs w:val="21"/>
        </w:rPr>
        <w:t>，由工业和信息化部另行公布。”</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四</w:t>
      </w:r>
      <w:r>
        <w:rPr>
          <w:rFonts w:hint="default" w:ascii="Times New Roman" w:hAnsi="Times New Roman" w:eastAsia="仿宋_GB2312" w:cs="Times New Roman"/>
          <w:color w:val="auto"/>
          <w:kern w:val="0"/>
          <w:sz w:val="32"/>
          <w:szCs w:val="21"/>
        </w:rPr>
        <w:t>、</w:t>
      </w:r>
      <w:r>
        <w:rPr>
          <w:rFonts w:hint="default" w:ascii="Times New Roman" w:hAnsi="Times New Roman" w:eastAsia="仿宋_GB2312" w:cs="Times New Roman"/>
          <w:color w:val="auto"/>
          <w:kern w:val="0"/>
          <w:sz w:val="32"/>
          <w:szCs w:val="21"/>
          <w:lang w:eastAsia="zh-CN"/>
        </w:rPr>
        <w:t>将</w:t>
      </w:r>
      <w:r>
        <w:rPr>
          <w:rFonts w:hint="default" w:ascii="Times New Roman" w:hAnsi="Times New Roman" w:eastAsia="仿宋_GB2312" w:cs="Times New Roman"/>
          <w:color w:val="auto"/>
          <w:kern w:val="0"/>
          <w:sz w:val="32"/>
          <w:szCs w:val="21"/>
        </w:rPr>
        <w:t>第十七条第二款修改为：</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lang w:val="en-US" w:eastAsia="zh-CN"/>
        </w:rPr>
        <w:t>2019年度、2020年度、2021年度、2022年度、2023年度的</w:t>
      </w:r>
      <w:r>
        <w:rPr>
          <w:rFonts w:hint="default" w:ascii="Times New Roman" w:hAnsi="Times New Roman" w:eastAsia="仿宋_GB2312" w:cs="Times New Roman"/>
          <w:color w:val="auto"/>
          <w:kern w:val="0"/>
          <w:sz w:val="32"/>
          <w:szCs w:val="21"/>
        </w:rPr>
        <w:t>新能源汽车积分比例要求分别为1</w:t>
      </w:r>
      <w:r>
        <w:rPr>
          <w:rFonts w:hint="default" w:ascii="Times New Roman" w:hAnsi="Times New Roman" w:eastAsia="仿宋_GB2312" w:cs="Times New Roman"/>
          <w:color w:val="auto"/>
          <w:kern w:val="0"/>
          <w:sz w:val="32"/>
          <w:szCs w:val="21"/>
          <w:lang w:val="en-US" w:eastAsia="zh-CN"/>
        </w:rPr>
        <w:t>0</w:t>
      </w:r>
      <w:r>
        <w:rPr>
          <w:rFonts w:hint="default" w:ascii="Times New Roman" w:hAnsi="Times New Roman" w:eastAsia="仿宋_GB2312" w:cs="Times New Roman"/>
          <w:color w:val="auto"/>
          <w:kern w:val="0"/>
          <w:sz w:val="32"/>
          <w:szCs w:val="21"/>
        </w:rPr>
        <w:t>%、1</w:t>
      </w:r>
      <w:r>
        <w:rPr>
          <w:rFonts w:hint="default" w:ascii="Times New Roman" w:hAnsi="Times New Roman" w:eastAsia="仿宋_GB2312" w:cs="Times New Roman"/>
          <w:color w:val="auto"/>
          <w:kern w:val="0"/>
          <w:sz w:val="32"/>
          <w:szCs w:val="21"/>
          <w:lang w:val="en-US" w:eastAsia="zh-CN"/>
        </w:rPr>
        <w:t>2</w:t>
      </w:r>
      <w:r>
        <w:rPr>
          <w:rFonts w:hint="default" w:ascii="Times New Roman" w:hAnsi="Times New Roman" w:eastAsia="仿宋_GB2312" w:cs="Times New Roman"/>
          <w:color w:val="auto"/>
          <w:kern w:val="0"/>
          <w:sz w:val="32"/>
          <w:szCs w:val="21"/>
        </w:rPr>
        <w:t>%</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rPr>
        <w:t>14%、16%、18%。2024年度及以后年度的新能源汽车积分比例要求，由工业和信息化部另行公布。”</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五</w:t>
      </w:r>
      <w:r>
        <w:rPr>
          <w:rFonts w:hint="default" w:ascii="Times New Roman" w:hAnsi="Times New Roman" w:eastAsia="仿宋_GB2312" w:cs="Times New Roman"/>
          <w:color w:val="auto"/>
          <w:kern w:val="0"/>
          <w:sz w:val="32"/>
          <w:szCs w:val="21"/>
        </w:rPr>
        <w:t>、</w:t>
      </w:r>
      <w:r>
        <w:rPr>
          <w:rFonts w:hint="default" w:ascii="Times New Roman" w:hAnsi="Times New Roman" w:eastAsia="仿宋_GB2312" w:cs="Times New Roman"/>
          <w:color w:val="auto"/>
          <w:kern w:val="0"/>
          <w:sz w:val="32"/>
          <w:szCs w:val="21"/>
          <w:lang w:eastAsia="zh-CN"/>
        </w:rPr>
        <w:t>将</w:t>
      </w:r>
      <w:r>
        <w:rPr>
          <w:rFonts w:hint="default" w:ascii="Times New Roman" w:hAnsi="Times New Roman" w:eastAsia="仿宋_GB2312" w:cs="Times New Roman"/>
          <w:color w:val="auto"/>
          <w:kern w:val="0"/>
          <w:sz w:val="32"/>
          <w:szCs w:val="21"/>
        </w:rPr>
        <w:t>第二十二条第二款修改为：“乘用车企业新能源汽车正积分可以依据本办法自由交易</w:t>
      </w:r>
      <w:r>
        <w:rPr>
          <w:rFonts w:hint="default" w:ascii="Times New Roman" w:hAnsi="Times New Roman" w:eastAsia="仿宋_GB2312" w:cs="Times New Roman"/>
          <w:color w:val="auto"/>
          <w:kern w:val="0"/>
          <w:sz w:val="32"/>
          <w:szCs w:val="21"/>
          <w:lang w:eastAsia="zh-CN"/>
        </w:rPr>
        <w:t>，并</w:t>
      </w:r>
      <w:r>
        <w:rPr>
          <w:rFonts w:hint="default" w:ascii="Times New Roman" w:hAnsi="Times New Roman" w:eastAsia="仿宋_GB2312" w:cs="Times New Roman"/>
          <w:color w:val="auto"/>
          <w:kern w:val="0"/>
          <w:sz w:val="32"/>
          <w:szCs w:val="21"/>
        </w:rPr>
        <w:t>按照下列规</w:t>
      </w:r>
      <w:r>
        <w:rPr>
          <w:rFonts w:hint="default" w:ascii="Times New Roman" w:hAnsi="Times New Roman" w:eastAsia="仿宋_GB2312" w:cs="Times New Roman"/>
          <w:color w:val="auto"/>
          <w:kern w:val="0"/>
          <w:sz w:val="32"/>
          <w:szCs w:val="21"/>
          <w:lang w:eastAsia="zh-CN"/>
        </w:rPr>
        <w:t>定</w:t>
      </w:r>
      <w:r>
        <w:rPr>
          <w:rFonts w:hint="default" w:ascii="Times New Roman" w:hAnsi="Times New Roman" w:eastAsia="仿宋_GB2312" w:cs="Times New Roman"/>
          <w:color w:val="auto"/>
          <w:kern w:val="0"/>
          <w:sz w:val="32"/>
          <w:szCs w:val="21"/>
        </w:rPr>
        <w:t>结转，结转有效期不超过三年：</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（一）2019年度的新能源汽车正积分可以等额结转</w:t>
      </w:r>
      <w:r>
        <w:rPr>
          <w:rFonts w:hint="default" w:ascii="Times New Roman" w:hAnsi="Times New Roman" w:eastAsia="仿宋_GB2312" w:cs="Times New Roman"/>
          <w:color w:val="auto"/>
          <w:kern w:val="0"/>
          <w:sz w:val="32"/>
          <w:szCs w:val="21"/>
          <w:lang w:eastAsia="zh-CN"/>
        </w:rPr>
        <w:t>一年</w:t>
      </w:r>
      <w:r>
        <w:rPr>
          <w:rFonts w:hint="default" w:ascii="Times New Roman" w:hAnsi="Times New Roman" w:eastAsia="仿宋_GB2312" w:cs="Times New Roman"/>
          <w:color w:val="auto"/>
          <w:kern w:val="0"/>
          <w:sz w:val="32"/>
          <w:szCs w:val="21"/>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（二）2020年度</w:t>
      </w:r>
      <w:r>
        <w:rPr>
          <w:rFonts w:hint="default" w:ascii="Times New Roman" w:hAnsi="Times New Roman" w:eastAsia="仿宋_GB2312" w:cs="Times New Roman"/>
          <w:color w:val="auto"/>
          <w:kern w:val="0"/>
          <w:sz w:val="32"/>
          <w:szCs w:val="21"/>
          <w:lang w:eastAsia="zh-CN"/>
        </w:rPr>
        <w:t>的</w:t>
      </w:r>
      <w:r>
        <w:rPr>
          <w:rFonts w:hint="default" w:ascii="Times New Roman" w:hAnsi="Times New Roman" w:eastAsia="仿宋_GB2312" w:cs="Times New Roman"/>
          <w:color w:val="auto"/>
          <w:kern w:val="0"/>
          <w:sz w:val="32"/>
          <w:szCs w:val="21"/>
        </w:rPr>
        <w:t>新能源汽车正积分，每结转一次</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rPr>
        <w:t>结转比例为50%</w:t>
      </w:r>
      <w:r>
        <w:rPr>
          <w:rFonts w:hint="default" w:ascii="Times New Roman" w:hAnsi="Times New Roman" w:eastAsia="仿宋_GB2312" w:cs="Times New Roman"/>
          <w:color w:val="auto"/>
          <w:kern w:val="0"/>
          <w:sz w:val="32"/>
          <w:szCs w:val="21"/>
          <w:lang w:eastAsia="zh-CN"/>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（三）2021年度及以后年度</w:t>
      </w:r>
      <w:r>
        <w:rPr>
          <w:rFonts w:hint="default" w:ascii="Times New Roman" w:hAnsi="Times New Roman" w:eastAsia="仿宋_GB2312" w:cs="Times New Roman"/>
          <w:color w:val="auto"/>
          <w:kern w:val="0"/>
          <w:sz w:val="32"/>
          <w:szCs w:val="21"/>
          <w:lang w:eastAsia="zh-CN"/>
        </w:rPr>
        <w:t>乘用车</w:t>
      </w:r>
      <w:r>
        <w:rPr>
          <w:rFonts w:hint="default" w:ascii="Times New Roman" w:hAnsi="Times New Roman" w:eastAsia="仿宋_GB2312" w:cs="Times New Roman"/>
          <w:color w:val="auto"/>
          <w:kern w:val="0"/>
          <w:sz w:val="32"/>
          <w:szCs w:val="21"/>
        </w:rPr>
        <w:t>企业平均燃料消耗量实际值</w:t>
      </w:r>
      <w:r>
        <w:rPr>
          <w:rFonts w:hint="default" w:ascii="Times New Roman" w:hAnsi="Times New Roman" w:eastAsia="仿宋_GB2312" w:cs="Times New Roman"/>
          <w:color w:val="auto"/>
          <w:kern w:val="0"/>
          <w:sz w:val="32"/>
          <w:szCs w:val="21"/>
          <w:lang w:eastAsia="zh-CN"/>
        </w:rPr>
        <w:t>（仅核算传统能源乘用车）</w:t>
      </w:r>
      <w:r>
        <w:rPr>
          <w:rFonts w:hint="default" w:ascii="Times New Roman" w:hAnsi="Times New Roman" w:eastAsia="仿宋_GB2312" w:cs="Times New Roman"/>
          <w:color w:val="auto"/>
          <w:kern w:val="0"/>
          <w:sz w:val="32"/>
          <w:szCs w:val="21"/>
        </w:rPr>
        <w:t>与达标值的比值不高于123%的，允许其当年度产生的新能源汽车正积分结转，每结转一次</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rPr>
        <w:t>结转比例为50%。只生产或者进口新能源汽车的</w:t>
      </w:r>
      <w:r>
        <w:rPr>
          <w:rFonts w:hint="default" w:ascii="Times New Roman" w:hAnsi="Times New Roman" w:eastAsia="仿宋_GB2312" w:cs="Times New Roman"/>
          <w:color w:val="auto"/>
          <w:kern w:val="0"/>
          <w:sz w:val="32"/>
          <w:szCs w:val="21"/>
          <w:lang w:eastAsia="zh-CN"/>
        </w:rPr>
        <w:t>乘用车</w:t>
      </w:r>
      <w:r>
        <w:rPr>
          <w:rFonts w:hint="default" w:ascii="Times New Roman" w:hAnsi="Times New Roman" w:eastAsia="仿宋_GB2312" w:cs="Times New Roman"/>
          <w:color w:val="auto"/>
          <w:kern w:val="0"/>
          <w:sz w:val="32"/>
          <w:szCs w:val="21"/>
        </w:rPr>
        <w:t>企业产生的新能源汽车正积分按照50%的比例结转。”</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增加一款作为第</w:t>
      </w:r>
      <w:r>
        <w:rPr>
          <w:rFonts w:hint="eastAsia" w:ascii="Times New Roman" w:hAnsi="Times New Roman" w:eastAsia="仿宋_GB2312" w:cs="Times New Roman"/>
          <w:color w:val="auto"/>
          <w:kern w:val="0"/>
          <w:sz w:val="32"/>
          <w:szCs w:val="21"/>
          <w:lang w:eastAsia="zh-CN"/>
        </w:rPr>
        <w:t>二十二</w:t>
      </w:r>
      <w:r>
        <w:rPr>
          <w:rFonts w:hint="default" w:ascii="Times New Roman" w:hAnsi="Times New Roman" w:eastAsia="仿宋_GB2312" w:cs="Times New Roman"/>
          <w:color w:val="auto"/>
          <w:kern w:val="0"/>
          <w:sz w:val="32"/>
          <w:szCs w:val="21"/>
          <w:lang w:eastAsia="zh-CN"/>
        </w:rPr>
        <w:t>条第四款：“工业和信息化部可以根据汽车行业发展情况决定延长抵偿期限和调整</w:t>
      </w:r>
      <w:r>
        <w:rPr>
          <w:rFonts w:hint="default" w:ascii="Times New Roman" w:hAnsi="Times New Roman" w:eastAsia="仿宋_GB2312" w:cs="Times New Roman"/>
          <w:color w:val="auto"/>
          <w:kern w:val="0"/>
          <w:sz w:val="32"/>
          <w:szCs w:val="21"/>
          <w:lang w:val="en-US" w:eastAsia="zh-CN"/>
        </w:rPr>
        <w:t>2020年度新能源汽车正积分结转比例</w:t>
      </w:r>
      <w:r>
        <w:rPr>
          <w:rFonts w:hint="default" w:ascii="Times New Roman" w:hAnsi="Times New Roman" w:eastAsia="仿宋_GB2312" w:cs="Times New Roman"/>
          <w:color w:val="auto"/>
          <w:kern w:val="0"/>
          <w:sz w:val="32"/>
          <w:szCs w:val="21"/>
          <w:lang w:eastAsia="zh-CN"/>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六</w:t>
      </w:r>
      <w:r>
        <w:rPr>
          <w:rFonts w:hint="default" w:ascii="Times New Roman" w:hAnsi="Times New Roman" w:eastAsia="仿宋_GB2312" w:cs="Times New Roman"/>
          <w:color w:val="auto"/>
          <w:kern w:val="0"/>
          <w:sz w:val="32"/>
          <w:szCs w:val="21"/>
        </w:rPr>
        <w:t>、</w:t>
      </w:r>
      <w:r>
        <w:rPr>
          <w:rFonts w:hint="default" w:ascii="Times New Roman" w:hAnsi="Times New Roman" w:eastAsia="仿宋_GB2312" w:cs="Times New Roman"/>
          <w:color w:val="auto"/>
          <w:kern w:val="0"/>
          <w:sz w:val="32"/>
          <w:szCs w:val="21"/>
          <w:lang w:eastAsia="zh-CN"/>
        </w:rPr>
        <w:t>将</w:t>
      </w:r>
      <w:r>
        <w:rPr>
          <w:rFonts w:hint="default" w:ascii="Times New Roman" w:hAnsi="Times New Roman" w:eastAsia="仿宋_GB2312" w:cs="Times New Roman"/>
          <w:color w:val="auto"/>
          <w:kern w:val="0"/>
          <w:sz w:val="32"/>
          <w:szCs w:val="21"/>
        </w:rPr>
        <w:t>第二十三条修改为：“具有下列关系之一的乘用车企业，属于本办法第二十二条第一款规定的关联企业：</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（一）境内乘用车生产企业与其直接或者间接持股总和达到25%以上的其他境内乘用车生产企业；</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（二）同为第三方直接或者间接持股总和达到25%以上的境内乘用车生产企业；</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（三）获境外乘用车生产企业授权的进口乘用车供应企业，与该境外乘用车生产企业直接或者间接持股总和达到25%以上的境内乘用车生产企业</w:t>
      </w:r>
      <w:r>
        <w:rPr>
          <w:rFonts w:hint="default" w:ascii="Times New Roman" w:hAnsi="Times New Roman" w:eastAsia="仿宋_GB2312" w:cs="Times New Roman"/>
          <w:color w:val="auto"/>
          <w:kern w:val="0"/>
          <w:sz w:val="32"/>
          <w:szCs w:val="21"/>
          <w:lang w:eastAsia="zh-CN"/>
        </w:rPr>
        <w:t>，以及</w:t>
      </w:r>
      <w:r>
        <w:rPr>
          <w:rFonts w:hint="default" w:ascii="Times New Roman" w:hAnsi="Times New Roman" w:eastAsia="仿宋_GB2312" w:cs="Times New Roman"/>
          <w:color w:val="auto"/>
          <w:kern w:val="0"/>
          <w:sz w:val="32"/>
          <w:szCs w:val="21"/>
        </w:rPr>
        <w:t>直接或者间接</w:t>
      </w:r>
      <w:r>
        <w:rPr>
          <w:rFonts w:hint="default" w:ascii="Times New Roman" w:hAnsi="Times New Roman" w:eastAsia="仿宋_GB2312" w:cs="Times New Roman"/>
          <w:color w:val="auto"/>
          <w:kern w:val="0"/>
          <w:sz w:val="32"/>
          <w:szCs w:val="21"/>
          <w:lang w:eastAsia="zh-CN"/>
        </w:rPr>
        <w:t>对</w:t>
      </w:r>
      <w:r>
        <w:rPr>
          <w:rFonts w:hint="default" w:ascii="Times New Roman" w:hAnsi="Times New Roman" w:eastAsia="仿宋_GB2312" w:cs="Times New Roman"/>
          <w:color w:val="auto"/>
          <w:kern w:val="0"/>
          <w:sz w:val="32"/>
          <w:szCs w:val="21"/>
        </w:rPr>
        <w:t>该境外乘用车生产企业持股总和达到25%以上的境内乘用车生产企业。”</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七、将第二十七条修改为：“乘用车企业的新能源汽车负积分，应当通过新能源汽车正积分抵偿归零。”</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八、增加一款作为第二十八条第二款：“工业和信息化部可以根据汽车行业发展情况，决定乘用车企业使用</w:t>
      </w:r>
      <w:r>
        <w:rPr>
          <w:rFonts w:hint="default" w:ascii="Times New Roman" w:hAnsi="Times New Roman" w:eastAsia="仿宋_GB2312" w:cs="Times New Roman"/>
          <w:color w:val="auto"/>
          <w:kern w:val="0"/>
          <w:sz w:val="32"/>
          <w:szCs w:val="21"/>
          <w:lang w:val="en-US" w:eastAsia="zh-CN"/>
        </w:rPr>
        <w:t>2021年度产生的新能源汽车正积分对2020年度产生的新能源汽车负积分进行抵偿。</w:t>
      </w:r>
      <w:r>
        <w:rPr>
          <w:rFonts w:hint="default" w:ascii="Times New Roman" w:hAnsi="Times New Roman" w:eastAsia="仿宋_GB2312" w:cs="Times New Roman"/>
          <w:color w:val="auto"/>
          <w:kern w:val="0"/>
          <w:sz w:val="32"/>
          <w:szCs w:val="21"/>
          <w:lang w:eastAsia="zh-CN"/>
        </w:rPr>
        <w:t>”</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九</w:t>
      </w:r>
      <w:r>
        <w:rPr>
          <w:rFonts w:hint="default" w:ascii="Times New Roman" w:hAnsi="Times New Roman" w:eastAsia="仿宋_GB2312" w:cs="Times New Roman"/>
          <w:color w:val="auto"/>
          <w:kern w:val="0"/>
          <w:sz w:val="32"/>
          <w:szCs w:val="21"/>
        </w:rPr>
        <w:t>、</w:t>
      </w:r>
      <w:r>
        <w:rPr>
          <w:rFonts w:hint="default" w:ascii="Times New Roman" w:hAnsi="Times New Roman" w:eastAsia="仿宋_GB2312" w:cs="Times New Roman"/>
          <w:color w:val="auto"/>
          <w:kern w:val="0"/>
          <w:sz w:val="32"/>
          <w:szCs w:val="21"/>
          <w:lang w:eastAsia="zh-CN"/>
        </w:rPr>
        <w:t>将</w:t>
      </w:r>
      <w:r>
        <w:rPr>
          <w:rFonts w:hint="default" w:ascii="Times New Roman" w:hAnsi="Times New Roman" w:eastAsia="仿宋_GB2312" w:cs="Times New Roman"/>
          <w:color w:val="auto"/>
          <w:kern w:val="0"/>
          <w:sz w:val="32"/>
          <w:szCs w:val="21"/>
        </w:rPr>
        <w:t>第三条、第二十一条、第三十一条、第三十二条中的“质检总局”修改为“市场监管总局”。</w:t>
      </w:r>
    </w:p>
    <w:p>
      <w:pPr>
        <w:widowControl/>
        <w:shd w:val="clear" w:color="auto" w:fill="FFFFFF"/>
        <w:spacing w:line="600" w:lineRule="exact"/>
        <w:ind w:firstLine="640" w:firstLineChars="200"/>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十、将第三十二条第五款修改为：“市场监管总局负责对获得强制性产品认证的进口新能源乘用车参数、进口乘用车燃料消耗量等进行核查。”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lang w:eastAsia="zh-CN"/>
        </w:rPr>
        <w:t>十一</w:t>
      </w:r>
      <w:r>
        <w:rPr>
          <w:rFonts w:hint="default" w:ascii="Times New Roman" w:hAnsi="Times New Roman" w:eastAsia="仿宋_GB2312" w:cs="Times New Roman"/>
          <w:color w:val="auto"/>
          <w:kern w:val="0"/>
          <w:sz w:val="32"/>
          <w:szCs w:val="21"/>
        </w:rPr>
        <w:t>、将附件2《新能源乘用车车型积分计算方法》修改为：</w:t>
      </w:r>
    </w:p>
    <w:p>
      <w:pPr>
        <w:shd w:val="clear" w:color="auto" w:fill="FFFFFF"/>
        <w:spacing w:line="600" w:lineRule="exact"/>
        <w:jc w:val="center"/>
        <w:rPr>
          <w:rFonts w:hint="default"/>
        </w:rPr>
      </w:pPr>
      <w:r>
        <w:rPr>
          <w:rFonts w:hint="default" w:ascii="Times New Roman" w:hAnsi="Times New Roman" w:eastAsia="仿宋_GB2312" w:cs="Times New Roman"/>
          <w:b w:val="0"/>
          <w:bCs w:val="0"/>
          <w:color w:val="000000"/>
          <w:kern w:val="0"/>
          <w:sz w:val="32"/>
          <w:szCs w:val="32"/>
        </w:rPr>
        <w:t>新能源乘用车车型积分计算方法</w:t>
      </w:r>
    </w:p>
    <w:tbl>
      <w:tblPr>
        <w:tblStyle w:val="9"/>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9"/>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94" w:type="dxa"/>
            <w:vAlign w:val="center"/>
          </w:tcPr>
          <w:p>
            <w:pPr>
              <w:keepNext w:val="0"/>
              <w:keepLines w:val="0"/>
              <w:pageBreakBefore w:val="0"/>
              <w:kinsoku/>
              <w:wordWrap/>
              <w:overflowPunct/>
              <w:topLinePunct w:val="0"/>
              <w:autoSpaceDE/>
              <w:autoSpaceDN/>
              <w:bidi w:val="0"/>
              <w:adjustRightInd/>
              <w:spacing w:line="440" w:lineRule="exact"/>
              <w:jc w:val="both"/>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车辆类型</w:t>
            </w:r>
          </w:p>
        </w:tc>
        <w:tc>
          <w:tcPr>
            <w:tcW w:w="2209" w:type="dxa"/>
            <w:vAlign w:val="center"/>
          </w:tcPr>
          <w:p>
            <w:pPr>
              <w:keepNext w:val="0"/>
              <w:keepLines w:val="0"/>
              <w:pageBreakBefore w:val="0"/>
              <w:kinsoku/>
              <w:wordWrap/>
              <w:overflowPunct/>
              <w:topLinePunct w:val="0"/>
              <w:autoSpaceDE/>
              <w:autoSpaceDN/>
              <w:bidi w:val="0"/>
              <w:adjustRightInd/>
              <w:spacing w:line="440" w:lineRule="exact"/>
              <w:jc w:val="center"/>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标准车型积分</w:t>
            </w:r>
          </w:p>
        </w:tc>
        <w:tc>
          <w:tcPr>
            <w:tcW w:w="4887" w:type="dxa"/>
            <w:vAlign w:val="center"/>
          </w:tcPr>
          <w:p>
            <w:pPr>
              <w:keepNext w:val="0"/>
              <w:keepLines w:val="0"/>
              <w:pageBreakBefore w:val="0"/>
              <w:kinsoku/>
              <w:wordWrap/>
              <w:overflowPunct/>
              <w:topLinePunct w:val="0"/>
              <w:autoSpaceDE/>
              <w:autoSpaceDN/>
              <w:bidi w:val="0"/>
              <w:adjustRightInd/>
              <w:spacing w:line="440" w:lineRule="exact"/>
              <w:jc w:val="center"/>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1794" w:type="dxa"/>
            <w:vAlign w:val="center"/>
          </w:tcPr>
          <w:p>
            <w:pPr>
              <w:keepNext w:val="0"/>
              <w:keepLines w:val="0"/>
              <w:pageBreakBefore w:val="0"/>
              <w:kinsoku/>
              <w:wordWrap/>
              <w:overflowPunct/>
              <w:topLinePunct w:val="0"/>
              <w:autoSpaceDE/>
              <w:autoSpaceDN/>
              <w:bidi w:val="0"/>
              <w:adjustRightInd/>
              <w:spacing w:line="440" w:lineRule="exac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纯电动乘用车</w:t>
            </w:r>
          </w:p>
        </w:tc>
        <w:tc>
          <w:tcPr>
            <w:tcW w:w="2209" w:type="dxa"/>
            <w:vAlign w:val="center"/>
          </w:tcPr>
          <w:p>
            <w:pPr>
              <w:keepNext w:val="0"/>
              <w:keepLines w:val="0"/>
              <w:pageBreakBefore w:val="0"/>
              <w:kinsoku/>
              <w:wordWrap/>
              <w:overflowPunct/>
              <w:topLinePunct w:val="0"/>
              <w:autoSpaceDE/>
              <w:autoSpaceDN/>
              <w:bidi w:val="0"/>
              <w:adjustRightInd/>
              <w:spacing w:line="440" w:lineRule="exac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sz w:val="32"/>
                <w:szCs w:val="40"/>
              </w:rPr>
              <w:t>0.0056×R+0.4</w:t>
            </w:r>
          </w:p>
        </w:tc>
        <w:tc>
          <w:tcPr>
            <w:tcW w:w="4887" w:type="dxa"/>
            <w:vMerge w:val="restart"/>
            <w:vAlign w:val="center"/>
          </w:tcPr>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（1）R为电动汽车续驶里程（工况法），单位为km。</w:t>
            </w:r>
          </w:p>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（2）P为燃料电池系统额定功率，单位为kW。</w:t>
            </w:r>
          </w:p>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（3）当R小于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b w:val="0"/>
                <w:bCs w:val="0"/>
                <w:color w:val="auto"/>
                <w:kern w:val="0"/>
                <w:sz w:val="32"/>
                <w:szCs w:val="32"/>
              </w:rPr>
              <w:t>标准车型积分</w:t>
            </w:r>
            <w:r>
              <w:rPr>
                <w:rFonts w:hint="default" w:ascii="Times New Roman" w:hAnsi="Times New Roman" w:eastAsia="仿宋_GB2312" w:cs="Times New Roman"/>
                <w:b w:val="0"/>
                <w:bCs w:val="0"/>
                <w:color w:val="auto"/>
                <w:kern w:val="0"/>
                <w:sz w:val="32"/>
                <w:szCs w:val="32"/>
                <w:lang w:eastAsia="zh-CN"/>
              </w:rPr>
              <w:t>为</w:t>
            </w:r>
            <w:r>
              <w:rPr>
                <w:rFonts w:hint="default" w:ascii="Times New Roman" w:hAnsi="Times New Roman" w:eastAsia="仿宋_GB2312" w:cs="Times New Roman"/>
                <w:b w:val="0"/>
                <w:bCs w:val="0"/>
                <w:color w:val="auto"/>
                <w:kern w:val="0"/>
                <w:sz w:val="32"/>
                <w:szCs w:val="32"/>
                <w:lang w:val="en-US" w:eastAsia="zh-CN"/>
              </w:rPr>
              <w:t>0分；</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R</w:t>
            </w:r>
            <w:r>
              <w:rPr>
                <w:rFonts w:hint="default" w:ascii="Times New Roman" w:hAnsi="Times New Roman" w:eastAsia="仿宋_GB2312" w:cs="Times New Roman"/>
                <w:b w:val="0"/>
                <w:bCs w:val="0"/>
                <w:color w:val="auto"/>
                <w:kern w:val="0"/>
                <w:sz w:val="32"/>
                <w:szCs w:val="32"/>
              </w:rPr>
              <w:t>&lt;</w:t>
            </w:r>
            <w:r>
              <w:rPr>
                <w:rFonts w:hint="default" w:ascii="Times New Roman" w:hAnsi="Times New Roman" w:eastAsia="仿宋_GB2312" w:cs="Times New Roman"/>
                <w:b w:val="0"/>
                <w:bCs w:val="0"/>
                <w:color w:val="auto"/>
                <w:kern w:val="0"/>
                <w:sz w:val="32"/>
                <w:szCs w:val="32"/>
                <w:lang w:val="en-US" w:eastAsia="zh-CN"/>
              </w:rPr>
              <w:t>150时，</w:t>
            </w:r>
            <w:r>
              <w:rPr>
                <w:rFonts w:hint="default" w:ascii="Times New Roman" w:hAnsi="Times New Roman" w:eastAsia="仿宋_GB2312" w:cs="Times New Roman"/>
                <w:b w:val="0"/>
                <w:bCs w:val="0"/>
                <w:color w:val="auto"/>
                <w:kern w:val="0"/>
                <w:sz w:val="32"/>
                <w:szCs w:val="32"/>
              </w:rPr>
              <w:t>标准车型积分</w:t>
            </w:r>
            <w:r>
              <w:rPr>
                <w:rFonts w:hint="default" w:ascii="Times New Roman" w:hAnsi="Times New Roman" w:eastAsia="仿宋_GB2312" w:cs="Times New Roman"/>
                <w:b w:val="0"/>
                <w:bCs w:val="0"/>
                <w:color w:val="auto"/>
                <w:kern w:val="0"/>
                <w:sz w:val="32"/>
                <w:szCs w:val="32"/>
                <w:lang w:val="en-US" w:eastAsia="zh-CN"/>
              </w:rPr>
              <w:t>为1</w:t>
            </w:r>
            <w:r>
              <w:rPr>
                <w:rFonts w:hint="default" w:ascii="Times New Roman" w:hAnsi="Times New Roman" w:eastAsia="仿宋_GB2312" w:cs="Times New Roman"/>
                <w:sz w:val="32"/>
                <w:szCs w:val="32"/>
                <w:lang w:val="en-US" w:eastAsia="zh-CN"/>
              </w:rPr>
              <w:t>分。</w:t>
            </w:r>
          </w:p>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）纯电动乘用车标准车型积分上限为3.4分，燃料电池乘用车标准车型积分上限为6分。</w:t>
            </w:r>
          </w:p>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）车型积分计算结果按四舍五入原则保留两位小数。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794" w:type="dxa"/>
            <w:vAlign w:val="center"/>
          </w:tcPr>
          <w:p>
            <w:pPr>
              <w:keepNext w:val="0"/>
              <w:keepLines w:val="0"/>
              <w:pageBreakBefore w:val="0"/>
              <w:kinsoku/>
              <w:wordWrap/>
              <w:overflowPunct/>
              <w:topLinePunct w:val="0"/>
              <w:autoSpaceDE/>
              <w:autoSpaceDN/>
              <w:bidi w:val="0"/>
              <w:adjustRightInd/>
              <w:spacing w:line="440" w:lineRule="exac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插电式混合动力乘用车</w:t>
            </w:r>
          </w:p>
        </w:tc>
        <w:tc>
          <w:tcPr>
            <w:tcW w:w="2209" w:type="dxa"/>
            <w:vAlign w:val="center"/>
          </w:tcPr>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1.6</w:t>
            </w:r>
          </w:p>
        </w:tc>
        <w:tc>
          <w:tcPr>
            <w:tcW w:w="4887" w:type="dxa"/>
            <w:vMerge w:val="continue"/>
            <w:vAlign w:val="center"/>
          </w:tcPr>
          <w:p>
            <w:pPr>
              <w:keepNext w:val="0"/>
              <w:keepLines w:val="0"/>
              <w:pageBreakBefore w:val="0"/>
              <w:kinsoku/>
              <w:wordWrap/>
              <w:overflowPunct/>
              <w:topLinePunct w:val="0"/>
              <w:autoSpaceDE/>
              <w:autoSpaceDN/>
              <w:bidi w:val="0"/>
              <w:adjustRightInd/>
              <w:spacing w:line="440" w:lineRule="exact"/>
              <w:textAlignment w:val="auto"/>
              <w:outlineLvl w:val="9"/>
              <w:rPr>
                <w:rFonts w:hint="default" w:ascii="Times New Roman" w:hAnsi="Times New Roman" w:eastAsia="仿宋_GB2312" w:cs="Times New Roman"/>
                <w:b w:val="0"/>
                <w:bCs w:val="0"/>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794" w:type="dxa"/>
            <w:vAlign w:val="center"/>
          </w:tcPr>
          <w:p>
            <w:pPr>
              <w:keepNext w:val="0"/>
              <w:keepLines w:val="0"/>
              <w:pageBreakBefore w:val="0"/>
              <w:kinsoku/>
              <w:wordWrap/>
              <w:overflowPunct/>
              <w:topLinePunct w:val="0"/>
              <w:autoSpaceDE/>
              <w:autoSpaceDN/>
              <w:bidi w:val="0"/>
              <w:adjustRightInd/>
              <w:spacing w:line="440" w:lineRule="exac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燃料电池乘用车</w:t>
            </w:r>
          </w:p>
        </w:tc>
        <w:tc>
          <w:tcPr>
            <w:tcW w:w="2209" w:type="dxa"/>
            <w:vAlign w:val="center"/>
          </w:tcPr>
          <w:p>
            <w:pPr>
              <w:keepNext w:val="0"/>
              <w:keepLines w:val="0"/>
              <w:pageBreakBefore w:val="0"/>
              <w:kinsoku/>
              <w:wordWrap/>
              <w:overflowPunct/>
              <w:topLinePunct w:val="0"/>
              <w:autoSpaceDE/>
              <w:autoSpaceDN/>
              <w:bidi w:val="0"/>
              <w:adjustRightInd/>
              <w:spacing w:line="440" w:lineRule="exact"/>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0.08×P</w:t>
            </w:r>
          </w:p>
        </w:tc>
        <w:tc>
          <w:tcPr>
            <w:tcW w:w="4887" w:type="dxa"/>
            <w:vMerge w:val="continue"/>
            <w:vAlign w:val="center"/>
          </w:tcPr>
          <w:p>
            <w:pPr>
              <w:keepNext w:val="0"/>
              <w:keepLines w:val="0"/>
              <w:pageBreakBefore w:val="0"/>
              <w:kinsoku/>
              <w:wordWrap/>
              <w:overflowPunct/>
              <w:topLinePunct w:val="0"/>
              <w:autoSpaceDE/>
              <w:autoSpaceDN/>
              <w:bidi w:val="0"/>
              <w:adjustRightInd/>
              <w:spacing w:line="440" w:lineRule="exact"/>
              <w:textAlignment w:val="auto"/>
              <w:outlineLvl w:val="9"/>
              <w:rPr>
                <w:rFonts w:hint="default" w:ascii="Times New Roman" w:hAnsi="Times New Roman" w:eastAsia="仿宋_GB2312" w:cs="Times New Roman"/>
                <w:b w:val="0"/>
                <w:bCs w:val="0"/>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gridSpan w:val="3"/>
            <w:vAlign w:val="center"/>
          </w:tcPr>
          <w:p>
            <w:pPr>
              <w:keepNext w:val="0"/>
              <w:keepLines w:val="0"/>
              <w:pageBreakBefore w:val="0"/>
              <w:kinsoku/>
              <w:wordWrap/>
              <w:overflowPunct/>
              <w:topLinePunct w:val="0"/>
              <w:autoSpaceDE/>
              <w:autoSpaceDN/>
              <w:bidi w:val="0"/>
              <w:adjustRightInd/>
              <w:spacing w:line="440" w:lineRule="exact"/>
              <w:ind w:firstLine="643" w:firstLineChars="200"/>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rPr>
              <w:t xml:space="preserve">1. </w:t>
            </w:r>
            <w:r>
              <w:rPr>
                <w:rFonts w:hint="default" w:ascii="Times New Roman" w:hAnsi="Times New Roman" w:eastAsia="仿宋_GB2312" w:cs="Times New Roman"/>
                <w:b/>
                <w:bCs/>
                <w:color w:val="auto"/>
                <w:kern w:val="0"/>
                <w:sz w:val="32"/>
                <w:szCs w:val="32"/>
                <w:lang w:val="en-US" w:eastAsia="zh-CN"/>
              </w:rPr>
              <w:t>纯电动乘用车积分相关要求</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纯电动乘用车车型积分=标准车型积分×续驶里程调整系数×</w:t>
            </w:r>
            <w:r>
              <w:rPr>
                <w:rFonts w:hint="default" w:ascii="Times New Roman" w:hAnsi="Times New Roman" w:eastAsia="仿宋_GB2312" w:cs="Times New Roman"/>
                <w:sz w:val="32"/>
                <w:szCs w:val="32"/>
              </w:rPr>
              <w:t>能量密度</w:t>
            </w:r>
            <w:r>
              <w:rPr>
                <w:rFonts w:hint="default" w:ascii="Times New Roman" w:hAnsi="Times New Roman" w:eastAsia="仿宋_GB2312" w:cs="Times New Roman"/>
                <w:sz w:val="32"/>
                <w:szCs w:val="32"/>
                <w:lang w:val="en-US" w:eastAsia="zh-CN"/>
              </w:rPr>
              <w:t>调整系数×电耗调整系数。</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（1）当</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R</w:t>
            </w:r>
            <w:r>
              <w:rPr>
                <w:rFonts w:hint="default" w:ascii="Times New Roman" w:hAnsi="Times New Roman" w:eastAsia="仿宋_GB2312" w:cs="Times New Roman"/>
                <w:b w:val="0"/>
                <w:bCs w:val="0"/>
                <w:color w:val="auto"/>
                <w:kern w:val="0"/>
                <w:sz w:val="32"/>
                <w:szCs w:val="32"/>
              </w:rPr>
              <w:t>&lt;</w:t>
            </w:r>
            <w:r>
              <w:rPr>
                <w:rFonts w:hint="default" w:ascii="Times New Roman" w:hAnsi="Times New Roman" w:eastAsia="仿宋_GB2312" w:cs="Times New Roman"/>
                <w:b w:val="0"/>
                <w:bCs w:val="0"/>
                <w:color w:val="auto"/>
                <w:kern w:val="0"/>
                <w:sz w:val="32"/>
                <w:szCs w:val="32"/>
                <w:lang w:val="en-US" w:eastAsia="zh-CN"/>
              </w:rPr>
              <w:t>150</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b w:val="0"/>
                <w:bCs w:val="0"/>
                <w:color w:val="auto"/>
                <w:kern w:val="0"/>
                <w:sz w:val="32"/>
                <w:szCs w:val="32"/>
                <w:lang w:val="en-US" w:eastAsia="zh-CN"/>
              </w:rPr>
              <w:t>续驶里程调整系数为</w:t>
            </w:r>
            <w:r>
              <w:rPr>
                <w:rFonts w:hint="default" w:ascii="Times New Roman" w:hAnsi="Times New Roman" w:eastAsia="仿宋_GB2312" w:cs="Times New Roman"/>
                <w:sz w:val="32"/>
                <w:szCs w:val="32"/>
                <w:lang w:val="en-US" w:eastAsia="zh-CN"/>
              </w:rPr>
              <w:t>0.7；当150</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R</w:t>
            </w:r>
            <w:r>
              <w:rPr>
                <w:rFonts w:hint="default" w:ascii="Times New Roman" w:hAnsi="Times New Roman" w:eastAsia="仿宋_GB2312" w:cs="Times New Roman"/>
                <w:b w:val="0"/>
                <w:bCs w:val="0"/>
                <w:color w:val="auto"/>
                <w:kern w:val="0"/>
                <w:sz w:val="32"/>
                <w:szCs w:val="32"/>
              </w:rPr>
              <w:t>&lt;</w:t>
            </w:r>
            <w:r>
              <w:rPr>
                <w:rFonts w:hint="default" w:ascii="Times New Roman" w:hAnsi="Times New Roman" w:eastAsia="仿宋_GB2312" w:cs="Times New Roman"/>
                <w:b w:val="0"/>
                <w:bCs w:val="0"/>
                <w:color w:val="auto"/>
                <w:kern w:val="0"/>
                <w:sz w:val="32"/>
                <w:szCs w:val="32"/>
                <w:lang w:val="en-US" w:eastAsia="zh-CN"/>
              </w:rPr>
              <w:t>200</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b w:val="0"/>
                <w:bCs w:val="0"/>
                <w:color w:val="auto"/>
                <w:kern w:val="0"/>
                <w:sz w:val="32"/>
                <w:szCs w:val="32"/>
                <w:lang w:val="en-US" w:eastAsia="zh-CN"/>
              </w:rPr>
              <w:t>续驶里程调整系数为</w:t>
            </w:r>
            <w:r>
              <w:rPr>
                <w:rFonts w:hint="default" w:ascii="Times New Roman" w:hAnsi="Times New Roman" w:eastAsia="仿宋_GB2312" w:cs="Times New Roman"/>
                <w:sz w:val="32"/>
                <w:szCs w:val="32"/>
                <w:lang w:val="en-US" w:eastAsia="zh-CN"/>
              </w:rPr>
              <w:t>0.8；当200</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R</w:t>
            </w:r>
            <w:r>
              <w:rPr>
                <w:rFonts w:hint="default" w:ascii="Times New Roman" w:hAnsi="Times New Roman" w:eastAsia="仿宋_GB2312" w:cs="Times New Roman"/>
                <w:b w:val="0"/>
                <w:bCs w:val="0"/>
                <w:color w:val="auto"/>
                <w:kern w:val="0"/>
                <w:sz w:val="32"/>
                <w:szCs w:val="32"/>
              </w:rPr>
              <w:t>&lt;</w:t>
            </w:r>
            <w:r>
              <w:rPr>
                <w:rFonts w:hint="eastAsia" w:ascii="Times New Roman" w:hAnsi="Times New Roman" w:eastAsia="仿宋_GB2312" w:cs="Times New Roman"/>
                <w:b w:val="0"/>
                <w:bCs w:val="0"/>
                <w:color w:val="auto"/>
                <w:kern w:val="0"/>
                <w:sz w:val="32"/>
                <w:szCs w:val="32"/>
                <w:lang w:val="en-US" w:eastAsia="zh-CN"/>
              </w:rPr>
              <w:t>30</w:t>
            </w:r>
            <w:r>
              <w:rPr>
                <w:rFonts w:hint="default" w:ascii="Times New Roman" w:hAnsi="Times New Roman" w:eastAsia="仿宋_GB2312" w:cs="Times New Roman"/>
                <w:b w:val="0"/>
                <w:bCs w:val="0"/>
                <w:color w:val="auto"/>
                <w:kern w:val="0"/>
                <w:sz w:val="32"/>
                <w:szCs w:val="32"/>
                <w:lang w:val="en-US" w:eastAsia="zh-CN"/>
              </w:rPr>
              <w:t>0</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b w:val="0"/>
                <w:bCs w:val="0"/>
                <w:color w:val="auto"/>
                <w:kern w:val="0"/>
                <w:sz w:val="32"/>
                <w:szCs w:val="32"/>
                <w:lang w:val="en-US" w:eastAsia="zh-CN"/>
              </w:rPr>
              <w:t>续驶里程调整系数为</w:t>
            </w:r>
            <w:r>
              <w:rPr>
                <w:rFonts w:hint="default" w:ascii="Times New Roman" w:hAnsi="Times New Roman" w:eastAsia="仿宋_GB2312" w:cs="Times New Roman"/>
                <w:sz w:val="32"/>
                <w:szCs w:val="32"/>
                <w:lang w:val="en-US" w:eastAsia="zh-CN"/>
              </w:rPr>
              <w:t>0.9；当</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rPr>
              <w:t>R时，续驶里程调整系数为1</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当纯电动乘用车动力电池系统的</w:t>
            </w:r>
            <w:r>
              <w:rPr>
                <w:rFonts w:hint="default" w:ascii="Times New Roman" w:hAnsi="Times New Roman" w:eastAsia="仿宋_GB2312" w:cs="Times New Roman"/>
                <w:sz w:val="32"/>
                <w:szCs w:val="32"/>
                <w:lang w:val="en-US" w:eastAsia="zh-CN"/>
              </w:rPr>
              <w:t>质量能量密度</w:t>
            </w:r>
            <w:r>
              <w:rPr>
                <w:rFonts w:hint="default" w:ascii="Times New Roman" w:hAnsi="Times New Roman" w:eastAsia="仿宋_GB2312" w:cs="Times New Roman"/>
                <w:b w:val="0"/>
                <w:bCs w:val="0"/>
                <w:color w:val="auto"/>
                <w:kern w:val="0"/>
                <w:sz w:val="32"/>
                <w:szCs w:val="32"/>
              </w:rPr>
              <w:t>&lt;</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Wh/kg</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能量密度</w:t>
            </w:r>
            <w:r>
              <w:rPr>
                <w:rFonts w:hint="default" w:ascii="Times New Roman" w:hAnsi="Times New Roman" w:eastAsia="仿宋_GB2312" w:cs="Times New Roman"/>
                <w:sz w:val="32"/>
                <w:szCs w:val="32"/>
                <w:lang w:val="en-US" w:eastAsia="zh-CN"/>
              </w:rPr>
              <w:t>调整系数为0；</w:t>
            </w:r>
            <w:r>
              <w:rPr>
                <w:rFonts w:hint="default"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Wh/kg</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sz w:val="32"/>
                <w:szCs w:val="32"/>
                <w:lang w:val="en-US" w:eastAsia="zh-CN"/>
              </w:rPr>
              <w:t>质量能量密度</w:t>
            </w:r>
            <w:r>
              <w:rPr>
                <w:rFonts w:hint="default" w:ascii="Times New Roman" w:hAnsi="Times New Roman" w:eastAsia="仿宋_GB2312" w:cs="Times New Roman"/>
                <w:b w:val="0"/>
                <w:bCs w:val="0"/>
                <w:color w:val="auto"/>
                <w:kern w:val="0"/>
                <w:sz w:val="32"/>
                <w:szCs w:val="32"/>
              </w:rPr>
              <w:t>&lt;</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Wh/kg</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能量密度</w:t>
            </w:r>
            <w:r>
              <w:rPr>
                <w:rFonts w:hint="default" w:ascii="Times New Roman" w:hAnsi="Times New Roman" w:eastAsia="仿宋_GB2312" w:cs="Times New Roman"/>
                <w:sz w:val="32"/>
                <w:szCs w:val="32"/>
                <w:lang w:val="en-US" w:eastAsia="zh-CN"/>
              </w:rPr>
              <w:t>调整系数为0.8，</w:t>
            </w:r>
            <w:r>
              <w:rPr>
                <w:rFonts w:hint="default"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Wh/kg</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sz w:val="32"/>
                <w:szCs w:val="32"/>
                <w:lang w:val="en-US" w:eastAsia="zh-CN"/>
              </w:rPr>
              <w:t>质量能量密度</w:t>
            </w:r>
            <w:r>
              <w:rPr>
                <w:rFonts w:hint="default" w:ascii="Times New Roman" w:hAnsi="Times New Roman" w:eastAsia="仿宋_GB2312" w:cs="Times New Roman"/>
                <w:b w:val="0"/>
                <w:bCs w:val="0"/>
                <w:color w:val="auto"/>
                <w:kern w:val="0"/>
                <w:sz w:val="32"/>
                <w:szCs w:val="32"/>
              </w:rPr>
              <w:t>&lt;</w:t>
            </w:r>
            <w:r>
              <w:rPr>
                <w:rFonts w:hint="default" w:ascii="Times New Roman" w:hAnsi="Times New Roman" w:eastAsia="仿宋_GB2312" w:cs="Times New Roman"/>
                <w:sz w:val="32"/>
                <w:szCs w:val="32"/>
                <w:lang w:val="en-US" w:eastAsia="zh-CN"/>
              </w:rPr>
              <w:t>125</w:t>
            </w:r>
            <w:r>
              <w:rPr>
                <w:rFonts w:hint="default" w:ascii="Times New Roman" w:hAnsi="Times New Roman" w:eastAsia="仿宋_GB2312" w:cs="Times New Roman"/>
                <w:sz w:val="32"/>
                <w:szCs w:val="32"/>
              </w:rPr>
              <w:t>Wh/kg</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能量密度</w:t>
            </w:r>
            <w:r>
              <w:rPr>
                <w:rFonts w:hint="default" w:ascii="Times New Roman" w:hAnsi="Times New Roman" w:eastAsia="仿宋_GB2312" w:cs="Times New Roman"/>
                <w:sz w:val="32"/>
                <w:szCs w:val="32"/>
                <w:lang w:val="en-US" w:eastAsia="zh-CN"/>
              </w:rPr>
              <w:t>调整系数为0.9，125</w:t>
            </w:r>
            <w:r>
              <w:rPr>
                <w:rFonts w:hint="default" w:ascii="Times New Roman" w:hAnsi="Times New Roman" w:eastAsia="仿宋_GB2312" w:cs="Times New Roman"/>
                <w:sz w:val="32"/>
                <w:szCs w:val="32"/>
              </w:rPr>
              <w:t>Wh/kg</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sz w:val="32"/>
                <w:szCs w:val="32"/>
                <w:lang w:val="en-US" w:eastAsia="zh-CN"/>
              </w:rPr>
              <w:t>质量能量密度，</w:t>
            </w:r>
            <w:r>
              <w:rPr>
                <w:rFonts w:hint="default" w:ascii="Times New Roman" w:hAnsi="Times New Roman" w:eastAsia="仿宋_GB2312" w:cs="Times New Roman"/>
                <w:sz w:val="32"/>
                <w:szCs w:val="32"/>
              </w:rPr>
              <w:t>能量密度</w:t>
            </w:r>
            <w:r>
              <w:rPr>
                <w:rFonts w:hint="default" w:ascii="Times New Roman" w:hAnsi="Times New Roman" w:eastAsia="仿宋_GB2312" w:cs="Times New Roman"/>
                <w:sz w:val="32"/>
                <w:szCs w:val="32"/>
                <w:lang w:val="en-US" w:eastAsia="zh-CN"/>
              </w:rPr>
              <w:t>调整系数为1。</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纯电动乘用车30分钟最高车速不低于100km/h</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按整备质量（m，kg）不同，</w:t>
            </w:r>
            <w:r>
              <w:rPr>
                <w:rFonts w:hint="default" w:ascii="Times New Roman" w:hAnsi="Times New Roman" w:eastAsia="仿宋_GB2312" w:cs="Times New Roman"/>
                <w:b w:val="0"/>
                <w:bCs w:val="0"/>
                <w:color w:val="auto"/>
                <w:kern w:val="0"/>
                <w:sz w:val="32"/>
                <w:szCs w:val="32"/>
                <w:lang w:val="en-US" w:eastAsia="zh-CN"/>
              </w:rPr>
              <w:t>设定</w:t>
            </w:r>
            <w:r>
              <w:rPr>
                <w:rFonts w:hint="default" w:ascii="Times New Roman" w:hAnsi="Times New Roman" w:eastAsia="仿宋_GB2312" w:cs="Times New Roman"/>
                <w:b w:val="0"/>
                <w:bCs w:val="0"/>
                <w:color w:val="auto"/>
                <w:kern w:val="0"/>
                <w:sz w:val="32"/>
                <w:szCs w:val="32"/>
              </w:rPr>
              <w:t>纯电动乘用车电能消耗量目标值</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Y</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车型电能消耗量（kW</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rPr>
              <w:t>h</w:t>
            </w:r>
            <w:r>
              <w:rPr>
                <w:rFonts w:hint="default" w:ascii="Times New Roman" w:hAnsi="Times New Roman" w:eastAsia="仿宋_GB2312" w:cs="Times New Roman"/>
                <w:b w:val="0"/>
                <w:bCs w:val="0"/>
                <w:color w:val="auto"/>
                <w:sz w:val="32"/>
                <w:szCs w:val="32"/>
              </w:rPr>
              <w:t xml:space="preserve"> </w:t>
            </w:r>
            <w:r>
              <w:rPr>
                <w:rFonts w:hint="default" w:ascii="Times New Roman" w:hAnsi="Times New Roman" w:eastAsia="仿宋_GB2312" w:cs="Times New Roman"/>
                <w:b w:val="0"/>
                <w:bCs w:val="0"/>
                <w:color w:val="auto"/>
                <w:kern w:val="0"/>
                <w:sz w:val="32"/>
                <w:szCs w:val="32"/>
              </w:rPr>
              <w:t xml:space="preserve">/100km，工况法）满足电能消耗量目标值的，电耗调整系数（EC系数）为车型电能消耗量目标值除以电能消耗量实际值（计算结果按四舍五入原则保留两位小数，上限为1.5倍）；其余车型EC系数按0.5倍计算，并且积分仅限本企业使用。 </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纯电动乘用车电能消耗量目标值：m≤1000时，Y=0.0112×m+0.4；1000&lt;m≤1600时, Y=0.0078×m+3.8；m&gt;1600时，Y=</w:t>
            </w:r>
            <w:r>
              <w:rPr>
                <w:rFonts w:hint="default" w:ascii="Times New Roman" w:hAnsi="Times New Roman" w:eastAsia="仿宋_GB2312" w:cs="Times New Roman"/>
                <w:color w:val="auto"/>
                <w:kern w:val="0"/>
                <w:sz w:val="32"/>
                <w:szCs w:val="32"/>
              </w:rPr>
              <w:t>0.0048×m+8.60</w:t>
            </w:r>
            <w:r>
              <w:rPr>
                <w:rFonts w:hint="default" w:ascii="Times New Roman" w:hAnsi="Times New Roman" w:eastAsia="仿宋_GB2312" w:cs="Times New Roman"/>
                <w:b w:val="0"/>
                <w:bCs w:val="0"/>
                <w:color w:val="auto"/>
                <w:kern w:val="0"/>
                <w:sz w:val="32"/>
                <w:szCs w:val="32"/>
              </w:rPr>
              <w:t>。</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 插电式混合动力乘用车应符合《插电式混合动力电动乘用车技术条件》（GB/T 32694）要求。车型电量保持模式试验的燃料消耗量（不含电能转化的燃料消耗量）与《乘用车燃料消耗量限值》（GB 19578）中车型对应的燃料消耗量限值相比应当小于70%；其电量消耗模式试验的电能消耗量应小于前款纯电动乘用车电能消耗量目标值的135%。无法同时满足以上两项指标的车型按照标准车型积分的0.5倍计算，并且积分仅限本企业使用。</w:t>
            </w:r>
          </w:p>
          <w:p>
            <w:pPr>
              <w:keepNext w:val="0"/>
              <w:keepLines w:val="0"/>
              <w:pageBreakBefore w:val="0"/>
              <w:kinsoku/>
              <w:wordWrap/>
              <w:overflowPunct/>
              <w:topLinePunct w:val="0"/>
              <w:autoSpaceDE/>
              <w:autoSpaceDN/>
              <w:bidi w:val="0"/>
              <w:adjustRightInd/>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3. 燃料电池乘用车续驶里程不低于300km，</w:t>
            </w:r>
            <w:r>
              <w:rPr>
                <w:rFonts w:hint="default" w:ascii="Times New Roman" w:hAnsi="Times New Roman" w:eastAsia="仿宋_GB2312" w:cs="Times New Roman"/>
                <w:b w:val="0"/>
                <w:bCs w:val="0"/>
                <w:color w:val="auto"/>
                <w:kern w:val="0"/>
                <w:sz w:val="32"/>
                <w:szCs w:val="32"/>
                <w:lang w:eastAsia="zh-CN"/>
              </w:rPr>
              <w:t>当</w:t>
            </w:r>
            <w:r>
              <w:rPr>
                <w:rFonts w:hint="default" w:ascii="Times New Roman" w:hAnsi="Times New Roman" w:eastAsia="仿宋_GB2312" w:cs="Times New Roman"/>
                <w:b w:val="0"/>
                <w:bCs w:val="0"/>
                <w:color w:val="auto"/>
                <w:kern w:val="0"/>
                <w:sz w:val="32"/>
                <w:szCs w:val="32"/>
                <w:lang w:val="en-US" w:eastAsia="zh-CN"/>
              </w:rPr>
              <w:t>P</w:t>
            </w:r>
            <w:r>
              <w:rPr>
                <w:rFonts w:hint="default" w:ascii="Times New Roman" w:hAnsi="Times New Roman" w:eastAsia="仿宋_GB2312" w:cs="Times New Roman"/>
                <w:b w:val="0"/>
                <w:bCs w:val="0"/>
                <w:color w:val="auto"/>
                <w:kern w:val="0"/>
                <w:sz w:val="32"/>
                <w:szCs w:val="32"/>
              </w:rPr>
              <w:t>不低于驱动电机额定功率的30%且不小于10kW</w:t>
            </w:r>
            <w:r>
              <w:rPr>
                <w:rFonts w:hint="default" w:ascii="Times New Roman" w:hAnsi="Times New Roman" w:eastAsia="仿宋_GB2312" w:cs="Times New Roman"/>
                <w:b w:val="0"/>
                <w:bCs w:val="0"/>
                <w:color w:val="auto"/>
                <w:kern w:val="0"/>
                <w:sz w:val="32"/>
                <w:szCs w:val="32"/>
                <w:lang w:eastAsia="zh-CN"/>
              </w:rPr>
              <w:t>时</w:t>
            </w:r>
            <w:r>
              <w:rPr>
                <w:rFonts w:hint="default" w:ascii="Times New Roman" w:hAnsi="Times New Roman" w:eastAsia="仿宋_GB2312" w:cs="Times New Roman"/>
                <w:b w:val="0"/>
                <w:bCs w:val="0"/>
                <w:color w:val="auto"/>
                <w:kern w:val="0"/>
                <w:sz w:val="32"/>
                <w:szCs w:val="32"/>
              </w:rPr>
              <w:t>，车型积分按照标准车型积分的1倍计算</w:t>
            </w:r>
            <w:r>
              <w:rPr>
                <w:rFonts w:hint="default" w:ascii="Times New Roman" w:hAnsi="Times New Roman" w:eastAsia="仿宋_GB2312" w:cs="Times New Roman"/>
                <w:b w:val="0"/>
                <w:bCs w:val="0"/>
                <w:color w:val="auto"/>
                <w:kern w:val="0"/>
                <w:sz w:val="32"/>
                <w:szCs w:val="32"/>
                <w:lang w:eastAsia="zh-CN"/>
              </w:rPr>
              <w:t>；其余</w:t>
            </w:r>
            <w:r>
              <w:rPr>
                <w:rFonts w:hint="default" w:ascii="Times New Roman" w:hAnsi="Times New Roman" w:eastAsia="仿宋_GB2312" w:cs="Times New Roman"/>
                <w:b w:val="0"/>
                <w:bCs w:val="0"/>
                <w:color w:val="auto"/>
                <w:kern w:val="0"/>
                <w:sz w:val="32"/>
                <w:szCs w:val="32"/>
              </w:rPr>
              <w:t>车型</w:t>
            </w:r>
            <w:r>
              <w:rPr>
                <w:rFonts w:hint="default" w:ascii="Times New Roman" w:hAnsi="Times New Roman" w:eastAsia="仿宋_GB2312" w:cs="Times New Roman"/>
                <w:b w:val="0"/>
                <w:bCs w:val="0"/>
                <w:color w:val="auto"/>
                <w:kern w:val="0"/>
                <w:sz w:val="32"/>
                <w:szCs w:val="32"/>
                <w:lang w:eastAsia="zh-CN"/>
              </w:rPr>
              <w:t>积分</w:t>
            </w:r>
            <w:r>
              <w:rPr>
                <w:rFonts w:hint="default" w:ascii="Times New Roman" w:hAnsi="Times New Roman" w:eastAsia="仿宋_GB2312" w:cs="Times New Roman"/>
                <w:b w:val="0"/>
                <w:bCs w:val="0"/>
                <w:color w:val="auto"/>
                <w:kern w:val="0"/>
                <w:sz w:val="32"/>
                <w:szCs w:val="32"/>
              </w:rPr>
              <w:t>按照标准车型积分的0.5倍计算，并且积分仅限本企业使用。</w:t>
            </w:r>
          </w:p>
          <w:p>
            <w:pPr>
              <w:keepNext w:val="0"/>
              <w:keepLines w:val="0"/>
              <w:pageBreakBefore w:val="0"/>
              <w:widowControl/>
              <w:tabs>
                <w:tab w:val="left" w:pos="1418"/>
                <w:tab w:val="left" w:pos="1701"/>
                <w:tab w:val="left" w:pos="1843"/>
              </w:tabs>
              <w:kinsoku/>
              <w:wordWrap/>
              <w:overflowPunct/>
              <w:topLinePunct w:val="0"/>
              <w:autoSpaceDE/>
              <w:autoSpaceDN/>
              <w:bidi w:val="0"/>
              <w:adjustRightInd/>
              <w:snapToGrid w:val="0"/>
              <w:spacing w:line="4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kern w:val="0"/>
                <w:sz w:val="32"/>
                <w:szCs w:val="32"/>
              </w:rPr>
              <w:t>2021年1月1日之前获得型式批准并且满足GB/T 32694-2016要求的</w:t>
            </w:r>
            <w:r>
              <w:rPr>
                <w:rFonts w:hint="default" w:ascii="Times New Roman" w:hAnsi="Times New Roman" w:eastAsia="仿宋_GB2312" w:cs="Times New Roman"/>
                <w:kern w:val="0"/>
                <w:sz w:val="32"/>
                <w:szCs w:val="32"/>
                <w:lang w:eastAsia="zh-CN"/>
              </w:rPr>
              <w:t>插电式</w:t>
            </w:r>
            <w:r>
              <w:rPr>
                <w:rFonts w:hint="default" w:ascii="Times New Roman" w:hAnsi="Times New Roman" w:eastAsia="仿宋_GB2312" w:cs="Times New Roman"/>
                <w:kern w:val="0"/>
                <w:sz w:val="32"/>
                <w:szCs w:val="32"/>
              </w:rPr>
              <w:t>混合动力乘用车，在2023年1月1日之前可以获得1.6分的标准车型积分，具体积分倍数按照上述</w:t>
            </w:r>
            <w:r>
              <w:rPr>
                <w:rFonts w:hint="default" w:ascii="Times New Roman" w:hAnsi="Times New Roman" w:eastAsia="仿宋_GB2312" w:cs="Times New Roman"/>
                <w:kern w:val="0"/>
                <w:sz w:val="32"/>
                <w:szCs w:val="32"/>
                <w:lang w:val="en-US" w:eastAsia="zh-CN"/>
              </w:rPr>
              <w:t>第2条中</w:t>
            </w:r>
            <w:r>
              <w:rPr>
                <w:rFonts w:hint="default" w:ascii="Times New Roman" w:hAnsi="Times New Roman" w:eastAsia="仿宋_GB2312" w:cs="Times New Roman"/>
                <w:b w:val="0"/>
                <w:bCs w:val="0"/>
                <w:color w:val="auto"/>
                <w:kern w:val="0"/>
                <w:sz w:val="32"/>
                <w:szCs w:val="32"/>
              </w:rPr>
              <w:t>插电式混合动力乘用车</w:t>
            </w:r>
            <w:r>
              <w:rPr>
                <w:rFonts w:hint="default" w:ascii="Times New Roman" w:hAnsi="Times New Roman" w:eastAsia="仿宋_GB2312" w:cs="Times New Roman"/>
                <w:kern w:val="0"/>
                <w:sz w:val="32"/>
                <w:szCs w:val="32"/>
              </w:rPr>
              <w:t>要求执行。</w:t>
            </w:r>
          </w:p>
          <w:p>
            <w:pPr>
              <w:keepNext w:val="0"/>
              <w:keepLines w:val="0"/>
              <w:pageBreakBefore w:val="0"/>
              <w:widowControl/>
              <w:tabs>
                <w:tab w:val="left" w:pos="1418"/>
                <w:tab w:val="left" w:pos="1701"/>
                <w:tab w:val="left" w:pos="1843"/>
              </w:tabs>
              <w:kinsoku/>
              <w:wordWrap/>
              <w:overflowPunct/>
              <w:topLinePunct w:val="0"/>
              <w:autoSpaceDE/>
              <w:autoSpaceDN/>
              <w:bidi w:val="0"/>
              <w:adjustRightInd/>
              <w:snapToGrid w:val="0"/>
              <w:spacing w:line="44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sz w:val="32"/>
                <w:szCs w:val="32"/>
              </w:rPr>
              <w:t>在核算乘用车企业新能源汽车积分实际值时，同一车型在核算年度有多个新能源乘用车车型积分的，按照不同的积分分开计算。</w:t>
            </w:r>
          </w:p>
        </w:tc>
      </w:tr>
    </w:tbl>
    <w:p>
      <w:pPr>
        <w:widowControl/>
        <w:shd w:val="clear" w:color="auto" w:fill="auto"/>
        <w:tabs>
          <w:tab w:val="left" w:pos="1418"/>
          <w:tab w:val="left" w:pos="1701"/>
          <w:tab w:val="left" w:pos="1843"/>
        </w:tabs>
        <w:snapToGrid w:val="0"/>
        <w:spacing w:line="600" w:lineRule="exact"/>
        <w:ind w:firstLine="640" w:firstLineChars="200"/>
        <w:jc w:val="left"/>
        <w:outlineLvl w:val="9"/>
        <w:rPr>
          <w:rFonts w:hint="default" w:ascii="Times New Roman" w:hAnsi="Times New Roman" w:eastAsia="仿宋_GB2312" w:cs="Times New Roman"/>
          <w:color w:val="auto"/>
          <w:kern w:val="0"/>
          <w:sz w:val="32"/>
          <w:szCs w:val="21"/>
          <w:lang w:eastAsia="zh-CN"/>
        </w:rPr>
      </w:pPr>
      <w:r>
        <w:rPr>
          <w:rFonts w:hint="default" w:ascii="Times New Roman" w:hAnsi="Times New Roman" w:eastAsia="仿宋_GB2312" w:cs="Times New Roman"/>
          <w:color w:val="auto"/>
          <w:kern w:val="0"/>
          <w:sz w:val="32"/>
          <w:szCs w:val="21"/>
          <w:lang w:eastAsia="zh-CN"/>
        </w:rPr>
        <w:t>此外，对个别文字作相应修改。</w:t>
      </w:r>
    </w:p>
    <w:p>
      <w:pPr>
        <w:widowControl/>
        <w:shd w:val="clear" w:color="auto" w:fill="auto"/>
        <w:tabs>
          <w:tab w:val="left" w:pos="1418"/>
          <w:tab w:val="left" w:pos="1701"/>
          <w:tab w:val="left" w:pos="1843"/>
        </w:tabs>
        <w:snapToGrid w:val="0"/>
        <w:spacing w:line="600" w:lineRule="exact"/>
        <w:ind w:firstLine="640" w:firstLineChars="200"/>
        <w:outlineLvl w:val="9"/>
        <w:rPr>
          <w:rFonts w:hint="default" w:ascii="Times New Roman" w:hAnsi="Times New Roman" w:eastAsia="仿宋_GB2312" w:cs="Times New Roman"/>
          <w:color w:val="auto"/>
          <w:kern w:val="0"/>
          <w:sz w:val="32"/>
          <w:szCs w:val="21"/>
        </w:rPr>
      </w:pPr>
      <w:r>
        <w:rPr>
          <w:rFonts w:hint="default" w:ascii="Times New Roman" w:hAnsi="Times New Roman" w:eastAsia="仿宋_GB2312" w:cs="Times New Roman"/>
          <w:color w:val="auto"/>
          <w:kern w:val="0"/>
          <w:sz w:val="32"/>
          <w:szCs w:val="21"/>
        </w:rPr>
        <w:t>本决定自2021年1月1日起施行。《乘用车企业平均燃料消耗量与新能源汽车积分并行管理办法》</w:t>
      </w:r>
      <w:r>
        <w:rPr>
          <w:rFonts w:hint="default" w:ascii="Times New Roman" w:hAnsi="Times New Roman" w:eastAsia="仿宋_GB2312" w:cs="Times New Roman"/>
          <w:color w:val="auto"/>
          <w:kern w:val="0"/>
          <w:sz w:val="32"/>
          <w:szCs w:val="21"/>
          <w:lang w:eastAsia="zh-CN"/>
        </w:rPr>
        <w:t>（</w:t>
      </w:r>
      <w:r>
        <w:rPr>
          <w:rFonts w:hint="default" w:ascii="Times New Roman" w:hAnsi="Times New Roman" w:eastAsia="仿宋_GB2312" w:cs="Times New Roman"/>
          <w:color w:val="auto"/>
          <w:kern w:val="0"/>
          <w:sz w:val="32"/>
          <w:szCs w:val="21"/>
        </w:rPr>
        <w:t xml:space="preserve">工业和信息化部 财政部 商务部 海关总署 </w:t>
      </w:r>
      <w:r>
        <w:rPr>
          <w:rFonts w:hint="eastAsia" w:ascii="Times New Roman" w:hAnsi="Times New Roman" w:eastAsia="仿宋_GB2312" w:cs="Times New Roman"/>
          <w:color w:val="auto"/>
          <w:kern w:val="0"/>
          <w:sz w:val="32"/>
          <w:szCs w:val="21"/>
          <w:lang w:eastAsia="zh-CN"/>
        </w:rPr>
        <w:t>质检总局</w:t>
      </w:r>
      <w:r>
        <w:rPr>
          <w:rFonts w:hint="default" w:ascii="Times New Roman" w:hAnsi="Times New Roman" w:eastAsia="仿宋_GB2312" w:cs="Times New Roman"/>
          <w:color w:val="auto"/>
          <w:kern w:val="0"/>
          <w:sz w:val="32"/>
          <w:szCs w:val="21"/>
        </w:rPr>
        <w:t>令第44号</w:t>
      </w:r>
      <w:r>
        <w:rPr>
          <w:rFonts w:hint="default" w:ascii="Times New Roman" w:hAnsi="Times New Roman" w:eastAsia="仿宋_GB2312" w:cs="Times New Roman"/>
          <w:color w:val="auto"/>
          <w:kern w:val="0"/>
          <w:sz w:val="32"/>
          <w:szCs w:val="21"/>
          <w:lang w:eastAsia="zh-CN"/>
        </w:rPr>
        <w:t>）根据本决定作相应修改，重新公布</w:t>
      </w:r>
      <w:r>
        <w:rPr>
          <w:rFonts w:hint="default" w:ascii="Times New Roman" w:hAnsi="Times New Roman" w:eastAsia="仿宋_GB2312" w:cs="Times New Roman"/>
          <w:color w:val="auto"/>
          <w:kern w:val="0"/>
          <w:sz w:val="32"/>
          <w:szCs w:val="21"/>
        </w:rPr>
        <w:t>。</w:t>
      </w:r>
    </w:p>
    <w:p>
      <w:pPr>
        <w:rPr>
          <w:rFonts w:hint="default"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等线 Light">
    <w:altName w:val="宋体"/>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WUyugvQEAAGIDAAAOAAAAAAAAAAEAIAAAAB4BAABkcnMvZTJvRG9jLnhtbFBLBQYAAAAA&#10;BgAGAFkBAABNBQ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B4541"/>
    <w:multiLevelType w:val="singleLevel"/>
    <w:tmpl w:val="B6FB45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2644"/>
    <w:rsid w:val="173DB2E3"/>
    <w:rsid w:val="17FF0631"/>
    <w:rsid w:val="1F5F09EE"/>
    <w:rsid w:val="2FFF8A0C"/>
    <w:rsid w:val="3B9E87A8"/>
    <w:rsid w:val="3BFCA385"/>
    <w:rsid w:val="3DFFCA19"/>
    <w:rsid w:val="3F4FADE0"/>
    <w:rsid w:val="3FDF0689"/>
    <w:rsid w:val="3FF7E739"/>
    <w:rsid w:val="42CD5CCA"/>
    <w:rsid w:val="46D90A37"/>
    <w:rsid w:val="47CF527D"/>
    <w:rsid w:val="56F262D8"/>
    <w:rsid w:val="5B7B3798"/>
    <w:rsid w:val="5CF595DF"/>
    <w:rsid w:val="5CFFFB62"/>
    <w:rsid w:val="5DF441C3"/>
    <w:rsid w:val="5FE60D70"/>
    <w:rsid w:val="6B3F53BC"/>
    <w:rsid w:val="6C7F8CED"/>
    <w:rsid w:val="6C8F54A7"/>
    <w:rsid w:val="73E30F90"/>
    <w:rsid w:val="76FBC2F7"/>
    <w:rsid w:val="78ADD718"/>
    <w:rsid w:val="7952BED1"/>
    <w:rsid w:val="79FFD043"/>
    <w:rsid w:val="7B7B34D2"/>
    <w:rsid w:val="7BD775D8"/>
    <w:rsid w:val="7C1F1D25"/>
    <w:rsid w:val="7CB76543"/>
    <w:rsid w:val="7D67A8C8"/>
    <w:rsid w:val="7DDC1ED7"/>
    <w:rsid w:val="7EEFA15B"/>
    <w:rsid w:val="7EFF59C2"/>
    <w:rsid w:val="7FD6173C"/>
    <w:rsid w:val="7FEF4B92"/>
    <w:rsid w:val="7FF688CE"/>
    <w:rsid w:val="7FF770D3"/>
    <w:rsid w:val="7FFBA34B"/>
    <w:rsid w:val="7FFF1CA2"/>
    <w:rsid w:val="97D5DCCA"/>
    <w:rsid w:val="9FFE3F04"/>
    <w:rsid w:val="AF895518"/>
    <w:rsid w:val="AFD988EF"/>
    <w:rsid w:val="AFEEE402"/>
    <w:rsid w:val="B0FF709A"/>
    <w:rsid w:val="B7FB40A3"/>
    <w:rsid w:val="BDDF228D"/>
    <w:rsid w:val="BED3DE8E"/>
    <w:rsid w:val="BFFD3BD8"/>
    <w:rsid w:val="CADD2CE2"/>
    <w:rsid w:val="DD56B11C"/>
    <w:rsid w:val="E53B89FF"/>
    <w:rsid w:val="E67BB3C3"/>
    <w:rsid w:val="E6DCB2CE"/>
    <w:rsid w:val="E7DCB6A9"/>
    <w:rsid w:val="EA4F1A1A"/>
    <w:rsid w:val="EFBF01AC"/>
    <w:rsid w:val="F5F682EB"/>
    <w:rsid w:val="F6BF79B1"/>
    <w:rsid w:val="F74FC816"/>
    <w:rsid w:val="F7E35C0F"/>
    <w:rsid w:val="F7EFFCF3"/>
    <w:rsid w:val="F93FF619"/>
    <w:rsid w:val="FBFF9DBE"/>
    <w:rsid w:val="FEE52377"/>
    <w:rsid w:val="FEED9216"/>
    <w:rsid w:val="FFA3395D"/>
    <w:rsid w:val="FFBC28FD"/>
    <w:rsid w:val="FFDF3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spacing w:before="340" w:beforeLines="0" w:after="330" w:afterLines="0" w:line="576" w:lineRule="auto"/>
      <w:outlineLvl w:val="0"/>
    </w:pPr>
    <w:rPr>
      <w:rFonts w:ascii="Calibri" w:hAnsi="Calibri" w:eastAsia="宋体" w:cs="Times New Roman"/>
      <w:b/>
      <w:kern w:val="44"/>
      <w:sz w:val="44"/>
    </w:rPr>
  </w:style>
  <w:style w:type="character" w:default="1" w:styleId="8">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Body Text"/>
    <w:basedOn w:val="1"/>
    <w:qFormat/>
    <w:uiPriority w:val="0"/>
    <w:pPr>
      <w:widowControl/>
      <w:spacing w:after="240" w:afterLines="0"/>
      <w:ind w:left="142"/>
    </w:pPr>
    <w:rPr>
      <w:rFonts w:ascii="Verdana" w:hAnsi="Verdana" w:eastAsia="宋体" w:cs="Times New Roman"/>
      <w:kern w:val="0"/>
      <w:sz w:val="18"/>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等线 Light"/>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秦天雄</dc:creator>
  <cp:lastModifiedBy>洪昌智</cp:lastModifiedBy>
  <cp:lastPrinted>2020-05-27T10:27:25Z</cp:lastPrinted>
  <dcterms:modified xsi:type="dcterms:W3CDTF">2020-06-22T06:50:51Z</dcterms:modified>
  <dc:title>根据工作安排，政法司、装备一司开展了对《积分办法》的修改工作，现将有关情况汇报如下：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