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61E" w:rsidRDefault="001B261E">
      <w:pPr>
        <w:jc w:val="left"/>
        <w:rPr>
          <w:rFonts w:ascii="黑体" w:eastAsia="黑体" w:hAnsi="黑体"/>
          <w:sz w:val="32"/>
          <w:szCs w:val="32"/>
        </w:rPr>
      </w:pPr>
    </w:p>
    <w:p w:rsidR="001B261E" w:rsidRDefault="001B261E">
      <w:pPr>
        <w:rPr>
          <w:rFonts w:ascii="黑体" w:eastAsia="黑体" w:hAnsi="黑体"/>
          <w:sz w:val="44"/>
          <w:szCs w:val="44"/>
        </w:rPr>
      </w:pPr>
    </w:p>
    <w:p w:rsidR="001B261E" w:rsidRDefault="00B86318">
      <w:pPr>
        <w:jc w:val="center"/>
        <w:rPr>
          <w:rFonts w:ascii="黑体" w:eastAsia="黑体" w:hAnsi="黑体"/>
          <w:sz w:val="44"/>
          <w:szCs w:val="44"/>
        </w:rPr>
      </w:pPr>
      <w:r>
        <w:rPr>
          <w:rFonts w:ascii="黑体" w:eastAsia="黑体" w:hAnsi="黑体" w:hint="eastAsia"/>
          <w:sz w:val="44"/>
          <w:szCs w:val="44"/>
        </w:rPr>
        <w:t>通信管理局权力清单责任清单指导意见（</w:t>
      </w:r>
      <w:r>
        <w:rPr>
          <w:rFonts w:ascii="黑体" w:eastAsia="黑体" w:hAnsi="黑体" w:hint="eastAsia"/>
          <w:sz w:val="44"/>
          <w:szCs w:val="44"/>
        </w:rPr>
        <w:t>201</w:t>
      </w:r>
      <w:r>
        <w:rPr>
          <w:rFonts w:ascii="黑体" w:eastAsia="黑体" w:hAnsi="黑体"/>
          <w:sz w:val="44"/>
          <w:szCs w:val="44"/>
        </w:rPr>
        <w:t>9</w:t>
      </w:r>
      <w:r>
        <w:rPr>
          <w:rFonts w:ascii="黑体" w:eastAsia="黑体" w:hAnsi="黑体" w:hint="eastAsia"/>
          <w:sz w:val="44"/>
          <w:szCs w:val="44"/>
        </w:rPr>
        <w:t>年版）</w:t>
      </w:r>
    </w:p>
    <w:p w:rsidR="001B261E" w:rsidRDefault="00B86318">
      <w:pPr>
        <w:jc w:val="center"/>
        <w:rPr>
          <w:rFonts w:ascii="黑体" w:eastAsia="黑体" w:hAnsi="黑体"/>
          <w:sz w:val="44"/>
          <w:szCs w:val="44"/>
        </w:rPr>
      </w:pPr>
      <w:r>
        <w:rPr>
          <w:rFonts w:ascii="黑体" w:eastAsia="黑体" w:hAnsi="黑体" w:hint="eastAsia"/>
          <w:sz w:val="44"/>
          <w:szCs w:val="44"/>
        </w:rPr>
        <w:t>调整前后内容对照表</w:t>
      </w:r>
    </w:p>
    <w:p w:rsidR="001B261E" w:rsidRDefault="001B261E">
      <w:pPr>
        <w:rPr>
          <w:rFonts w:ascii="黑体" w:eastAsia="黑体" w:hAnsi="黑体"/>
          <w:sz w:val="44"/>
          <w:szCs w:val="44"/>
        </w:rPr>
      </w:pPr>
    </w:p>
    <w:p w:rsidR="001B261E" w:rsidRDefault="00B86318">
      <w:pPr>
        <w:pStyle w:val="2"/>
        <w:spacing w:before="0" w:after="0" w:line="240" w:lineRule="auto"/>
        <w:ind w:firstLineChars="200" w:firstLine="562"/>
        <w:rPr>
          <w:rFonts w:ascii="仿宋_GB2312" w:eastAsia="仿宋_GB2312" w:hAnsi="仿宋_GB2312" w:cs="仿宋_GB2312"/>
          <w:sz w:val="28"/>
          <w:szCs w:val="28"/>
        </w:rPr>
      </w:pPr>
      <w:bookmarkStart w:id="0" w:name="_Toc20653"/>
      <w:bookmarkStart w:id="1" w:name="_Toc6369"/>
      <w:r>
        <w:rPr>
          <w:rFonts w:ascii="仿宋_GB2312" w:eastAsia="仿宋_GB2312" w:hAnsi="仿宋_GB2312" w:cs="仿宋_GB2312" w:hint="eastAsia"/>
          <w:sz w:val="28"/>
          <w:szCs w:val="28"/>
        </w:rPr>
        <w:t xml:space="preserve">1. </w:t>
      </w:r>
      <w:r>
        <w:rPr>
          <w:rFonts w:ascii="仿宋_GB2312" w:eastAsia="仿宋_GB2312" w:hAnsi="仿宋_GB2312" w:cs="仿宋_GB2312" w:hint="eastAsia"/>
          <w:sz w:val="28"/>
          <w:szCs w:val="28"/>
        </w:rPr>
        <w:t>全文整体调整的内容</w:t>
      </w:r>
      <w:bookmarkEnd w:id="0"/>
      <w:bookmarkEnd w:id="1"/>
    </w:p>
    <w:tbl>
      <w:tblPr>
        <w:tblW w:w="14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2145"/>
        <w:gridCol w:w="5415"/>
        <w:gridCol w:w="5827"/>
      </w:tblGrid>
      <w:tr w:rsidR="001B261E">
        <w:trPr>
          <w:tblHeader/>
        </w:trPr>
        <w:tc>
          <w:tcPr>
            <w:tcW w:w="741" w:type="dxa"/>
            <w:shd w:val="clear" w:color="auto" w:fill="DBEEF3"/>
            <w:vAlign w:val="center"/>
          </w:tcPr>
          <w:p w:rsidR="001B261E" w:rsidRDefault="00B86318">
            <w:pPr>
              <w:jc w:val="center"/>
              <w:rPr>
                <w:rFonts w:ascii="黑体" w:eastAsia="黑体" w:hAnsi="黑体"/>
                <w:szCs w:val="21"/>
              </w:rPr>
            </w:pPr>
            <w:r>
              <w:rPr>
                <w:rFonts w:ascii="黑体" w:eastAsia="黑体" w:hAnsi="黑体" w:hint="eastAsia"/>
                <w:szCs w:val="21"/>
              </w:rPr>
              <w:t>序号</w:t>
            </w:r>
          </w:p>
        </w:tc>
        <w:tc>
          <w:tcPr>
            <w:tcW w:w="2145" w:type="dxa"/>
            <w:shd w:val="clear" w:color="auto" w:fill="DBEEF3"/>
            <w:vAlign w:val="center"/>
          </w:tcPr>
          <w:p w:rsidR="001B261E" w:rsidRDefault="00B86318">
            <w:pPr>
              <w:jc w:val="center"/>
              <w:rPr>
                <w:rFonts w:ascii="黑体" w:eastAsia="黑体" w:hAnsi="黑体"/>
                <w:szCs w:val="21"/>
              </w:rPr>
            </w:pPr>
            <w:r>
              <w:rPr>
                <w:rFonts w:ascii="黑体" w:eastAsia="黑体" w:hAnsi="黑体" w:hint="eastAsia"/>
                <w:szCs w:val="21"/>
              </w:rPr>
              <w:t>涉及事项</w:t>
            </w:r>
          </w:p>
        </w:tc>
        <w:tc>
          <w:tcPr>
            <w:tcW w:w="5415" w:type="dxa"/>
            <w:shd w:val="clear" w:color="auto" w:fill="DBEEF3"/>
            <w:vAlign w:val="center"/>
          </w:tcPr>
          <w:p w:rsidR="001B261E" w:rsidRDefault="00B86318">
            <w:pPr>
              <w:jc w:val="center"/>
              <w:rPr>
                <w:rFonts w:ascii="黑体" w:eastAsia="黑体" w:hAnsi="黑体"/>
                <w:szCs w:val="21"/>
              </w:rPr>
            </w:pPr>
            <w:r>
              <w:rPr>
                <w:rFonts w:ascii="黑体" w:eastAsia="黑体" w:hAnsi="黑体" w:hint="eastAsia"/>
                <w:szCs w:val="21"/>
              </w:rPr>
              <w:t>调整前</w:t>
            </w:r>
          </w:p>
        </w:tc>
        <w:tc>
          <w:tcPr>
            <w:tcW w:w="5827" w:type="dxa"/>
            <w:shd w:val="clear" w:color="auto" w:fill="DBEEF3"/>
            <w:vAlign w:val="center"/>
          </w:tcPr>
          <w:p w:rsidR="001B261E" w:rsidRDefault="00B86318">
            <w:pPr>
              <w:jc w:val="center"/>
              <w:rPr>
                <w:rFonts w:ascii="黑体" w:eastAsia="黑体" w:hAnsi="黑体"/>
                <w:szCs w:val="21"/>
              </w:rPr>
            </w:pPr>
            <w:r>
              <w:rPr>
                <w:rFonts w:ascii="黑体" w:eastAsia="黑体" w:hAnsi="黑体" w:hint="eastAsia"/>
                <w:szCs w:val="21"/>
              </w:rPr>
              <w:t>调整后</w:t>
            </w:r>
          </w:p>
        </w:tc>
      </w:tr>
      <w:tr w:rsidR="001B261E">
        <w:trPr>
          <w:trHeight w:val="1454"/>
        </w:trPr>
        <w:tc>
          <w:tcPr>
            <w:tcW w:w="741" w:type="dxa"/>
            <w:vAlign w:val="center"/>
          </w:tcPr>
          <w:p w:rsidR="001B261E" w:rsidRDefault="00B86318">
            <w:pPr>
              <w:jc w:val="center"/>
              <w:rPr>
                <w:rFonts w:ascii="宋体" w:hAnsi="宋体" w:cs="宋体"/>
                <w:szCs w:val="21"/>
              </w:rPr>
            </w:pPr>
            <w:r>
              <w:rPr>
                <w:rFonts w:ascii="宋体" w:hAnsi="宋体" w:cs="宋体" w:hint="eastAsia"/>
                <w:szCs w:val="21"/>
              </w:rPr>
              <w:t>1</w:t>
            </w:r>
          </w:p>
        </w:tc>
        <w:tc>
          <w:tcPr>
            <w:tcW w:w="2145" w:type="dxa"/>
            <w:vAlign w:val="center"/>
          </w:tcPr>
          <w:p w:rsidR="001B261E" w:rsidRDefault="00B86318">
            <w:pPr>
              <w:jc w:val="left"/>
              <w:rPr>
                <w:rFonts w:ascii="宋体" w:hAnsi="宋体" w:cs="宋体"/>
                <w:szCs w:val="21"/>
              </w:rPr>
            </w:pPr>
            <w:r>
              <w:rPr>
                <w:rFonts w:ascii="宋体" w:hAnsi="宋体" w:cs="宋体" w:hint="eastAsia"/>
                <w:szCs w:val="21"/>
              </w:rPr>
              <w:t>法律文件的修订情况</w:t>
            </w:r>
          </w:p>
        </w:tc>
        <w:tc>
          <w:tcPr>
            <w:tcW w:w="5415" w:type="dxa"/>
            <w:vAlign w:val="center"/>
          </w:tcPr>
          <w:p w:rsidR="001B261E" w:rsidRDefault="00B86318">
            <w:pPr>
              <w:jc w:val="left"/>
              <w:rPr>
                <w:rFonts w:ascii="宋体" w:hAnsi="宋体" w:cs="宋体"/>
                <w:szCs w:val="21"/>
              </w:rPr>
            </w:pPr>
            <w:r>
              <w:rPr>
                <w:rFonts w:ascii="宋体" w:hAnsi="宋体" w:cs="宋体" w:hint="eastAsia"/>
                <w:szCs w:val="21"/>
              </w:rPr>
              <w:t>《中华人民共和国反恐怖主义法》（</w:t>
            </w:r>
            <w:r>
              <w:rPr>
                <w:rFonts w:ascii="宋体" w:hAnsi="宋体" w:cs="宋体" w:hint="eastAsia"/>
                <w:szCs w:val="21"/>
              </w:rPr>
              <w:t>2015</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27</w:t>
            </w:r>
            <w:r>
              <w:rPr>
                <w:rFonts w:ascii="宋体" w:hAnsi="宋体" w:cs="宋体" w:hint="eastAsia"/>
                <w:szCs w:val="21"/>
              </w:rPr>
              <w:t>日第十二届全国人民代表大会常务委员会第十八次会议通过，主席令第</w:t>
            </w:r>
            <w:r>
              <w:rPr>
                <w:rFonts w:ascii="宋体" w:hAnsi="宋体" w:cs="宋体" w:hint="eastAsia"/>
                <w:szCs w:val="21"/>
              </w:rPr>
              <w:t>36</w:t>
            </w:r>
            <w:r>
              <w:rPr>
                <w:rFonts w:ascii="宋体" w:hAnsi="宋体" w:cs="宋体" w:hint="eastAsia"/>
                <w:szCs w:val="21"/>
              </w:rPr>
              <w:t>号公布）</w:t>
            </w:r>
          </w:p>
        </w:tc>
        <w:tc>
          <w:tcPr>
            <w:tcW w:w="5827" w:type="dxa"/>
            <w:vAlign w:val="center"/>
          </w:tcPr>
          <w:p w:rsidR="001B261E" w:rsidRDefault="00B86318">
            <w:pPr>
              <w:jc w:val="left"/>
              <w:rPr>
                <w:rFonts w:ascii="宋体" w:hAnsi="宋体" w:cs="宋体"/>
                <w:szCs w:val="21"/>
              </w:rPr>
            </w:pPr>
            <w:r>
              <w:rPr>
                <w:rFonts w:ascii="宋体" w:hAnsi="宋体" w:cs="宋体" w:hint="eastAsia"/>
                <w:szCs w:val="21"/>
              </w:rPr>
              <w:t>《中华人民共和国反恐怖主义法》（</w:t>
            </w:r>
            <w:r>
              <w:rPr>
                <w:rFonts w:ascii="宋体" w:hAnsi="宋体" w:cs="宋体" w:hint="eastAsia"/>
                <w:szCs w:val="21"/>
              </w:rPr>
              <w:t>2015</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27</w:t>
            </w:r>
            <w:r>
              <w:rPr>
                <w:rFonts w:ascii="宋体" w:hAnsi="宋体" w:cs="宋体" w:hint="eastAsia"/>
                <w:szCs w:val="21"/>
              </w:rPr>
              <w:t>日第十二届全国人民代表大会常务委员会第十八次会议通过，主席令第</w:t>
            </w:r>
            <w:r>
              <w:rPr>
                <w:rFonts w:ascii="宋体" w:hAnsi="宋体" w:cs="宋体" w:hint="eastAsia"/>
                <w:szCs w:val="21"/>
              </w:rPr>
              <w:t>36</w:t>
            </w:r>
            <w:r>
              <w:rPr>
                <w:rFonts w:ascii="宋体" w:hAnsi="宋体" w:cs="宋体" w:hint="eastAsia"/>
                <w:szCs w:val="21"/>
              </w:rPr>
              <w:t>号公布，</w:t>
            </w:r>
            <w:r>
              <w:rPr>
                <w:rFonts w:ascii="宋体" w:hAnsi="宋体" w:cs="宋体" w:hint="eastAsia"/>
                <w:szCs w:val="21"/>
              </w:rPr>
              <w:t>2018</w:t>
            </w:r>
            <w:r>
              <w:rPr>
                <w:rFonts w:ascii="宋体" w:hAnsi="宋体" w:cs="宋体" w:hint="eastAsia"/>
                <w:szCs w:val="21"/>
              </w:rPr>
              <w:t>年主席令第</w:t>
            </w:r>
            <w:r>
              <w:rPr>
                <w:rFonts w:ascii="宋体" w:hAnsi="宋体" w:cs="宋体" w:hint="eastAsia"/>
                <w:szCs w:val="21"/>
              </w:rPr>
              <w:t>6</w:t>
            </w:r>
            <w:r>
              <w:rPr>
                <w:rFonts w:ascii="宋体" w:hAnsi="宋体" w:cs="宋体" w:hint="eastAsia"/>
                <w:szCs w:val="21"/>
              </w:rPr>
              <w:t>号修正）</w:t>
            </w:r>
          </w:p>
        </w:tc>
      </w:tr>
      <w:tr w:rsidR="001B261E">
        <w:trPr>
          <w:trHeight w:val="1404"/>
        </w:trPr>
        <w:tc>
          <w:tcPr>
            <w:tcW w:w="741" w:type="dxa"/>
            <w:vAlign w:val="center"/>
          </w:tcPr>
          <w:p w:rsidR="001B261E" w:rsidRDefault="00B86318">
            <w:pPr>
              <w:jc w:val="center"/>
              <w:rPr>
                <w:rFonts w:ascii="宋体" w:hAnsi="宋体" w:cs="宋体"/>
                <w:szCs w:val="21"/>
              </w:rPr>
            </w:pPr>
            <w:r>
              <w:rPr>
                <w:rFonts w:ascii="宋体" w:hAnsi="宋体" w:cs="宋体"/>
                <w:szCs w:val="21"/>
              </w:rPr>
              <w:t>2</w:t>
            </w:r>
          </w:p>
        </w:tc>
        <w:tc>
          <w:tcPr>
            <w:tcW w:w="2145" w:type="dxa"/>
            <w:vAlign w:val="center"/>
          </w:tcPr>
          <w:p w:rsidR="001B261E" w:rsidRDefault="00B86318">
            <w:pPr>
              <w:jc w:val="left"/>
              <w:rPr>
                <w:rFonts w:ascii="宋体" w:hAnsi="宋体" w:cs="宋体"/>
                <w:szCs w:val="21"/>
              </w:rPr>
            </w:pPr>
            <w:r>
              <w:rPr>
                <w:rFonts w:ascii="宋体" w:hAnsi="宋体" w:cs="宋体" w:hint="eastAsia"/>
                <w:szCs w:val="21"/>
              </w:rPr>
              <w:t>法律文件的修订情况</w:t>
            </w:r>
          </w:p>
        </w:tc>
        <w:tc>
          <w:tcPr>
            <w:tcW w:w="5415" w:type="dxa"/>
            <w:vAlign w:val="center"/>
          </w:tcPr>
          <w:p w:rsidR="001B261E" w:rsidRDefault="00B86318">
            <w:pPr>
              <w:jc w:val="left"/>
              <w:rPr>
                <w:rFonts w:ascii="宋体" w:hAnsi="宋体" w:cs="宋体"/>
                <w:szCs w:val="21"/>
              </w:rPr>
            </w:pPr>
            <w:r>
              <w:rPr>
                <w:rFonts w:ascii="宋体" w:hAnsi="宋体" w:cs="宋体" w:hint="eastAsia"/>
                <w:szCs w:val="21"/>
              </w:rPr>
              <w:t>《中华人民共和国招标投标法实施条例》（</w:t>
            </w:r>
            <w:r>
              <w:rPr>
                <w:rFonts w:ascii="宋体" w:hAnsi="宋体" w:cs="宋体" w:hint="eastAsia"/>
                <w:szCs w:val="21"/>
              </w:rPr>
              <w:t>2011</w:t>
            </w:r>
            <w:r>
              <w:rPr>
                <w:rFonts w:ascii="宋体" w:hAnsi="宋体" w:cs="宋体" w:hint="eastAsia"/>
                <w:szCs w:val="21"/>
              </w:rPr>
              <w:t>年国务院令第</w:t>
            </w:r>
            <w:r>
              <w:rPr>
                <w:rFonts w:ascii="宋体" w:hAnsi="宋体" w:cs="宋体" w:hint="eastAsia"/>
                <w:szCs w:val="21"/>
              </w:rPr>
              <w:t>613</w:t>
            </w:r>
            <w:r>
              <w:rPr>
                <w:rFonts w:ascii="宋体" w:hAnsi="宋体" w:cs="宋体" w:hint="eastAsia"/>
                <w:szCs w:val="21"/>
              </w:rPr>
              <w:t>号，</w:t>
            </w:r>
            <w:r>
              <w:rPr>
                <w:rFonts w:ascii="宋体" w:hAnsi="宋体" w:cs="宋体" w:hint="eastAsia"/>
                <w:szCs w:val="21"/>
              </w:rPr>
              <w:t>2017</w:t>
            </w:r>
            <w:r>
              <w:rPr>
                <w:rFonts w:ascii="宋体" w:hAnsi="宋体" w:cs="宋体" w:hint="eastAsia"/>
                <w:szCs w:val="21"/>
              </w:rPr>
              <w:t>年国务院令第</w:t>
            </w:r>
            <w:r>
              <w:rPr>
                <w:rFonts w:ascii="宋体" w:hAnsi="宋体" w:cs="宋体" w:hint="eastAsia"/>
                <w:szCs w:val="21"/>
              </w:rPr>
              <w:t>676</w:t>
            </w:r>
            <w:r>
              <w:rPr>
                <w:rFonts w:ascii="宋体" w:hAnsi="宋体" w:cs="宋体" w:hint="eastAsia"/>
                <w:szCs w:val="21"/>
              </w:rPr>
              <w:t>号修订）</w:t>
            </w:r>
          </w:p>
        </w:tc>
        <w:tc>
          <w:tcPr>
            <w:tcW w:w="5827" w:type="dxa"/>
            <w:vAlign w:val="center"/>
          </w:tcPr>
          <w:p w:rsidR="001B261E" w:rsidRDefault="00B86318">
            <w:pPr>
              <w:jc w:val="left"/>
              <w:rPr>
                <w:rFonts w:ascii="宋体" w:hAnsi="宋体" w:cs="宋体"/>
                <w:szCs w:val="21"/>
              </w:rPr>
            </w:pPr>
            <w:r>
              <w:rPr>
                <w:rFonts w:ascii="宋体" w:hAnsi="宋体" w:cs="宋体" w:hint="eastAsia"/>
                <w:szCs w:val="21"/>
              </w:rPr>
              <w:t>《中华人民共和国招标投标法实施条例》（</w:t>
            </w:r>
            <w:r>
              <w:rPr>
                <w:rFonts w:ascii="宋体" w:hAnsi="宋体" w:cs="宋体" w:hint="eastAsia"/>
                <w:szCs w:val="21"/>
              </w:rPr>
              <w:t>2011</w:t>
            </w:r>
            <w:r>
              <w:rPr>
                <w:rFonts w:ascii="宋体" w:hAnsi="宋体" w:cs="宋体" w:hint="eastAsia"/>
                <w:szCs w:val="21"/>
              </w:rPr>
              <w:t>年国务院令第</w:t>
            </w:r>
            <w:r>
              <w:rPr>
                <w:rFonts w:ascii="宋体" w:hAnsi="宋体" w:cs="宋体" w:hint="eastAsia"/>
                <w:szCs w:val="21"/>
              </w:rPr>
              <w:t>613</w:t>
            </w:r>
            <w:r>
              <w:rPr>
                <w:rFonts w:ascii="宋体" w:hAnsi="宋体" w:cs="宋体" w:hint="eastAsia"/>
                <w:szCs w:val="21"/>
              </w:rPr>
              <w:t>号，</w:t>
            </w:r>
            <w:r>
              <w:rPr>
                <w:rFonts w:ascii="宋体" w:hAnsi="宋体" w:cs="宋体" w:hint="eastAsia"/>
                <w:szCs w:val="21"/>
              </w:rPr>
              <w:t>2017</w:t>
            </w:r>
            <w:r>
              <w:rPr>
                <w:rFonts w:ascii="宋体" w:hAnsi="宋体" w:cs="宋体" w:hint="eastAsia"/>
                <w:szCs w:val="21"/>
              </w:rPr>
              <w:t>年国务院令第</w:t>
            </w:r>
            <w:r>
              <w:rPr>
                <w:rFonts w:ascii="宋体" w:hAnsi="宋体" w:cs="宋体" w:hint="eastAsia"/>
                <w:szCs w:val="21"/>
              </w:rPr>
              <w:t>676</w:t>
            </w:r>
            <w:r>
              <w:rPr>
                <w:rFonts w:ascii="宋体" w:hAnsi="宋体" w:cs="宋体" w:hint="eastAsia"/>
                <w:szCs w:val="21"/>
              </w:rPr>
              <w:t>号第一次修正，</w:t>
            </w:r>
            <w:r>
              <w:rPr>
                <w:rFonts w:ascii="宋体" w:hAnsi="宋体" w:cs="宋体" w:hint="eastAsia"/>
                <w:szCs w:val="21"/>
              </w:rPr>
              <w:t>2018</w:t>
            </w:r>
            <w:r>
              <w:rPr>
                <w:rFonts w:ascii="宋体" w:hAnsi="宋体" w:cs="宋体" w:hint="eastAsia"/>
                <w:szCs w:val="21"/>
              </w:rPr>
              <w:t>年国务院令第</w:t>
            </w:r>
            <w:r>
              <w:rPr>
                <w:rFonts w:ascii="宋体" w:hAnsi="宋体" w:cs="宋体" w:hint="eastAsia"/>
                <w:szCs w:val="21"/>
              </w:rPr>
              <w:t>698</w:t>
            </w:r>
            <w:r>
              <w:rPr>
                <w:rFonts w:ascii="宋体" w:hAnsi="宋体" w:cs="宋体" w:hint="eastAsia"/>
                <w:szCs w:val="21"/>
              </w:rPr>
              <w:t>号第二次修正）</w:t>
            </w:r>
          </w:p>
        </w:tc>
      </w:tr>
      <w:tr w:rsidR="001B261E">
        <w:trPr>
          <w:trHeight w:val="1113"/>
        </w:trPr>
        <w:tc>
          <w:tcPr>
            <w:tcW w:w="741" w:type="dxa"/>
            <w:vAlign w:val="center"/>
          </w:tcPr>
          <w:p w:rsidR="001B261E" w:rsidRDefault="00B86318">
            <w:pPr>
              <w:jc w:val="center"/>
              <w:rPr>
                <w:rFonts w:ascii="宋体" w:hAnsi="宋体" w:cs="宋体"/>
                <w:szCs w:val="21"/>
              </w:rPr>
            </w:pPr>
            <w:r>
              <w:rPr>
                <w:rFonts w:ascii="宋体" w:hAnsi="宋体" w:cs="宋体"/>
                <w:szCs w:val="21"/>
              </w:rPr>
              <w:t>3</w:t>
            </w:r>
          </w:p>
        </w:tc>
        <w:tc>
          <w:tcPr>
            <w:tcW w:w="2145" w:type="dxa"/>
            <w:vAlign w:val="center"/>
          </w:tcPr>
          <w:p w:rsidR="001B261E" w:rsidRDefault="00B86318">
            <w:pPr>
              <w:jc w:val="left"/>
              <w:rPr>
                <w:rFonts w:ascii="宋体" w:hAnsi="宋体" w:cs="宋体"/>
                <w:szCs w:val="21"/>
              </w:rPr>
            </w:pPr>
            <w:r>
              <w:rPr>
                <w:rFonts w:ascii="宋体" w:hAnsi="宋体" w:cs="宋体" w:hint="eastAsia"/>
                <w:szCs w:val="21"/>
              </w:rPr>
              <w:t>项目序号</w:t>
            </w:r>
          </w:p>
        </w:tc>
        <w:tc>
          <w:tcPr>
            <w:tcW w:w="5415" w:type="dxa"/>
            <w:vAlign w:val="center"/>
          </w:tcPr>
          <w:p w:rsidR="001B261E" w:rsidRDefault="00B86318">
            <w:pPr>
              <w:jc w:val="left"/>
              <w:rPr>
                <w:rFonts w:ascii="宋体" w:hAnsi="宋体" w:cs="宋体"/>
                <w:szCs w:val="21"/>
              </w:rPr>
            </w:pPr>
            <w:r>
              <w:rPr>
                <w:rFonts w:ascii="宋体" w:hAnsi="宋体" w:cs="宋体" w:hint="eastAsia"/>
                <w:szCs w:val="21"/>
              </w:rPr>
              <w:t>原有序号</w:t>
            </w:r>
          </w:p>
        </w:tc>
        <w:tc>
          <w:tcPr>
            <w:tcW w:w="5827" w:type="dxa"/>
            <w:vAlign w:val="center"/>
          </w:tcPr>
          <w:p w:rsidR="001B261E" w:rsidRDefault="00B86318">
            <w:pPr>
              <w:jc w:val="left"/>
              <w:rPr>
                <w:rFonts w:ascii="宋体" w:hAnsi="宋体" w:cs="宋体"/>
                <w:szCs w:val="21"/>
              </w:rPr>
            </w:pPr>
            <w:r>
              <w:rPr>
                <w:rFonts w:ascii="宋体" w:hAnsi="宋体" w:cs="宋体" w:hint="eastAsia"/>
                <w:szCs w:val="21"/>
              </w:rPr>
              <w:t>根据以下调整情况相应调整有关项目的序号</w:t>
            </w:r>
          </w:p>
        </w:tc>
      </w:tr>
    </w:tbl>
    <w:p w:rsidR="001B261E" w:rsidRDefault="00B86318">
      <w:pPr>
        <w:pStyle w:val="2"/>
        <w:spacing w:before="0" w:after="0" w:line="240" w:lineRule="auto"/>
        <w:ind w:firstLineChars="200" w:firstLine="562"/>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 xml:space="preserve">2. </w:t>
      </w:r>
      <w:r>
        <w:rPr>
          <w:rFonts w:ascii="仿宋_GB2312" w:eastAsia="仿宋_GB2312" w:hAnsi="仿宋_GB2312" w:cs="仿宋_GB2312" w:hint="eastAsia"/>
          <w:sz w:val="28"/>
          <w:szCs w:val="28"/>
        </w:rPr>
        <w:t>权力清单调整的内容</w:t>
      </w:r>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2948"/>
        <w:gridCol w:w="2140"/>
        <w:gridCol w:w="8205"/>
      </w:tblGrid>
      <w:tr w:rsidR="001B261E">
        <w:trPr>
          <w:tblHeader/>
        </w:trPr>
        <w:tc>
          <w:tcPr>
            <w:tcW w:w="832" w:type="dxa"/>
            <w:shd w:val="clear" w:color="auto" w:fill="DBEEF3"/>
            <w:vAlign w:val="center"/>
          </w:tcPr>
          <w:p w:rsidR="001B261E" w:rsidRDefault="00B86318">
            <w:pPr>
              <w:jc w:val="center"/>
              <w:rPr>
                <w:rFonts w:ascii="黑体" w:eastAsia="黑体" w:hAnsi="黑体"/>
                <w:szCs w:val="21"/>
              </w:rPr>
            </w:pPr>
            <w:r>
              <w:rPr>
                <w:rFonts w:ascii="黑体" w:eastAsia="黑体" w:hAnsi="黑体" w:hint="eastAsia"/>
                <w:szCs w:val="21"/>
              </w:rPr>
              <w:t>序号</w:t>
            </w:r>
          </w:p>
        </w:tc>
        <w:tc>
          <w:tcPr>
            <w:tcW w:w="2948" w:type="dxa"/>
            <w:shd w:val="clear" w:color="auto" w:fill="DBEEF3"/>
            <w:vAlign w:val="center"/>
          </w:tcPr>
          <w:p w:rsidR="001B261E" w:rsidRDefault="00B86318">
            <w:pPr>
              <w:jc w:val="center"/>
              <w:rPr>
                <w:rFonts w:ascii="黑体" w:eastAsia="黑体" w:hAnsi="黑体"/>
                <w:szCs w:val="21"/>
              </w:rPr>
            </w:pPr>
            <w:r>
              <w:rPr>
                <w:rFonts w:ascii="黑体" w:eastAsia="黑体" w:hAnsi="黑体" w:hint="eastAsia"/>
                <w:szCs w:val="21"/>
              </w:rPr>
              <w:t>涉及事项</w:t>
            </w:r>
          </w:p>
        </w:tc>
        <w:tc>
          <w:tcPr>
            <w:tcW w:w="2140" w:type="dxa"/>
            <w:shd w:val="clear" w:color="auto" w:fill="DBEEF3"/>
            <w:vAlign w:val="center"/>
          </w:tcPr>
          <w:p w:rsidR="001B261E" w:rsidRDefault="00B86318">
            <w:pPr>
              <w:jc w:val="center"/>
              <w:rPr>
                <w:rFonts w:ascii="黑体" w:eastAsia="黑体" w:hAnsi="黑体"/>
                <w:szCs w:val="21"/>
              </w:rPr>
            </w:pPr>
            <w:r>
              <w:rPr>
                <w:rFonts w:ascii="黑体" w:eastAsia="黑体" w:hAnsi="黑体" w:hint="eastAsia"/>
                <w:szCs w:val="21"/>
              </w:rPr>
              <w:t>调整前</w:t>
            </w:r>
          </w:p>
        </w:tc>
        <w:tc>
          <w:tcPr>
            <w:tcW w:w="8205" w:type="dxa"/>
            <w:shd w:val="clear" w:color="auto" w:fill="DBEEF3"/>
            <w:vAlign w:val="center"/>
          </w:tcPr>
          <w:p w:rsidR="001B261E" w:rsidRDefault="00B86318">
            <w:pPr>
              <w:jc w:val="center"/>
              <w:rPr>
                <w:rFonts w:ascii="黑体" w:eastAsia="黑体" w:hAnsi="黑体"/>
                <w:szCs w:val="21"/>
              </w:rPr>
            </w:pPr>
            <w:r>
              <w:rPr>
                <w:rFonts w:ascii="黑体" w:eastAsia="黑体" w:hAnsi="黑体" w:hint="eastAsia"/>
                <w:szCs w:val="21"/>
              </w:rPr>
              <w:t>调整后</w:t>
            </w:r>
          </w:p>
        </w:tc>
      </w:tr>
      <w:tr w:rsidR="001B261E">
        <w:trPr>
          <w:trHeight w:val="1467"/>
        </w:trPr>
        <w:tc>
          <w:tcPr>
            <w:tcW w:w="832" w:type="dxa"/>
            <w:vAlign w:val="center"/>
          </w:tcPr>
          <w:p w:rsidR="001B261E" w:rsidRDefault="00B86318">
            <w:pPr>
              <w:jc w:val="center"/>
              <w:rPr>
                <w:rFonts w:ascii="宋体" w:hAnsi="宋体" w:cs="宋体"/>
                <w:szCs w:val="21"/>
              </w:rPr>
            </w:pPr>
            <w:r>
              <w:rPr>
                <w:rFonts w:ascii="宋体" w:hAnsi="宋体" w:cs="宋体"/>
                <w:szCs w:val="21"/>
              </w:rPr>
              <w:t>4</w:t>
            </w:r>
          </w:p>
        </w:tc>
        <w:tc>
          <w:tcPr>
            <w:tcW w:w="2948" w:type="dxa"/>
            <w:vAlign w:val="center"/>
          </w:tcPr>
          <w:p w:rsidR="001B261E" w:rsidRDefault="00B86318">
            <w:pPr>
              <w:rPr>
                <w:rFonts w:ascii="宋体" w:hAnsi="宋体" w:cs="宋体"/>
                <w:b/>
                <w:bCs/>
                <w:szCs w:val="21"/>
              </w:rPr>
            </w:pPr>
            <w:r>
              <w:rPr>
                <w:rFonts w:ascii="宋体" w:hAnsi="宋体" w:cs="宋体" w:hint="eastAsia"/>
                <w:szCs w:val="21"/>
              </w:rPr>
              <w:t>权力清单行政职权数量</w:t>
            </w:r>
          </w:p>
        </w:tc>
        <w:tc>
          <w:tcPr>
            <w:tcW w:w="2140" w:type="dxa"/>
            <w:vAlign w:val="center"/>
          </w:tcPr>
          <w:p w:rsidR="001B261E" w:rsidRDefault="00B86318">
            <w:pPr>
              <w:rPr>
                <w:rFonts w:ascii="宋体" w:hAnsi="宋体" w:cs="宋体"/>
                <w:szCs w:val="21"/>
              </w:rPr>
            </w:pPr>
            <w:r>
              <w:rPr>
                <w:rFonts w:ascii="宋体" w:hAnsi="宋体" w:cs="宋体" w:hint="eastAsia"/>
                <w:szCs w:val="21"/>
              </w:rPr>
              <w:t>行政职权事项（68</w:t>
            </w:r>
            <w:r>
              <w:rPr>
                <w:rFonts w:ascii="宋体" w:hAnsi="宋体" w:cs="宋体" w:hint="eastAsia"/>
                <w:szCs w:val="21"/>
              </w:rPr>
              <w:t>项）</w:t>
            </w:r>
          </w:p>
          <w:p w:rsidR="001B261E" w:rsidRDefault="00B86318">
            <w:pPr>
              <w:rPr>
                <w:rFonts w:ascii="宋体" w:hAnsi="宋体" w:cs="宋体"/>
                <w:szCs w:val="21"/>
              </w:rPr>
            </w:pPr>
            <w:r>
              <w:rPr>
                <w:rFonts w:ascii="宋体" w:hAnsi="宋体" w:cs="宋体" w:hint="eastAsia"/>
                <w:szCs w:val="21"/>
              </w:rPr>
              <w:t>行政许可（</w:t>
            </w:r>
            <w:r>
              <w:rPr>
                <w:rFonts w:ascii="宋体" w:hAnsi="宋体" w:cs="宋体"/>
                <w:szCs w:val="21"/>
              </w:rPr>
              <w:t>7</w:t>
            </w:r>
            <w:r>
              <w:rPr>
                <w:rFonts w:ascii="宋体" w:hAnsi="宋体" w:cs="宋体" w:hint="eastAsia"/>
                <w:szCs w:val="21"/>
              </w:rPr>
              <w:t>项）</w:t>
            </w:r>
          </w:p>
        </w:tc>
        <w:tc>
          <w:tcPr>
            <w:tcW w:w="8205" w:type="dxa"/>
            <w:vAlign w:val="center"/>
          </w:tcPr>
          <w:p w:rsidR="001B261E" w:rsidRDefault="00B86318">
            <w:pPr>
              <w:rPr>
                <w:rFonts w:ascii="宋体" w:hAnsi="宋体" w:cs="宋体"/>
                <w:szCs w:val="21"/>
              </w:rPr>
            </w:pPr>
            <w:r>
              <w:rPr>
                <w:rFonts w:ascii="宋体" w:hAnsi="宋体" w:cs="宋体" w:hint="eastAsia"/>
                <w:szCs w:val="21"/>
              </w:rPr>
              <w:t>行政职权事项（67</w:t>
            </w:r>
            <w:bookmarkStart w:id="2" w:name="_GoBack"/>
            <w:bookmarkEnd w:id="2"/>
            <w:r>
              <w:rPr>
                <w:rFonts w:ascii="宋体" w:hAnsi="宋体" w:cs="宋体" w:hint="eastAsia"/>
                <w:szCs w:val="21"/>
              </w:rPr>
              <w:t>项）</w:t>
            </w:r>
          </w:p>
          <w:p w:rsidR="001B261E" w:rsidRDefault="00B86318">
            <w:pPr>
              <w:rPr>
                <w:rFonts w:ascii="宋体" w:hAnsi="宋体" w:cs="宋体"/>
                <w:szCs w:val="21"/>
              </w:rPr>
            </w:pPr>
            <w:bookmarkStart w:id="3" w:name="_Hlk5181428"/>
            <w:r>
              <w:rPr>
                <w:rFonts w:ascii="宋体" w:hAnsi="宋体" w:cs="宋体" w:hint="eastAsia"/>
                <w:szCs w:val="21"/>
              </w:rPr>
              <w:t>行政许可（</w:t>
            </w:r>
            <w:r>
              <w:rPr>
                <w:rFonts w:ascii="宋体" w:hAnsi="宋体" w:cs="宋体"/>
                <w:szCs w:val="21"/>
              </w:rPr>
              <w:t>6</w:t>
            </w:r>
            <w:r>
              <w:rPr>
                <w:rFonts w:ascii="宋体" w:hAnsi="宋体" w:cs="宋体" w:hint="eastAsia"/>
                <w:szCs w:val="21"/>
              </w:rPr>
              <w:t>项）</w:t>
            </w:r>
          </w:p>
          <w:p w:rsidR="001B261E" w:rsidRDefault="00B86318">
            <w:pPr>
              <w:ind w:firstLineChars="200" w:firstLine="420"/>
              <w:rPr>
                <w:rFonts w:ascii="宋体" w:hAnsi="宋体" w:cs="宋体"/>
                <w:bCs/>
                <w:szCs w:val="21"/>
              </w:rPr>
            </w:pPr>
            <w:r>
              <w:rPr>
                <w:rFonts w:ascii="宋体" w:hAnsi="宋体" w:cs="宋体" w:hint="eastAsia"/>
                <w:bCs/>
                <w:szCs w:val="21"/>
              </w:rPr>
              <w:t>（注：删去“国内干线传输网（含广播电视网）项目核准（核准本行政区域内干线传输网（含广播电视网）项目建设的申请）”</w:t>
            </w:r>
            <w:r>
              <w:rPr>
                <w:rFonts w:ascii="宋体" w:hAnsi="宋体" w:cs="宋体" w:hint="eastAsia"/>
                <w:bCs/>
                <w:szCs w:val="21"/>
              </w:rPr>
              <w:t>1</w:t>
            </w:r>
            <w:r>
              <w:rPr>
                <w:rFonts w:ascii="宋体" w:hAnsi="宋体" w:cs="宋体" w:hint="eastAsia"/>
                <w:bCs/>
                <w:szCs w:val="21"/>
              </w:rPr>
              <w:t>项行政许可</w:t>
            </w:r>
            <w:bookmarkEnd w:id="3"/>
            <w:r>
              <w:rPr>
                <w:rFonts w:ascii="宋体" w:hAnsi="宋体" w:cs="宋体" w:hint="eastAsia"/>
                <w:bCs/>
                <w:szCs w:val="21"/>
              </w:rPr>
              <w:t>）</w:t>
            </w:r>
          </w:p>
        </w:tc>
      </w:tr>
      <w:tr w:rsidR="001B261E">
        <w:trPr>
          <w:trHeight w:val="836"/>
        </w:trPr>
        <w:tc>
          <w:tcPr>
            <w:tcW w:w="832" w:type="dxa"/>
            <w:vAlign w:val="center"/>
          </w:tcPr>
          <w:p w:rsidR="001B261E" w:rsidRDefault="00B86318">
            <w:pPr>
              <w:jc w:val="center"/>
              <w:rPr>
                <w:rFonts w:ascii="宋体" w:hAnsi="宋体" w:cs="宋体"/>
                <w:szCs w:val="21"/>
              </w:rPr>
            </w:pPr>
            <w:r>
              <w:rPr>
                <w:rFonts w:ascii="宋体" w:hAnsi="宋体" w:cs="宋体"/>
                <w:szCs w:val="21"/>
              </w:rPr>
              <w:t>5</w:t>
            </w:r>
          </w:p>
        </w:tc>
        <w:tc>
          <w:tcPr>
            <w:tcW w:w="2948" w:type="dxa"/>
            <w:vAlign w:val="center"/>
          </w:tcPr>
          <w:p w:rsidR="001B261E" w:rsidRDefault="00B86318">
            <w:pPr>
              <w:rPr>
                <w:rFonts w:ascii="宋体" w:hAnsi="宋体" w:cs="宋体"/>
                <w:b/>
                <w:bCs/>
                <w:szCs w:val="21"/>
              </w:rPr>
            </w:pPr>
            <w:r>
              <w:rPr>
                <w:rFonts w:ascii="宋体" w:hAnsi="宋体" w:cs="宋体" w:hint="eastAsia"/>
                <w:bCs/>
                <w:szCs w:val="21"/>
              </w:rPr>
              <w:t>行政许可</w:t>
            </w:r>
            <w:r>
              <w:rPr>
                <w:rFonts w:ascii="宋体" w:hAnsi="宋体" w:cs="宋体" w:hint="eastAsia"/>
                <w:szCs w:val="21"/>
              </w:rPr>
              <w:t>第</w:t>
            </w:r>
            <w:r>
              <w:rPr>
                <w:rFonts w:ascii="宋体" w:hAnsi="宋体" w:cs="宋体"/>
                <w:szCs w:val="21"/>
              </w:rPr>
              <w:t>7</w:t>
            </w:r>
            <w:r>
              <w:rPr>
                <w:rFonts w:ascii="宋体" w:hAnsi="宋体" w:cs="宋体" w:hint="eastAsia"/>
                <w:szCs w:val="21"/>
              </w:rPr>
              <w:t>项“国内干线传输网（含广播电视网）项目核准”</w:t>
            </w:r>
          </w:p>
        </w:tc>
        <w:tc>
          <w:tcPr>
            <w:tcW w:w="2140" w:type="dxa"/>
            <w:vAlign w:val="center"/>
          </w:tcPr>
          <w:p w:rsidR="001B261E" w:rsidRDefault="00B86318">
            <w:pPr>
              <w:ind w:firstLineChars="200" w:firstLine="420"/>
              <w:jc w:val="left"/>
              <w:rPr>
                <w:rFonts w:ascii="宋体" w:hAnsi="宋体" w:cs="宋体"/>
                <w:szCs w:val="21"/>
              </w:rPr>
            </w:pPr>
            <w:r>
              <w:rPr>
                <w:rFonts w:ascii="宋体" w:hAnsi="宋体" w:cs="宋体" w:hint="eastAsia"/>
                <w:szCs w:val="21"/>
              </w:rPr>
              <w:t>本项内容</w:t>
            </w:r>
          </w:p>
        </w:tc>
        <w:tc>
          <w:tcPr>
            <w:tcW w:w="8205" w:type="dxa"/>
            <w:vAlign w:val="center"/>
          </w:tcPr>
          <w:p w:rsidR="001B261E" w:rsidRDefault="00B86318">
            <w:pPr>
              <w:ind w:firstLineChars="200" w:firstLine="420"/>
            </w:pPr>
            <w:r>
              <w:rPr>
                <w:rFonts w:hint="eastAsia"/>
              </w:rPr>
              <w:t>删去本项行政许可事项。</w:t>
            </w:r>
          </w:p>
          <w:p w:rsidR="001B261E" w:rsidRDefault="00B86318">
            <w:pPr>
              <w:pStyle w:val="a3"/>
              <w:ind w:firstLineChars="200" w:firstLine="420"/>
            </w:pPr>
            <w:r>
              <w:rPr>
                <w:rFonts w:hint="eastAsia"/>
              </w:rPr>
              <w:t>【依据：《国务院关于取消和下放一批行政许可事项的决定》（国发〔</w:t>
            </w:r>
            <w:r>
              <w:rPr>
                <w:rFonts w:hint="eastAsia"/>
              </w:rPr>
              <w:t>2019</w:t>
            </w:r>
            <w:r>
              <w:rPr>
                <w:rFonts w:hint="eastAsia"/>
              </w:rPr>
              <w:t>〕</w:t>
            </w:r>
            <w:r>
              <w:rPr>
                <w:rFonts w:hint="eastAsia"/>
              </w:rPr>
              <w:t>6</w:t>
            </w:r>
            <w:r>
              <w:rPr>
                <w:rFonts w:hint="eastAsia"/>
              </w:rPr>
              <w:t>号）】</w:t>
            </w:r>
          </w:p>
        </w:tc>
      </w:tr>
    </w:tbl>
    <w:p w:rsidR="001B261E" w:rsidRDefault="00B86318">
      <w:pPr>
        <w:pStyle w:val="2"/>
        <w:spacing w:before="0" w:after="0" w:line="240" w:lineRule="auto"/>
        <w:ind w:firstLineChars="200" w:firstLine="562"/>
        <w:rPr>
          <w:rFonts w:ascii="仿宋_GB2312" w:eastAsia="仿宋_GB2312" w:hAnsi="仿宋_GB2312" w:cs="仿宋_GB2312"/>
          <w:sz w:val="28"/>
          <w:szCs w:val="28"/>
        </w:rPr>
      </w:pPr>
      <w:bookmarkStart w:id="4" w:name="_Toc26695"/>
      <w:bookmarkStart w:id="5" w:name="_Toc8052"/>
      <w:r>
        <w:rPr>
          <w:rFonts w:ascii="仿宋_GB2312" w:eastAsia="仿宋_GB2312" w:hAnsi="仿宋_GB2312" w:cs="仿宋_GB2312" w:hint="eastAsia"/>
          <w:sz w:val="28"/>
          <w:szCs w:val="28"/>
        </w:rPr>
        <w:t xml:space="preserve">3. </w:t>
      </w:r>
      <w:r>
        <w:rPr>
          <w:rFonts w:ascii="仿宋_GB2312" w:eastAsia="仿宋_GB2312" w:hAnsi="仿宋_GB2312" w:cs="仿宋_GB2312" w:hint="eastAsia"/>
          <w:sz w:val="28"/>
          <w:szCs w:val="28"/>
        </w:rPr>
        <w:t>责任清单调整的内容</w:t>
      </w:r>
      <w:bookmarkEnd w:id="4"/>
      <w:bookmarkEnd w:id="5"/>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935"/>
        <w:gridCol w:w="2140"/>
        <w:gridCol w:w="8205"/>
      </w:tblGrid>
      <w:tr w:rsidR="001B261E">
        <w:trPr>
          <w:tblHeader/>
        </w:trPr>
        <w:tc>
          <w:tcPr>
            <w:tcW w:w="845" w:type="dxa"/>
            <w:shd w:val="clear" w:color="auto" w:fill="DBEEF3"/>
            <w:vAlign w:val="center"/>
          </w:tcPr>
          <w:p w:rsidR="001B261E" w:rsidRDefault="00B86318">
            <w:pPr>
              <w:jc w:val="center"/>
              <w:rPr>
                <w:rFonts w:ascii="黑体" w:eastAsia="黑体" w:hAnsi="黑体"/>
                <w:szCs w:val="21"/>
              </w:rPr>
            </w:pPr>
            <w:r>
              <w:rPr>
                <w:rFonts w:ascii="黑体" w:eastAsia="黑体" w:hAnsi="黑体" w:hint="eastAsia"/>
                <w:szCs w:val="21"/>
              </w:rPr>
              <w:t>序号</w:t>
            </w:r>
          </w:p>
        </w:tc>
        <w:tc>
          <w:tcPr>
            <w:tcW w:w="2935" w:type="dxa"/>
            <w:shd w:val="clear" w:color="auto" w:fill="DBEEF3"/>
            <w:vAlign w:val="center"/>
          </w:tcPr>
          <w:p w:rsidR="001B261E" w:rsidRDefault="00B86318">
            <w:pPr>
              <w:jc w:val="center"/>
              <w:rPr>
                <w:rFonts w:ascii="黑体" w:eastAsia="黑体" w:hAnsi="黑体"/>
                <w:szCs w:val="21"/>
              </w:rPr>
            </w:pPr>
            <w:r>
              <w:rPr>
                <w:rFonts w:ascii="黑体" w:eastAsia="黑体" w:hAnsi="黑体" w:hint="eastAsia"/>
                <w:szCs w:val="21"/>
              </w:rPr>
              <w:t>涉及事项</w:t>
            </w:r>
          </w:p>
        </w:tc>
        <w:tc>
          <w:tcPr>
            <w:tcW w:w="2140" w:type="dxa"/>
            <w:shd w:val="clear" w:color="auto" w:fill="DBEEF3"/>
            <w:vAlign w:val="center"/>
          </w:tcPr>
          <w:p w:rsidR="001B261E" w:rsidRDefault="00B86318">
            <w:pPr>
              <w:jc w:val="center"/>
              <w:rPr>
                <w:rFonts w:ascii="黑体" w:eastAsia="黑体" w:hAnsi="黑体"/>
                <w:b/>
                <w:szCs w:val="21"/>
              </w:rPr>
            </w:pPr>
            <w:r>
              <w:rPr>
                <w:rFonts w:ascii="黑体" w:eastAsia="黑体" w:hAnsi="黑体" w:hint="eastAsia"/>
                <w:b/>
                <w:szCs w:val="21"/>
              </w:rPr>
              <w:t>调整前</w:t>
            </w:r>
          </w:p>
        </w:tc>
        <w:tc>
          <w:tcPr>
            <w:tcW w:w="8205" w:type="dxa"/>
            <w:shd w:val="clear" w:color="auto" w:fill="DBEEF3"/>
            <w:vAlign w:val="center"/>
          </w:tcPr>
          <w:p w:rsidR="001B261E" w:rsidRDefault="00B86318">
            <w:pPr>
              <w:jc w:val="center"/>
              <w:rPr>
                <w:rFonts w:ascii="黑体" w:eastAsia="黑体" w:hAnsi="黑体"/>
                <w:szCs w:val="21"/>
              </w:rPr>
            </w:pPr>
            <w:r>
              <w:rPr>
                <w:rFonts w:ascii="黑体" w:eastAsia="黑体" w:hAnsi="黑体" w:hint="eastAsia"/>
                <w:szCs w:val="21"/>
              </w:rPr>
              <w:t>调整后</w:t>
            </w:r>
          </w:p>
        </w:tc>
      </w:tr>
      <w:tr w:rsidR="001B261E">
        <w:trPr>
          <w:trHeight w:val="2835"/>
        </w:trPr>
        <w:tc>
          <w:tcPr>
            <w:tcW w:w="845" w:type="dxa"/>
            <w:vAlign w:val="center"/>
          </w:tcPr>
          <w:p w:rsidR="001B261E" w:rsidRDefault="00B86318">
            <w:pPr>
              <w:jc w:val="center"/>
              <w:rPr>
                <w:rFonts w:ascii="宋体" w:hAnsi="宋体" w:cs="宋体"/>
                <w:szCs w:val="21"/>
              </w:rPr>
            </w:pPr>
            <w:r>
              <w:rPr>
                <w:rFonts w:ascii="宋体" w:hAnsi="宋体" w:cs="宋体"/>
                <w:szCs w:val="21"/>
              </w:rPr>
              <w:t>6</w:t>
            </w:r>
          </w:p>
        </w:tc>
        <w:tc>
          <w:tcPr>
            <w:tcW w:w="2935" w:type="dxa"/>
            <w:vAlign w:val="center"/>
          </w:tcPr>
          <w:p w:rsidR="001B261E" w:rsidRDefault="00B86318">
            <w:pPr>
              <w:rPr>
                <w:rFonts w:ascii="宋体" w:hAnsi="宋体" w:cs="宋体"/>
                <w:szCs w:val="21"/>
              </w:rPr>
            </w:pPr>
            <w:r>
              <w:rPr>
                <w:rFonts w:ascii="宋体" w:hAnsi="宋体" w:cs="宋体" w:hint="eastAsia"/>
                <w:szCs w:val="21"/>
              </w:rPr>
              <w:t>责任清单（一）通信管理局的主要职责，第</w:t>
            </w:r>
            <w:r>
              <w:rPr>
                <w:rFonts w:ascii="宋体" w:hAnsi="宋体" w:cs="宋体"/>
                <w:szCs w:val="21"/>
              </w:rPr>
              <w:t>7</w:t>
            </w:r>
            <w:r>
              <w:rPr>
                <w:rFonts w:ascii="宋体" w:hAnsi="宋体" w:cs="宋体" w:hint="eastAsia"/>
                <w:szCs w:val="21"/>
              </w:rPr>
              <w:t>项“依法监督管理本地区电信和互联网等信息服务市场，承担移动智能终端应用管理相关工作。”</w:t>
            </w:r>
          </w:p>
        </w:tc>
        <w:tc>
          <w:tcPr>
            <w:tcW w:w="2140" w:type="dxa"/>
            <w:vAlign w:val="center"/>
          </w:tcPr>
          <w:p w:rsidR="001B261E" w:rsidRDefault="001B261E">
            <w:pPr>
              <w:ind w:firstLineChars="200" w:firstLine="420"/>
              <w:rPr>
                <w:rFonts w:ascii="宋体" w:hAnsi="宋体" w:cs="宋体"/>
                <w:szCs w:val="21"/>
              </w:rPr>
            </w:pPr>
          </w:p>
        </w:tc>
        <w:tc>
          <w:tcPr>
            <w:tcW w:w="8205" w:type="dxa"/>
            <w:vAlign w:val="center"/>
          </w:tcPr>
          <w:p w:rsidR="001B261E" w:rsidRDefault="00B86318">
            <w:pPr>
              <w:rPr>
                <w:rFonts w:ascii="宋体" w:hAnsi="宋体" w:cs="宋体"/>
                <w:szCs w:val="21"/>
              </w:rPr>
            </w:pPr>
            <w:r>
              <w:rPr>
                <w:rFonts w:ascii="宋体" w:hAnsi="宋体" w:cs="宋体" w:hint="eastAsia"/>
                <w:szCs w:val="21"/>
              </w:rPr>
              <w:t>具体工作事项中增加：</w:t>
            </w:r>
          </w:p>
          <w:p w:rsidR="001B261E" w:rsidRDefault="00B86318">
            <w:pPr>
              <w:ind w:firstLineChars="200" w:firstLine="422"/>
              <w:rPr>
                <w:rFonts w:ascii="宋体" w:hAnsi="宋体" w:cs="宋体"/>
                <w:b/>
                <w:bCs/>
                <w:szCs w:val="21"/>
              </w:rPr>
            </w:pPr>
            <w:r>
              <w:rPr>
                <w:rFonts w:ascii="宋体" w:hAnsi="宋体" w:cs="宋体" w:hint="eastAsia"/>
                <w:b/>
                <w:bCs/>
                <w:szCs w:val="21"/>
              </w:rPr>
              <w:t>《工业和信息化部关于做好电信业务经营不良名单和失信名单管理工作的通知》（工信部信管〔</w:t>
            </w:r>
            <w:r>
              <w:rPr>
                <w:rFonts w:ascii="宋体" w:hAnsi="宋体" w:cs="宋体" w:hint="eastAsia"/>
                <w:b/>
                <w:bCs/>
                <w:szCs w:val="21"/>
              </w:rPr>
              <w:t>2018</w:t>
            </w:r>
            <w:r>
              <w:rPr>
                <w:rFonts w:ascii="宋体" w:hAnsi="宋体" w:cs="宋体" w:hint="eastAsia"/>
                <w:b/>
                <w:bCs/>
                <w:szCs w:val="21"/>
              </w:rPr>
              <w:t>〕</w:t>
            </w:r>
            <w:r>
              <w:rPr>
                <w:rFonts w:ascii="宋体" w:hAnsi="宋体" w:cs="宋体" w:hint="eastAsia"/>
                <w:b/>
                <w:bCs/>
                <w:szCs w:val="21"/>
              </w:rPr>
              <w:t>54</w:t>
            </w:r>
            <w:r>
              <w:rPr>
                <w:rFonts w:ascii="宋体" w:hAnsi="宋体" w:cs="宋体" w:hint="eastAsia"/>
                <w:b/>
                <w:bCs/>
                <w:szCs w:val="21"/>
              </w:rPr>
              <w:t>号）</w:t>
            </w:r>
            <w:r>
              <w:rPr>
                <w:rFonts w:ascii="宋体" w:hAnsi="宋体" w:cs="宋体" w:hint="eastAsia"/>
                <w:bCs/>
                <w:szCs w:val="21"/>
              </w:rPr>
              <w:t>：“一、工业和信息化部统筹全国信息通信行业信用体系建设和信用管理工作。各省、自治区、直辖市通信管理局负责属地信息通信行业信用体系建设和信用管理工作，并配合违法行为发生地通信管理局对相关主体实施信用管理。”</w:t>
            </w:r>
          </w:p>
        </w:tc>
      </w:tr>
      <w:tr w:rsidR="001B261E">
        <w:trPr>
          <w:trHeight w:val="2366"/>
        </w:trPr>
        <w:tc>
          <w:tcPr>
            <w:tcW w:w="845" w:type="dxa"/>
            <w:vAlign w:val="center"/>
          </w:tcPr>
          <w:p w:rsidR="001B261E" w:rsidRDefault="00B86318">
            <w:pPr>
              <w:jc w:val="center"/>
              <w:rPr>
                <w:rFonts w:ascii="宋体" w:hAnsi="宋体" w:cs="宋体"/>
                <w:szCs w:val="21"/>
              </w:rPr>
            </w:pPr>
            <w:r>
              <w:rPr>
                <w:rFonts w:ascii="宋体" w:hAnsi="宋体" w:cs="宋体" w:hint="eastAsia"/>
                <w:szCs w:val="21"/>
              </w:rPr>
              <w:lastRenderedPageBreak/>
              <w:t>7</w:t>
            </w:r>
          </w:p>
        </w:tc>
        <w:tc>
          <w:tcPr>
            <w:tcW w:w="2935" w:type="dxa"/>
            <w:vAlign w:val="center"/>
          </w:tcPr>
          <w:p w:rsidR="001B261E" w:rsidRDefault="00B86318">
            <w:pPr>
              <w:rPr>
                <w:rFonts w:ascii="宋体" w:hAnsi="宋体" w:cs="宋体"/>
                <w:szCs w:val="21"/>
              </w:rPr>
            </w:pPr>
            <w:r>
              <w:rPr>
                <w:rFonts w:ascii="宋体" w:hAnsi="宋体" w:cs="宋体" w:hint="eastAsia"/>
                <w:szCs w:val="21"/>
              </w:rPr>
              <w:t>责任清单（一）通信管理局的主要职责，第</w:t>
            </w:r>
            <w:r>
              <w:rPr>
                <w:rFonts w:ascii="宋体" w:hAnsi="宋体" w:cs="宋体"/>
                <w:szCs w:val="21"/>
              </w:rPr>
              <w:t>8</w:t>
            </w:r>
            <w:r>
              <w:rPr>
                <w:rFonts w:ascii="宋体" w:hAnsi="宋体" w:cs="宋体" w:hint="eastAsia"/>
                <w:szCs w:val="21"/>
              </w:rPr>
              <w:t>项“会同有关部门监督管理电信服务资费和质量。”</w:t>
            </w:r>
          </w:p>
        </w:tc>
        <w:tc>
          <w:tcPr>
            <w:tcW w:w="2140" w:type="dxa"/>
            <w:vAlign w:val="center"/>
          </w:tcPr>
          <w:p w:rsidR="001B261E" w:rsidRDefault="001B261E">
            <w:pPr>
              <w:ind w:firstLineChars="200" w:firstLine="420"/>
              <w:rPr>
                <w:rFonts w:ascii="宋体" w:hAnsi="宋体" w:cs="宋体"/>
                <w:szCs w:val="21"/>
              </w:rPr>
            </w:pPr>
          </w:p>
        </w:tc>
        <w:tc>
          <w:tcPr>
            <w:tcW w:w="8205" w:type="dxa"/>
            <w:vAlign w:val="center"/>
          </w:tcPr>
          <w:p w:rsidR="001B261E" w:rsidRDefault="00B86318">
            <w:pPr>
              <w:rPr>
                <w:rFonts w:ascii="宋体" w:hAnsi="宋体" w:cs="宋体"/>
                <w:bCs/>
                <w:szCs w:val="21"/>
              </w:rPr>
            </w:pPr>
            <w:r>
              <w:rPr>
                <w:rFonts w:ascii="宋体" w:hAnsi="宋体" w:cs="宋体" w:hint="eastAsia"/>
                <w:bCs/>
                <w:szCs w:val="21"/>
              </w:rPr>
              <w:t>具体工作事项中增加：</w:t>
            </w:r>
          </w:p>
          <w:p w:rsidR="001B261E" w:rsidRDefault="00B86318">
            <w:pPr>
              <w:pStyle w:val="a3"/>
              <w:ind w:firstLineChars="200" w:firstLine="422"/>
            </w:pPr>
            <w:r>
              <w:rPr>
                <w:rFonts w:hint="eastAsia"/>
                <w:b/>
              </w:rPr>
              <w:t>《工业和信息化部关于进一步规范电信资费营销行为的通知》（工信部通信函〔</w:t>
            </w:r>
            <w:r>
              <w:rPr>
                <w:rFonts w:hint="eastAsia"/>
                <w:b/>
              </w:rPr>
              <w:t>2018</w:t>
            </w:r>
            <w:r>
              <w:rPr>
                <w:rFonts w:hint="eastAsia"/>
                <w:b/>
              </w:rPr>
              <w:t>〕</w:t>
            </w:r>
            <w:r>
              <w:rPr>
                <w:rFonts w:hint="eastAsia"/>
                <w:b/>
              </w:rPr>
              <w:t>276</w:t>
            </w:r>
            <w:r>
              <w:rPr>
                <w:rFonts w:hint="eastAsia"/>
                <w:b/>
              </w:rPr>
              <w:t>号）</w:t>
            </w:r>
            <w:r>
              <w:rPr>
                <w:rFonts w:hint="eastAsia"/>
              </w:rPr>
              <w:t>：“八、各省、自治区、直辖市通信管理局应按照上述要求，鼓励本辖区内电信业务经营者推出符合用户需求的资费方案，加强对资费公示情况等的监督检查，充分发挥社会监督作用，切实规范电信业务经营者资费营销行为，维护用户合法权益。”</w:t>
            </w:r>
          </w:p>
        </w:tc>
      </w:tr>
    </w:tbl>
    <w:p w:rsidR="001B261E" w:rsidRDefault="00B86318">
      <w:pPr>
        <w:pStyle w:val="2"/>
        <w:numPr>
          <w:ilvl w:val="0"/>
          <w:numId w:val="1"/>
        </w:numPr>
        <w:spacing w:before="0" w:after="0" w:line="24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附加说明</w:t>
      </w:r>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248"/>
        <w:gridCol w:w="5812"/>
        <w:gridCol w:w="6220"/>
      </w:tblGrid>
      <w:tr w:rsidR="001B261E">
        <w:trPr>
          <w:tblHeader/>
        </w:trPr>
        <w:tc>
          <w:tcPr>
            <w:tcW w:w="845" w:type="dxa"/>
            <w:shd w:val="clear" w:color="auto" w:fill="DBEEF3"/>
            <w:vAlign w:val="center"/>
          </w:tcPr>
          <w:p w:rsidR="001B261E" w:rsidRDefault="00B86318">
            <w:pPr>
              <w:jc w:val="center"/>
              <w:rPr>
                <w:rFonts w:ascii="黑体" w:eastAsia="黑体" w:hAnsi="黑体"/>
                <w:szCs w:val="21"/>
              </w:rPr>
            </w:pPr>
            <w:r>
              <w:rPr>
                <w:rFonts w:ascii="黑体" w:eastAsia="黑体" w:hAnsi="黑体" w:hint="eastAsia"/>
                <w:szCs w:val="21"/>
              </w:rPr>
              <w:t>序号</w:t>
            </w:r>
          </w:p>
        </w:tc>
        <w:tc>
          <w:tcPr>
            <w:tcW w:w="1248" w:type="dxa"/>
            <w:shd w:val="clear" w:color="auto" w:fill="DBEEF3"/>
            <w:vAlign w:val="center"/>
          </w:tcPr>
          <w:p w:rsidR="001B261E" w:rsidRDefault="00B86318">
            <w:pPr>
              <w:jc w:val="center"/>
              <w:rPr>
                <w:rFonts w:ascii="黑体" w:eastAsia="黑体" w:hAnsi="黑体"/>
                <w:szCs w:val="21"/>
              </w:rPr>
            </w:pPr>
            <w:r>
              <w:rPr>
                <w:rFonts w:ascii="黑体" w:eastAsia="黑体" w:hAnsi="黑体" w:hint="eastAsia"/>
                <w:szCs w:val="21"/>
              </w:rPr>
              <w:t>涉及事项</w:t>
            </w:r>
          </w:p>
        </w:tc>
        <w:tc>
          <w:tcPr>
            <w:tcW w:w="5812" w:type="dxa"/>
            <w:shd w:val="clear" w:color="auto" w:fill="DBEEF3"/>
            <w:vAlign w:val="center"/>
          </w:tcPr>
          <w:p w:rsidR="001B261E" w:rsidRDefault="00B86318">
            <w:pPr>
              <w:jc w:val="center"/>
              <w:rPr>
                <w:rFonts w:ascii="黑体" w:eastAsia="黑体" w:hAnsi="黑体"/>
                <w:b/>
                <w:szCs w:val="21"/>
              </w:rPr>
            </w:pPr>
            <w:r>
              <w:rPr>
                <w:rFonts w:ascii="黑体" w:eastAsia="黑体" w:hAnsi="黑体" w:hint="eastAsia"/>
                <w:b/>
                <w:szCs w:val="21"/>
              </w:rPr>
              <w:t>调整前</w:t>
            </w:r>
          </w:p>
        </w:tc>
        <w:tc>
          <w:tcPr>
            <w:tcW w:w="6220" w:type="dxa"/>
            <w:shd w:val="clear" w:color="auto" w:fill="DBEEF3"/>
            <w:vAlign w:val="center"/>
          </w:tcPr>
          <w:p w:rsidR="001B261E" w:rsidRDefault="00B86318">
            <w:pPr>
              <w:jc w:val="center"/>
              <w:rPr>
                <w:rFonts w:ascii="黑体" w:eastAsia="黑体" w:hAnsi="黑体"/>
                <w:szCs w:val="21"/>
              </w:rPr>
            </w:pPr>
            <w:r>
              <w:rPr>
                <w:rFonts w:ascii="黑体" w:eastAsia="黑体" w:hAnsi="黑体" w:hint="eastAsia"/>
                <w:szCs w:val="21"/>
              </w:rPr>
              <w:t>调整后</w:t>
            </w:r>
          </w:p>
        </w:tc>
      </w:tr>
      <w:tr w:rsidR="001B261E">
        <w:trPr>
          <w:trHeight w:val="4095"/>
        </w:trPr>
        <w:tc>
          <w:tcPr>
            <w:tcW w:w="845" w:type="dxa"/>
            <w:vAlign w:val="center"/>
          </w:tcPr>
          <w:p w:rsidR="001B261E" w:rsidRDefault="00B86318">
            <w:pPr>
              <w:jc w:val="center"/>
              <w:rPr>
                <w:rFonts w:ascii="宋体" w:hAnsi="宋体" w:cs="宋体"/>
                <w:szCs w:val="21"/>
              </w:rPr>
            </w:pPr>
            <w:r>
              <w:rPr>
                <w:rFonts w:ascii="宋体" w:hAnsi="宋体" w:cs="宋体"/>
                <w:szCs w:val="21"/>
              </w:rPr>
              <w:t>8</w:t>
            </w:r>
          </w:p>
        </w:tc>
        <w:tc>
          <w:tcPr>
            <w:tcW w:w="1248" w:type="dxa"/>
            <w:vAlign w:val="center"/>
          </w:tcPr>
          <w:p w:rsidR="001B261E" w:rsidRDefault="00B86318">
            <w:pPr>
              <w:rPr>
                <w:rFonts w:ascii="宋体" w:hAnsi="宋体" w:cs="宋体"/>
                <w:szCs w:val="21"/>
              </w:rPr>
            </w:pPr>
            <w:r>
              <w:rPr>
                <w:rFonts w:ascii="宋体" w:hAnsi="宋体" w:cs="宋体" w:hint="eastAsia"/>
                <w:szCs w:val="21"/>
              </w:rPr>
              <w:t>附加说明</w:t>
            </w:r>
          </w:p>
        </w:tc>
        <w:tc>
          <w:tcPr>
            <w:tcW w:w="5812" w:type="dxa"/>
            <w:vAlign w:val="center"/>
          </w:tcPr>
          <w:p w:rsidR="001B261E" w:rsidRDefault="00B86318">
            <w:pPr>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、本清单（</w:t>
            </w:r>
            <w:r>
              <w:rPr>
                <w:rFonts w:ascii="宋体" w:hAnsi="宋体" w:cs="宋体" w:hint="eastAsia"/>
                <w:szCs w:val="21"/>
              </w:rPr>
              <w:t>2018</w:t>
            </w:r>
            <w:r>
              <w:rPr>
                <w:rFonts w:ascii="宋体" w:hAnsi="宋体" w:cs="宋体" w:hint="eastAsia"/>
                <w:szCs w:val="21"/>
              </w:rPr>
              <w:t>年版）系根据上一版清单发布之日起至</w:t>
            </w:r>
            <w:r>
              <w:rPr>
                <w:rFonts w:ascii="宋体" w:hAnsi="宋体" w:cs="宋体" w:hint="eastAsia"/>
                <w:szCs w:val="21"/>
              </w:rPr>
              <w:t>2017</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31</w:t>
            </w:r>
            <w:r>
              <w:rPr>
                <w:rFonts w:ascii="宋体" w:hAnsi="宋体" w:cs="宋体" w:hint="eastAsia"/>
                <w:szCs w:val="21"/>
              </w:rPr>
              <w:t>日期间相关法律法规规章、规范性文件等的立、改、废、释情况，以及机构和职能调整等情况，在对上一版清单相关内容进行修订的基础上形成。</w:t>
            </w:r>
          </w:p>
          <w:p w:rsidR="001B261E" w:rsidRDefault="00B86318">
            <w:pPr>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、考虑到</w:t>
            </w:r>
            <w:r>
              <w:rPr>
                <w:rFonts w:ascii="宋体" w:hAnsi="宋体" w:cs="宋体" w:hint="eastAsia"/>
                <w:szCs w:val="21"/>
              </w:rPr>
              <w:t>2018</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17</w:t>
            </w:r>
            <w:r>
              <w:rPr>
                <w:rFonts w:ascii="宋体" w:hAnsi="宋体" w:cs="宋体" w:hint="eastAsia"/>
                <w:szCs w:val="21"/>
              </w:rPr>
              <w:t>日发布的《通信建设工程质量监督管理规定》（</w:t>
            </w:r>
            <w:r>
              <w:rPr>
                <w:rFonts w:ascii="宋体" w:hAnsi="宋体" w:cs="宋体" w:hint="eastAsia"/>
                <w:szCs w:val="21"/>
              </w:rPr>
              <w:t>2018</w:t>
            </w:r>
            <w:r>
              <w:rPr>
                <w:rFonts w:ascii="宋体" w:hAnsi="宋体" w:cs="宋体" w:hint="eastAsia"/>
                <w:szCs w:val="21"/>
              </w:rPr>
              <w:t>年工业和信息化部令第</w:t>
            </w:r>
            <w:r>
              <w:rPr>
                <w:rFonts w:ascii="宋体" w:hAnsi="宋体" w:cs="宋体" w:hint="eastAsia"/>
                <w:szCs w:val="21"/>
              </w:rPr>
              <w:t>47</w:t>
            </w:r>
            <w:r>
              <w:rPr>
                <w:rFonts w:ascii="宋体" w:hAnsi="宋体" w:cs="宋体" w:hint="eastAsia"/>
                <w:szCs w:val="21"/>
              </w:rPr>
              <w:t>号）和</w:t>
            </w:r>
            <w:r>
              <w:rPr>
                <w:rFonts w:ascii="宋体" w:hAnsi="宋体" w:cs="宋体" w:hint="eastAsia"/>
                <w:szCs w:val="21"/>
              </w:rPr>
              <w:t>2018</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19</w:t>
            </w:r>
            <w:r>
              <w:rPr>
                <w:rFonts w:ascii="宋体" w:hAnsi="宋体" w:cs="宋体" w:hint="eastAsia"/>
                <w:szCs w:val="21"/>
              </w:rPr>
              <w:t>日发布的《工业和信息化部关于深化宽带接入网业务开放试点的通告》（工信部通信函〔</w:t>
            </w:r>
            <w:r>
              <w:rPr>
                <w:rFonts w:ascii="宋体" w:hAnsi="宋体" w:cs="宋体" w:hint="eastAsia"/>
                <w:szCs w:val="21"/>
              </w:rPr>
              <w:t>2018</w:t>
            </w:r>
            <w:r>
              <w:rPr>
                <w:rFonts w:ascii="宋体" w:hAnsi="宋体" w:cs="宋体" w:hint="eastAsia"/>
                <w:szCs w:val="21"/>
              </w:rPr>
              <w:t>〕</w:t>
            </w:r>
            <w:r>
              <w:rPr>
                <w:rFonts w:ascii="宋体" w:hAnsi="宋体" w:cs="宋体" w:hint="eastAsia"/>
                <w:szCs w:val="21"/>
              </w:rPr>
              <w:t>220</w:t>
            </w:r>
            <w:r>
              <w:rPr>
                <w:rFonts w:ascii="宋体" w:hAnsi="宋体" w:cs="宋体" w:hint="eastAsia"/>
                <w:szCs w:val="21"/>
              </w:rPr>
              <w:t>号）是通信管理局行政执法的重要依据和权责事项的重大调整，为更好地体现权责清单的时效性，确</w:t>
            </w:r>
            <w:r>
              <w:rPr>
                <w:rFonts w:ascii="宋体" w:hAnsi="宋体" w:cs="宋体" w:hint="eastAsia"/>
                <w:szCs w:val="21"/>
              </w:rPr>
              <w:t>保清单的有效实施，本版清单相关内容已作相应调整。</w:t>
            </w:r>
          </w:p>
        </w:tc>
        <w:tc>
          <w:tcPr>
            <w:tcW w:w="6220" w:type="dxa"/>
            <w:vAlign w:val="center"/>
          </w:tcPr>
          <w:p w:rsidR="001B261E" w:rsidRDefault="00B86318">
            <w:pPr>
              <w:pStyle w:val="a3"/>
              <w:spacing w:after="0"/>
              <w:ind w:firstLineChars="200" w:firstLine="420"/>
            </w:pPr>
            <w:bookmarkStart w:id="6" w:name="_Hlk5185848"/>
            <w:r>
              <w:rPr>
                <w:rFonts w:hint="eastAsia"/>
              </w:rPr>
              <w:t>1</w:t>
            </w:r>
            <w:r>
              <w:rPr>
                <w:rFonts w:hint="eastAsia"/>
              </w:rPr>
              <w:t>、本清单（</w:t>
            </w:r>
            <w:r>
              <w:rPr>
                <w:rFonts w:hint="eastAsia"/>
              </w:rPr>
              <w:t>201</w:t>
            </w:r>
            <w:r>
              <w:t>9</w:t>
            </w:r>
            <w:r>
              <w:rPr>
                <w:rFonts w:hint="eastAsia"/>
              </w:rPr>
              <w:t>年版）系根据上一版清单发布之日起至</w:t>
            </w:r>
            <w:r>
              <w:rPr>
                <w:rFonts w:hint="eastAsia"/>
              </w:rPr>
              <w:t>201</w:t>
            </w:r>
            <w:r>
              <w:t>8</w:t>
            </w:r>
            <w:r>
              <w:rPr>
                <w:rFonts w:hint="eastAsia"/>
              </w:rPr>
              <w:t>年</w:t>
            </w:r>
            <w:r>
              <w:rPr>
                <w:rFonts w:hint="eastAsia"/>
              </w:rPr>
              <w:t>12</w:t>
            </w:r>
            <w:r>
              <w:rPr>
                <w:rFonts w:hint="eastAsia"/>
              </w:rPr>
              <w:t>月</w:t>
            </w:r>
            <w:r>
              <w:rPr>
                <w:rFonts w:hint="eastAsia"/>
              </w:rPr>
              <w:t>31</w:t>
            </w:r>
            <w:r>
              <w:rPr>
                <w:rFonts w:hint="eastAsia"/>
              </w:rPr>
              <w:t>日期间相关法律法规规章、规范性文件等的立、改、废、释情况，以及机构和职能调整等情况，在对上一版清单相关内容进行修订的基础上形成。</w:t>
            </w:r>
          </w:p>
          <w:p w:rsidR="001B261E" w:rsidRDefault="00B86318">
            <w:pPr>
              <w:pStyle w:val="a3"/>
              <w:spacing w:after="0"/>
              <w:ind w:firstLineChars="200" w:firstLine="420"/>
            </w:pPr>
            <w:r>
              <w:rPr>
                <w:rFonts w:ascii="宋体" w:hAnsi="宋体" w:cs="宋体" w:hint="eastAsia"/>
                <w:szCs w:val="21"/>
              </w:rPr>
              <w:t>2</w:t>
            </w:r>
            <w:r>
              <w:rPr>
                <w:rFonts w:ascii="宋体" w:hAnsi="宋体" w:cs="宋体" w:hint="eastAsia"/>
                <w:szCs w:val="21"/>
              </w:rPr>
              <w:t>、考虑到</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w:t>
            </w:r>
            <w:r>
              <w:rPr>
                <w:rFonts w:ascii="宋体" w:hAnsi="宋体" w:cs="宋体" w:hint="eastAsia"/>
                <w:szCs w:val="21"/>
              </w:rPr>
              <w:t>27</w:t>
            </w:r>
            <w:r>
              <w:rPr>
                <w:rFonts w:ascii="宋体" w:hAnsi="宋体" w:cs="宋体" w:hint="eastAsia"/>
                <w:szCs w:val="21"/>
              </w:rPr>
              <w:t>日《国务院关于取消和下放一批行政许可事项的决定》（国发〔</w:t>
            </w:r>
            <w:r>
              <w:rPr>
                <w:rFonts w:ascii="宋体" w:hAnsi="宋体" w:cs="宋体" w:hint="eastAsia"/>
                <w:szCs w:val="21"/>
              </w:rPr>
              <w:t>2019</w:t>
            </w:r>
            <w:r>
              <w:rPr>
                <w:rFonts w:ascii="宋体" w:hAnsi="宋体" w:cs="宋体" w:hint="eastAsia"/>
                <w:szCs w:val="21"/>
              </w:rPr>
              <w:t>〕</w:t>
            </w:r>
            <w:r>
              <w:rPr>
                <w:rFonts w:ascii="宋体" w:hAnsi="宋体" w:cs="宋体" w:hint="eastAsia"/>
                <w:szCs w:val="21"/>
              </w:rPr>
              <w:t>6</w:t>
            </w:r>
            <w:r>
              <w:rPr>
                <w:rFonts w:ascii="宋体" w:hAnsi="宋体" w:cs="宋体" w:hint="eastAsia"/>
                <w:szCs w:val="21"/>
              </w:rPr>
              <w:t>号）取消了“国内干线传输网（含广播电视网）建设项目核准”，是通信管理局权责事项的重大调整，为更好地体现权责清单的时效性，确保清单的有效实施，本版清单相关内容已作相</w:t>
            </w:r>
            <w:r>
              <w:rPr>
                <w:rFonts w:ascii="宋体" w:hAnsi="宋体" w:cs="宋体" w:hint="eastAsia"/>
                <w:szCs w:val="21"/>
              </w:rPr>
              <w:t>应调整。</w:t>
            </w:r>
            <w:bookmarkEnd w:id="6"/>
          </w:p>
        </w:tc>
      </w:tr>
    </w:tbl>
    <w:p w:rsidR="001B261E" w:rsidRDefault="001B261E">
      <w:pPr>
        <w:sectPr w:rsidR="001B261E">
          <w:footerReference w:type="default" r:id="rId9"/>
          <w:pgSz w:w="16838" w:h="11906" w:orient="landscape"/>
          <w:pgMar w:top="1800" w:right="1440" w:bottom="1800" w:left="1440" w:header="851" w:footer="992" w:gutter="0"/>
          <w:cols w:space="425"/>
          <w:docGrid w:type="lines" w:linePitch="312"/>
        </w:sectPr>
      </w:pPr>
    </w:p>
    <w:p w:rsidR="001B261E" w:rsidRDefault="00B86318">
      <w:pPr>
        <w:pStyle w:val="2"/>
        <w:spacing w:before="0" w:after="0" w:line="240" w:lineRule="auto"/>
        <w:ind w:firstLineChars="200" w:firstLine="562"/>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 xml:space="preserve">5. </w:t>
      </w:r>
      <w:r>
        <w:rPr>
          <w:rFonts w:ascii="仿宋_GB2312" w:eastAsia="仿宋_GB2312" w:hAnsi="仿宋_GB2312" w:cs="仿宋_GB2312" w:hint="eastAsia"/>
          <w:sz w:val="28"/>
          <w:szCs w:val="28"/>
        </w:rPr>
        <w:t>行政职权运行流程图调整的内容</w:t>
      </w:r>
    </w:p>
    <w:p w:rsidR="001B261E" w:rsidRDefault="00B86318">
      <w:pPr>
        <w:ind w:firstLineChars="200" w:firstLine="560"/>
        <w:rPr>
          <w:rFonts w:ascii="仿宋_GB2312" w:eastAsia="仿宋_GB2312"/>
          <w:bCs/>
          <w:sz w:val="28"/>
          <w:szCs w:val="28"/>
        </w:rPr>
      </w:pPr>
      <w:r>
        <w:rPr>
          <w:rFonts w:ascii="仿宋_GB2312" w:eastAsia="仿宋_GB2312" w:hint="eastAsia"/>
          <w:bCs/>
          <w:sz w:val="28"/>
          <w:szCs w:val="28"/>
        </w:rPr>
        <w:t>（</w:t>
      </w:r>
      <w:r>
        <w:rPr>
          <w:rFonts w:ascii="仿宋_GB2312" w:eastAsia="仿宋_GB2312" w:hint="eastAsia"/>
          <w:bCs/>
          <w:sz w:val="28"/>
          <w:szCs w:val="28"/>
        </w:rPr>
        <w:t>1</w:t>
      </w:r>
      <w:r>
        <w:rPr>
          <w:rFonts w:ascii="仿宋_GB2312" w:eastAsia="仿宋_GB2312" w:hint="eastAsia"/>
          <w:bCs/>
          <w:sz w:val="28"/>
          <w:szCs w:val="28"/>
        </w:rPr>
        <w:t>）</w:t>
      </w:r>
      <w:r>
        <w:rPr>
          <w:rFonts w:ascii="仿宋_GB2312" w:eastAsia="仿宋_GB2312" w:hint="eastAsia"/>
          <w:bCs/>
          <w:sz w:val="28"/>
          <w:szCs w:val="28"/>
        </w:rPr>
        <w:t>删去如下行政许可运行流程图中“国内干线传输网（含广播电视网）项目核准”一项许可的流程图：</w:t>
      </w:r>
    </w:p>
    <w:p w:rsidR="001B261E" w:rsidRDefault="001B261E">
      <w:pPr>
        <w:pStyle w:val="a3"/>
      </w:pPr>
    </w:p>
    <w:p w:rsidR="001B261E" w:rsidRDefault="00B86318">
      <w:pPr>
        <w:rPr>
          <w:rFonts w:ascii="仿宋_GB2312" w:eastAsia="仿宋_GB2312"/>
          <w:b/>
          <w:sz w:val="28"/>
          <w:szCs w:val="28"/>
        </w:rPr>
      </w:pPr>
      <w:bookmarkStart w:id="7" w:name="_Hlk5182017"/>
      <w:r>
        <w:rPr>
          <w:rFonts w:ascii="仿宋_GB2312" w:eastAsia="仿宋_GB2312" w:hint="eastAsia"/>
          <w:b/>
          <w:sz w:val="28"/>
          <w:szCs w:val="28"/>
        </w:rPr>
        <w:t>国内干线传输网（含广播电视网）项目核准</w:t>
      </w:r>
    </w:p>
    <w:bookmarkEnd w:id="7"/>
    <w:p w:rsidR="001B261E" w:rsidRDefault="00B86318">
      <w:pPr>
        <w:rPr>
          <w:rFonts w:ascii="仿宋_GB2312" w:eastAsia="仿宋_GB2312"/>
          <w:b/>
          <w:sz w:val="28"/>
          <w:szCs w:val="28"/>
        </w:rPr>
      </w:pPr>
      <w:r>
        <w:rPr>
          <w:rFonts w:ascii="仿宋_GB2312" w:eastAsia="仿宋_GB2312" w:hint="eastAsia"/>
          <w:b/>
          <w:sz w:val="28"/>
          <w:szCs w:val="28"/>
        </w:rPr>
        <w:t>（核准本行政区域内干线传输网（含广播电视网）项目建设的申请）</w:t>
      </w:r>
    </w:p>
    <w:p w:rsidR="001B261E" w:rsidRDefault="00B86318">
      <w:r>
        <w:pict>
          <v:group id="组合 2" o:spid="_x0000_s1027" style="position:absolute;left:0;text-align:left;margin-left:.75pt;margin-top:10.1pt;width:429.05pt;height:372.9pt;z-index:251658240" coordsize="8581,7458">
            <v:shapetype id="_x0000_t109" coordsize="21600,21600" o:spt="109" path="m,l,21600r21600,l21600,xe">
              <v:stroke joinstyle="miter"/>
              <v:path gradientshapeok="t" o:connecttype="rect"/>
            </v:shapetype>
            <v:shape id="自选图形 3" o:spid="_x0000_s1028" type="#_x0000_t109" style="position:absolute;left:2835;top:2625;width:2535;height:1725" o:preferrelative="t" strokecolor="#4f81bd">
              <v:stroke miterlimit="2"/>
              <v:textbox>
                <w:txbxContent>
                  <w:p w:rsidR="001B261E" w:rsidRDefault="00B86318">
                    <w:pPr>
                      <w:spacing w:beforeLines="100" w:before="312"/>
                      <w:jc w:val="center"/>
                      <w:rPr>
                        <w:szCs w:val="21"/>
                      </w:rPr>
                    </w:pPr>
                    <w:r>
                      <w:rPr>
                        <w:rFonts w:hint="eastAsia"/>
                        <w:szCs w:val="21"/>
                      </w:rPr>
                      <w:t>申请材料齐全、符合法定形式的，</w:t>
                    </w:r>
                    <w:r>
                      <w:rPr>
                        <w:rFonts w:hint="eastAsia"/>
                      </w:rPr>
                      <w:t>向申请人出具受理申请通知书</w:t>
                    </w:r>
                  </w:p>
                </w:txbxContent>
              </v:textbox>
            </v:shape>
            <v:shape id="自选图形 4" o:spid="_x0000_s1029" type="#_x0000_t109" style="position:absolute;left:14;top:1289;width:8490;height:812" o:preferrelative="t" strokecolor="#4f81bd">
              <v:stroke miterlimit="2"/>
              <v:textbox>
                <w:txbxContent>
                  <w:p w:rsidR="001B261E" w:rsidRDefault="00B86318">
                    <w:pPr>
                      <w:spacing w:beforeLines="50" w:before="156"/>
                      <w:jc w:val="center"/>
                      <w:rPr>
                        <w:szCs w:val="21"/>
                      </w:rPr>
                    </w:pPr>
                    <w:r>
                      <w:rPr>
                        <w:rFonts w:hint="eastAsia"/>
                        <w:szCs w:val="21"/>
                      </w:rPr>
                      <w:t>收到材料后，形式审查，决定是否受理</w:t>
                    </w:r>
                  </w:p>
                </w:txbxContent>
              </v:textbox>
            </v:shape>
            <v:shape id="自选图形 5" o:spid="_x0000_s1030" type="#_x0000_t109" style="position:absolute;top:2625;width:2610;height:1725" o:preferrelative="t" strokecolor="#4f81bd">
              <v:stroke miterlimit="2"/>
              <v:textbox>
                <w:txbxContent>
                  <w:p w:rsidR="001B261E" w:rsidRDefault="00B86318">
                    <w:pPr>
                      <w:spacing w:beforeLines="50" w:before="156" w:line="240" w:lineRule="exact"/>
                      <w:jc w:val="center"/>
                      <w:rPr>
                        <w:sz w:val="20"/>
                        <w:szCs w:val="20"/>
                      </w:rPr>
                    </w:pPr>
                    <w:r>
                      <w:rPr>
                        <w:rFonts w:hint="eastAsia"/>
                        <w:sz w:val="20"/>
                        <w:szCs w:val="20"/>
                      </w:rPr>
                      <w:t>申请事项依法不需要取得许可的，即时告知不受理；不属于职权范围的，即时</w:t>
                    </w:r>
                    <w:proofErr w:type="gramStart"/>
                    <w:r>
                      <w:rPr>
                        <w:rFonts w:hint="eastAsia"/>
                        <w:sz w:val="20"/>
                        <w:szCs w:val="20"/>
                      </w:rPr>
                      <w:t>作出</w:t>
                    </w:r>
                    <w:proofErr w:type="gramEnd"/>
                    <w:r>
                      <w:rPr>
                        <w:rFonts w:hint="eastAsia"/>
                        <w:sz w:val="20"/>
                        <w:szCs w:val="20"/>
                      </w:rPr>
                      <w:t>不予受理决定；隐瞒有关情况或者提供虚假材料的，不予受理</w:t>
                    </w:r>
                  </w:p>
                </w:txbxContent>
              </v:textbox>
            </v:shape>
            <v:shape id="自选图形 6" o:spid="_x0000_s1031" type="#_x0000_t109" style="position:absolute;left:14;top:4905;width:8490;height:876" o:preferrelative="t" strokecolor="#4f81bd">
              <v:stroke miterlimit="2"/>
              <v:textbox>
                <w:txbxContent>
                  <w:p w:rsidR="001B261E" w:rsidRDefault="00B86318">
                    <w:pPr>
                      <w:jc w:val="center"/>
                      <w:rPr>
                        <w:szCs w:val="21"/>
                      </w:rPr>
                    </w:pPr>
                    <w:r>
                      <w:rPr>
                        <w:rFonts w:hint="eastAsia"/>
                        <w:szCs w:val="21"/>
                      </w:rPr>
                      <w:t>受理后对</w:t>
                    </w:r>
                    <w:r>
                      <w:rPr>
                        <w:szCs w:val="21"/>
                      </w:rPr>
                      <w:t>申请材料进行</w:t>
                    </w:r>
                    <w:r>
                      <w:rPr>
                        <w:rFonts w:hint="eastAsia"/>
                        <w:szCs w:val="21"/>
                      </w:rPr>
                      <w:t>实质</w:t>
                    </w:r>
                    <w:r>
                      <w:rPr>
                        <w:szCs w:val="21"/>
                      </w:rPr>
                      <w:t>审查</w:t>
                    </w:r>
                    <w:r>
                      <w:rPr>
                        <w:rFonts w:hint="eastAsia"/>
                        <w:szCs w:val="21"/>
                      </w:rPr>
                      <w:t>，</w:t>
                    </w:r>
                  </w:p>
                  <w:p w:rsidR="001B261E" w:rsidRDefault="00B86318">
                    <w:pPr>
                      <w:jc w:val="center"/>
                      <w:rPr>
                        <w:szCs w:val="21"/>
                      </w:rPr>
                    </w:pPr>
                    <w:r>
                      <w:rPr>
                        <w:rFonts w:hint="eastAsia"/>
                        <w:szCs w:val="21"/>
                      </w:rPr>
                      <w:t>在受理申请之日起</w:t>
                    </w:r>
                    <w:r>
                      <w:rPr>
                        <w:rFonts w:ascii="宋体" w:hAnsi="宋体" w:hint="eastAsia"/>
                        <w:szCs w:val="21"/>
                      </w:rPr>
                      <w:t>20</w:t>
                    </w:r>
                    <w:r>
                      <w:rPr>
                        <w:rFonts w:ascii="宋体" w:hAnsi="宋体" w:hint="eastAsia"/>
                        <w:szCs w:val="21"/>
                      </w:rPr>
                      <w:t>日</w:t>
                    </w:r>
                    <w:r>
                      <w:rPr>
                        <w:rFonts w:hint="eastAsia"/>
                        <w:szCs w:val="21"/>
                      </w:rPr>
                      <w:t>内</w:t>
                    </w:r>
                    <w:proofErr w:type="gramStart"/>
                    <w:r>
                      <w:rPr>
                        <w:rFonts w:hint="eastAsia"/>
                        <w:szCs w:val="21"/>
                      </w:rPr>
                      <w:t>作出</w:t>
                    </w:r>
                    <w:proofErr w:type="gramEnd"/>
                    <w:r>
                      <w:rPr>
                        <w:rFonts w:hint="eastAsia"/>
                        <w:szCs w:val="21"/>
                      </w:rPr>
                      <w:t>是否准予行政许可的书面决定</w:t>
                    </w:r>
                  </w:p>
                </w:txbxContent>
              </v:textbox>
            </v:shape>
            <v:shapetype id="_x0000_t32" coordsize="21600,21600" o:spt="32" o:oned="t" path="m,l21600,21600e" filled="f">
              <v:path arrowok="t" fillok="f" o:connecttype="none"/>
              <o:lock v:ext="edit" shapetype="t"/>
            </v:shapetype>
            <v:shape id="自选图形 7" o:spid="_x0000_s1032" type="#_x0000_t32" style="position:absolute;left:1249;top:2100;width:1;height:525" o:preferrelative="t" filled="t" strokecolor="#4f81bd">
              <v:stroke endarrow="block" miterlimit="2"/>
            </v:shape>
            <v:rect id="矩形 8" o:spid="_x0000_s1033" style="position:absolute;left:1821;width:4579;height:774" o:preferrelative="t" strokecolor="#4f81bd">
              <v:stroke miterlimit="2"/>
              <v:textbox>
                <w:txbxContent>
                  <w:p w:rsidR="001B261E" w:rsidRDefault="00B86318">
                    <w:pPr>
                      <w:jc w:val="center"/>
                      <w:rPr>
                        <w:rFonts w:ascii="宋体" w:hAnsi="宋体"/>
                        <w:color w:val="000000"/>
                        <w:szCs w:val="21"/>
                      </w:rPr>
                    </w:pPr>
                    <w:r>
                      <w:rPr>
                        <w:rFonts w:ascii="宋体" w:hAnsi="宋体" w:hint="eastAsia"/>
                        <w:color w:val="000000"/>
                        <w:szCs w:val="21"/>
                      </w:rPr>
                      <w:t>申请人</w:t>
                    </w:r>
                    <w:r>
                      <w:rPr>
                        <w:rFonts w:ascii="宋体" w:hAnsi="宋体"/>
                        <w:color w:val="000000"/>
                        <w:szCs w:val="21"/>
                      </w:rPr>
                      <w:t>向</w:t>
                    </w:r>
                    <w:r>
                      <w:rPr>
                        <w:rFonts w:ascii="宋体" w:hAnsi="宋体" w:hint="eastAsia"/>
                        <w:color w:val="000000"/>
                        <w:szCs w:val="21"/>
                      </w:rPr>
                      <w:t>通信管理局提出许可申请</w:t>
                    </w:r>
                    <w:r>
                      <w:rPr>
                        <w:rFonts w:ascii="宋体" w:hAnsi="宋体"/>
                        <w:color w:val="000000"/>
                        <w:szCs w:val="21"/>
                      </w:rPr>
                      <w:t>，</w:t>
                    </w:r>
                  </w:p>
                  <w:p w:rsidR="001B261E" w:rsidRDefault="00B86318">
                    <w:pPr>
                      <w:jc w:val="center"/>
                      <w:rPr>
                        <w:rFonts w:ascii="宋体" w:hAnsi="宋体"/>
                        <w:color w:val="000000"/>
                        <w:szCs w:val="21"/>
                      </w:rPr>
                    </w:pPr>
                    <w:r>
                      <w:rPr>
                        <w:rFonts w:ascii="宋体" w:hAnsi="宋体"/>
                        <w:color w:val="000000"/>
                        <w:szCs w:val="21"/>
                      </w:rPr>
                      <w:t>并报送相关材料</w:t>
                    </w:r>
                  </w:p>
                </w:txbxContent>
              </v:textbox>
            </v:rect>
            <v:shape id="自选图形 9" o:spid="_x0000_s1034" type="#_x0000_t109" style="position:absolute;left:4653;top:6306;width:3928;height:1152" o:preferrelative="t" strokecolor="#4f81bd">
              <v:stroke miterlimit="2"/>
              <v:textbox>
                <w:txbxContent>
                  <w:p w:rsidR="001B261E" w:rsidRDefault="00B86318">
                    <w:pPr>
                      <w:spacing w:beforeLines="100" w:before="312"/>
                      <w:jc w:val="center"/>
                      <w:rPr>
                        <w:szCs w:val="21"/>
                      </w:rPr>
                    </w:pPr>
                    <w:r>
                      <w:rPr>
                        <w:rFonts w:hint="eastAsia"/>
                        <w:szCs w:val="21"/>
                      </w:rPr>
                      <w:t>核准同意的，出具项目核准文件</w:t>
                    </w:r>
                  </w:p>
                </w:txbxContent>
              </v:textbox>
            </v:shape>
            <v:shape id="自选图形 10" o:spid="_x0000_s1035" type="#_x0000_t109" style="position:absolute;left:17;top:6306;width:3840;height:1116" o:preferrelative="t" strokecolor="#4f81bd">
              <v:stroke miterlimit="2"/>
              <v:textbox>
                <w:txbxContent>
                  <w:p w:rsidR="001B261E" w:rsidRDefault="00B86318">
                    <w:pPr>
                      <w:jc w:val="center"/>
                      <w:rPr>
                        <w:szCs w:val="21"/>
                      </w:rPr>
                    </w:pPr>
                    <w:r>
                      <w:rPr>
                        <w:rFonts w:hint="eastAsia"/>
                        <w:szCs w:val="21"/>
                      </w:rPr>
                      <w:t>不予批准的，书面通知申请人并说明理由，</w:t>
                    </w:r>
                    <w:r>
                      <w:rPr>
                        <w:szCs w:val="21"/>
                      </w:rPr>
                      <w:t>告知申请人享有</w:t>
                    </w:r>
                    <w:r>
                      <w:rPr>
                        <w:rFonts w:hint="eastAsia"/>
                        <w:szCs w:val="21"/>
                      </w:rPr>
                      <w:t>依法申请</w:t>
                    </w:r>
                    <w:r>
                      <w:rPr>
                        <w:szCs w:val="21"/>
                      </w:rPr>
                      <w:t>行政复议或者提起行政诉讼的权利</w:t>
                    </w:r>
                  </w:p>
                </w:txbxContent>
              </v:textbox>
            </v:shape>
            <v:shape id="自选图形 11" o:spid="_x0000_s1036" type="#_x0000_t109" style="position:absolute;left:5700;top:2625;width:2670;height:1725" o:preferrelative="t" strokecolor="#4f81bd">
              <v:stroke miterlimit="2"/>
              <v:textbox>
                <w:txbxContent>
                  <w:p w:rsidR="001B261E" w:rsidRDefault="00B86318">
                    <w:pPr>
                      <w:spacing w:beforeLines="50" w:before="156"/>
                      <w:jc w:val="center"/>
                    </w:pPr>
                    <w:r>
                      <w:rPr>
                        <w:rFonts w:hint="eastAsia"/>
                      </w:rPr>
                      <w:t>申请材料不齐全或者不符合法定形式的，</w:t>
                    </w:r>
                    <w:proofErr w:type="gramStart"/>
                    <w:r>
                      <w:rPr>
                        <w:rFonts w:hint="eastAsia"/>
                      </w:rPr>
                      <w:t>当场</w:t>
                    </w:r>
                    <w:r>
                      <w:t>或</w:t>
                    </w:r>
                    <w:proofErr w:type="gramEnd"/>
                    <w:r>
                      <w:rPr>
                        <w:rFonts w:ascii="宋体" w:hAnsi="宋体" w:hint="eastAsia"/>
                        <w:szCs w:val="21"/>
                      </w:rPr>
                      <w:t>5</w:t>
                    </w:r>
                    <w:r>
                      <w:t>日内</w:t>
                    </w:r>
                    <w:r>
                      <w:rPr>
                        <w:rFonts w:hint="eastAsia"/>
                      </w:rPr>
                      <w:t>一次告知申请人需要补正的全部内容</w:t>
                    </w:r>
                  </w:p>
                </w:txbxContent>
              </v:textbox>
            </v:shape>
            <v:shape id="自选图形 12" o:spid="_x0000_s1037" type="#_x0000_t32" style="position:absolute;left:1834;top:5787;width:1;height:525" o:preferrelative="t" filled="t" strokecolor="#4f81bd">
              <v:stroke endarrow="block" miterlimit="2"/>
            </v:shape>
            <v:shape id="自选图形 13" o:spid="_x0000_s1038" type="#_x0000_t32" style="position:absolute;left:4084;top:4347;width:1;height:525" o:preferrelative="t" filled="t" strokecolor="#4f81bd">
              <v:stroke endarrow="block" miterlimit="2"/>
            </v:shape>
            <v:shape id="自选图形 14" o:spid="_x0000_s1039" type="#_x0000_t32" style="position:absolute;left:7009;top:2097;width:1;height:525" o:preferrelative="t" filled="t" strokecolor="#4f81bd">
              <v:stroke endarrow="block" miterlimit="2"/>
            </v:shape>
            <v:shape id="自选图形 15" o:spid="_x0000_s1040" type="#_x0000_t32" style="position:absolute;left:6544;top:5787;width:1;height:525" o:preferrelative="t" filled="t" strokecolor="#4f81bd">
              <v:stroke endarrow="block" miterlimit="2"/>
            </v:shape>
            <v:shape id="自选图形 16" o:spid="_x0000_s1041" type="#_x0000_t32" style="position:absolute;left:4159;top:792;width:1;height:525" o:preferrelative="t" filled="t" strokecolor="#4f81bd">
              <v:stroke endarrow="block" miterlimit="2"/>
            </v:shape>
            <v:shape id="自选图形 17" o:spid="_x0000_s1042" type="#_x0000_t32" style="position:absolute;left:4129;top:2097;width:1;height:525" o:preferrelative="t" filled="t" strokecolor="#4f81bd">
              <v:stroke endarrow="block" miterlimit="2"/>
            </v:shape>
          </v:group>
        </w:pict>
      </w: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1B261E">
      <w:pPr>
        <w:rPr>
          <w:rFonts w:cs="Times New Roman"/>
        </w:rPr>
      </w:pPr>
    </w:p>
    <w:p w:rsidR="001B261E" w:rsidRDefault="00B86318">
      <w:pPr>
        <w:rPr>
          <w:rFonts w:ascii="仿宋_GB2312" w:eastAsia="仿宋_GB2312"/>
          <w:bCs/>
          <w:sz w:val="28"/>
          <w:szCs w:val="28"/>
        </w:rPr>
      </w:pPr>
      <w:r>
        <w:rPr>
          <w:rFonts w:ascii="仿宋_GB2312" w:eastAsia="仿宋_GB2312"/>
          <w:bCs/>
          <w:sz w:val="28"/>
          <w:szCs w:val="28"/>
        </w:rPr>
        <w:br w:type="page"/>
      </w:r>
      <w:r>
        <w:rPr>
          <w:rFonts w:ascii="仿宋_GB2312" w:eastAsia="仿宋_GB2312" w:hint="eastAsia"/>
          <w:bCs/>
          <w:sz w:val="28"/>
          <w:szCs w:val="28"/>
        </w:rPr>
        <w:lastRenderedPageBreak/>
        <w:t>（</w:t>
      </w:r>
      <w:r>
        <w:rPr>
          <w:rFonts w:ascii="仿宋_GB2312" w:eastAsia="仿宋_GB2312" w:hint="eastAsia"/>
          <w:bCs/>
          <w:sz w:val="28"/>
          <w:szCs w:val="28"/>
        </w:rPr>
        <w:t>2</w:t>
      </w:r>
      <w:r>
        <w:rPr>
          <w:rFonts w:ascii="仿宋_GB2312" w:eastAsia="仿宋_GB2312" w:hint="eastAsia"/>
          <w:bCs/>
          <w:sz w:val="28"/>
          <w:szCs w:val="28"/>
        </w:rPr>
        <w:t>）对“行政调解（一般适用）”的运行流程图依据实际情况</w:t>
      </w:r>
      <w:proofErr w:type="gramStart"/>
      <w:r>
        <w:rPr>
          <w:rFonts w:ascii="仿宋_GB2312" w:eastAsia="仿宋_GB2312" w:hint="eastAsia"/>
          <w:bCs/>
          <w:sz w:val="28"/>
          <w:szCs w:val="28"/>
        </w:rPr>
        <w:t>作出</w:t>
      </w:r>
      <w:proofErr w:type="gramEnd"/>
      <w:r>
        <w:rPr>
          <w:rFonts w:ascii="仿宋_GB2312" w:eastAsia="仿宋_GB2312" w:hint="eastAsia"/>
          <w:bCs/>
          <w:sz w:val="28"/>
          <w:szCs w:val="28"/>
        </w:rPr>
        <w:t>如下修改：</w:t>
      </w:r>
    </w:p>
    <w:p w:rsidR="001B261E" w:rsidRDefault="001B261E">
      <w:pPr>
        <w:rPr>
          <w:rFonts w:ascii="Times New Roman" w:eastAsia="仿宋" w:hAnsi="Times New Roman" w:cs="Times New Roman"/>
          <w:sz w:val="30"/>
          <w:szCs w:val="24"/>
        </w:rPr>
      </w:pPr>
    </w:p>
    <w:p w:rsidR="001B261E" w:rsidRDefault="001B261E">
      <w:pPr>
        <w:rPr>
          <w:rFonts w:ascii="Times New Roman" w:eastAsia="仿宋" w:hAnsi="Times New Roman" w:cs="Times New Roman"/>
          <w:sz w:val="30"/>
          <w:szCs w:val="24"/>
        </w:rPr>
      </w:pPr>
    </w:p>
    <w:p w:rsidR="001B261E" w:rsidRDefault="001B261E">
      <w:pPr>
        <w:rPr>
          <w:rFonts w:ascii="Times New Roman" w:eastAsia="仿宋" w:hAnsi="Times New Roman" w:cs="Times New Roman"/>
          <w:sz w:val="30"/>
          <w:szCs w:val="24"/>
        </w:rPr>
      </w:pPr>
    </w:p>
    <w:p w:rsidR="001B261E" w:rsidRDefault="00B86318">
      <w:pPr>
        <w:rPr>
          <w:rFonts w:ascii="Times New Roman" w:eastAsia="仿宋" w:hAnsi="Times New Roman" w:cs="Times New Roman"/>
          <w:sz w:val="30"/>
          <w:szCs w:val="24"/>
        </w:rPr>
      </w:pPr>
      <w:r>
        <w:rPr>
          <w:sz w:val="30"/>
        </w:rPr>
        <w:pict>
          <v:group id="组合 36" o:spid="_x0000_s1043" style="position:absolute;left:0;text-align:left;margin-left:95.85pt;margin-top:-53.45pt;width:330.75pt;height:273.6pt;z-index:251675648" coordorigin="3717,3491" coordsize="6615,5472">
            <v:rect id="矩形 396" o:spid="_x0000_s1044" style="position:absolute;left:3717;top:5448;width:5302;height:1044;v-text-anchor:middle" o:preferrelative="t" strokecolor="#0070c0">
              <v:stroke miterlimit="2"/>
              <v:textbox>
                <w:txbxContent>
                  <w:p w:rsidR="001B261E" w:rsidRDefault="00B86318">
                    <w:pPr>
                      <w:jc w:val="center"/>
                      <w:rPr>
                        <w:sz w:val="24"/>
                      </w:rPr>
                    </w:pPr>
                    <w:r>
                      <w:rPr>
                        <w:rFonts w:hint="eastAsia"/>
                        <w:sz w:val="24"/>
                      </w:rPr>
                      <w:t>申诉受理机构</w:t>
                    </w:r>
                    <w:r>
                      <w:rPr>
                        <w:rFonts w:hint="eastAsia"/>
                        <w:sz w:val="24"/>
                      </w:rPr>
                      <w:t>进行调解</w:t>
                    </w:r>
                  </w:p>
                </w:txbxContent>
              </v:textbox>
            </v:rect>
            <v:rect id="矩形 400" o:spid="_x0000_s1045" style="position:absolute;left:6644;top:7785;width:3688;height:1179;v-text-anchor:middle" o:preferrelative="t" strokecolor="#0070c0">
              <v:stroke miterlimit="2"/>
              <v:textbox>
                <w:txbxContent>
                  <w:p w:rsidR="001B261E" w:rsidRDefault="00B86318">
                    <w:pPr>
                      <w:jc w:val="center"/>
                      <w:rPr>
                        <w:sz w:val="24"/>
                      </w:rPr>
                    </w:pPr>
                    <w:r>
                      <w:rPr>
                        <w:rFonts w:hint="eastAsia"/>
                        <w:sz w:val="24"/>
                      </w:rPr>
                      <w:t>调解达不成协议</w:t>
                    </w:r>
                  </w:p>
                </w:txbxContent>
              </v:textbox>
            </v:rect>
            <v:line id="直线 399" o:spid="_x0000_s1046" style="position:absolute" from="8343,7086" to="8344,7738" o:preferrelative="t" strokecolor="#0070c0">
              <v:stroke endarrow="block" miterlimit="2"/>
            </v:line>
            <v:line id="直线 397" o:spid="_x0000_s1047" style="position:absolute;flip:x" from="6307,6483" to="6308,7080" o:preferrelative="t" strokecolor="#0070c0">
              <v:stroke miterlimit="2"/>
            </v:line>
            <v:rect id="矩形 386" o:spid="_x0000_s1048" style="position:absolute;left:3820;top:3491;width:5083;height:1026;v-text-anchor:middle" o:preferrelative="t" strokecolor="#0070c0">
              <v:stroke miterlimit="2"/>
              <v:textbox>
                <w:txbxContent>
                  <w:p w:rsidR="001B261E" w:rsidRDefault="00B86318">
                    <w:pPr>
                      <w:jc w:val="center"/>
                      <w:rPr>
                        <w:sz w:val="24"/>
                      </w:rPr>
                    </w:pPr>
                    <w:r>
                      <w:rPr>
                        <w:rFonts w:hint="eastAsia"/>
                        <w:sz w:val="24"/>
                      </w:rPr>
                      <w:t>向通信管理局</w:t>
                    </w:r>
                    <w:r>
                      <w:rPr>
                        <w:rFonts w:hint="eastAsia"/>
                        <w:sz w:val="24"/>
                      </w:rPr>
                      <w:t>设立的电信用户申诉受理机构</w:t>
                    </w:r>
                    <w:r>
                      <w:rPr>
                        <w:rFonts w:hint="eastAsia"/>
                        <w:sz w:val="24"/>
                      </w:rPr>
                      <w:t>提交调解申请</w:t>
                    </w:r>
                  </w:p>
                </w:txbxContent>
              </v:textbox>
            </v:rect>
            <v:line id="直线 387" o:spid="_x0000_s1049" style="position:absolute" from="6251,4648" to="6252,5373" o:connectortype="straight" o:preferrelative="t" strokecolor="#0070c0">
              <v:stroke endarrow="block" miterlimit="2"/>
            </v:line>
          </v:group>
        </w:pict>
      </w:r>
    </w:p>
    <w:p w:rsidR="001B261E" w:rsidRDefault="001B261E">
      <w:pPr>
        <w:rPr>
          <w:rFonts w:ascii="Times New Roman" w:eastAsia="仿宋" w:hAnsi="Times New Roman" w:cs="Times New Roman"/>
          <w:sz w:val="30"/>
          <w:szCs w:val="24"/>
        </w:rPr>
      </w:pPr>
    </w:p>
    <w:p w:rsidR="001B261E" w:rsidRDefault="001B261E">
      <w:pPr>
        <w:rPr>
          <w:rFonts w:ascii="Times New Roman" w:eastAsia="仿宋" w:hAnsi="Times New Roman" w:cs="Times New Roman"/>
          <w:sz w:val="30"/>
          <w:szCs w:val="24"/>
        </w:rPr>
      </w:pPr>
    </w:p>
    <w:p w:rsidR="001B261E" w:rsidRDefault="001B261E">
      <w:pPr>
        <w:rPr>
          <w:rFonts w:ascii="Times New Roman" w:eastAsia="仿宋" w:hAnsi="Times New Roman" w:cs="Times New Roman"/>
          <w:sz w:val="30"/>
          <w:szCs w:val="24"/>
        </w:rPr>
      </w:pPr>
    </w:p>
    <w:p w:rsidR="001B261E" w:rsidRDefault="001B261E">
      <w:pPr>
        <w:rPr>
          <w:rFonts w:ascii="Times New Roman" w:eastAsia="仿宋" w:hAnsi="Times New Roman" w:cs="Times New Roman"/>
          <w:sz w:val="30"/>
          <w:szCs w:val="24"/>
        </w:rPr>
      </w:pPr>
    </w:p>
    <w:p w:rsidR="001B261E" w:rsidRDefault="001B261E">
      <w:pPr>
        <w:rPr>
          <w:rFonts w:ascii="Times New Roman" w:eastAsia="仿宋" w:hAnsi="Times New Roman" w:cs="Times New Roman"/>
          <w:sz w:val="30"/>
          <w:szCs w:val="24"/>
        </w:rPr>
      </w:pPr>
    </w:p>
    <w:p w:rsidR="001B261E" w:rsidRDefault="00B86318">
      <w:pPr>
        <w:rPr>
          <w:rFonts w:ascii="Times New Roman" w:eastAsia="仿宋" w:hAnsi="Times New Roman" w:cs="Times New Roman"/>
          <w:sz w:val="30"/>
          <w:szCs w:val="24"/>
        </w:rPr>
      </w:pPr>
      <w:r>
        <w:rPr>
          <w:sz w:val="30"/>
        </w:rPr>
        <w:pict>
          <v:line id="直线 393" o:spid="_x0000_s1050" style="position:absolute;left:0;text-align:left;z-index:251671552" from="117.4pt,-59.15pt" to="326.85pt,-59.1pt" o:connectortype="straight" o:preferrelative="t" strokecolor="#0070c0">
            <v:stroke miterlimit="2"/>
          </v:line>
        </w:pict>
      </w:r>
    </w:p>
    <w:p w:rsidR="001B261E" w:rsidRDefault="00B86318">
      <w:pPr>
        <w:rPr>
          <w:rFonts w:ascii="Times New Roman" w:eastAsia="仿宋" w:hAnsi="Times New Roman" w:cs="Times New Roman"/>
          <w:sz w:val="30"/>
          <w:szCs w:val="24"/>
        </w:rPr>
      </w:pPr>
      <w:r>
        <w:rPr>
          <w:sz w:val="30"/>
        </w:rPr>
        <w:pict>
          <v:group id="组合 37" o:spid="_x0000_s1051" style="position:absolute;left:0;text-align:left;margin-left:27.35pt;margin-top:1.8pt;width:396.8pt;height:233.4pt;z-index:251672576" coordorigin="2347,8964" coordsize="7936,4668">
            <v:line id="直线 390" o:spid="_x0000_s1052" style="position:absolute" from="4148,8964" to="4149,10011" o:connectortype="straight" o:preferrelative="t" strokecolor="#0070c0">
              <v:stroke endarrow="block" miterlimit="2"/>
            </v:line>
            <v:line id="直线 391" o:spid="_x0000_s1053" style="position:absolute" from="8353,8965" to="8400,12566" o:connectortype="straight" o:preferrelative="t" strokecolor="#0070c0">
              <v:stroke endarrow="block" miterlimit="2"/>
            </v:line>
            <v:line id="直线 394" o:spid="_x0000_s1054" style="position:absolute" from="4148,11741" to="4149,12604" o:connectortype="straight" o:preferrelative="t" strokecolor="#0070c0">
              <v:stroke endarrow="block" miterlimit="2"/>
            </v:line>
            <v:rect id="矩形 395" o:spid="_x0000_s1055" style="position:absolute;left:2347;top:12606;width:7937;height:1027;v-text-anchor:middle" o:preferrelative="t" strokecolor="#0070c0">
              <v:stroke miterlimit="2"/>
              <v:textbox>
                <w:txbxContent>
                  <w:p w:rsidR="001B261E" w:rsidRDefault="00B86318">
                    <w:pPr>
                      <w:jc w:val="center"/>
                      <w:rPr>
                        <w:sz w:val="24"/>
                      </w:rPr>
                    </w:pPr>
                    <w:r>
                      <w:rPr>
                        <w:rFonts w:hint="eastAsia"/>
                        <w:sz w:val="24"/>
                      </w:rPr>
                      <w:t>办结</w:t>
                    </w:r>
                  </w:p>
                </w:txbxContent>
              </v:textbox>
            </v:rect>
          </v:group>
        </w:pict>
      </w:r>
    </w:p>
    <w:p w:rsidR="001B261E" w:rsidRDefault="001B261E">
      <w:pPr>
        <w:rPr>
          <w:rFonts w:ascii="Times New Roman" w:eastAsia="仿宋" w:hAnsi="Times New Roman" w:cs="Times New Roman"/>
          <w:sz w:val="30"/>
          <w:szCs w:val="24"/>
        </w:rPr>
      </w:pPr>
    </w:p>
    <w:p w:rsidR="001B261E" w:rsidRDefault="001B261E">
      <w:pPr>
        <w:rPr>
          <w:rFonts w:ascii="Times New Roman" w:eastAsia="仿宋" w:hAnsi="Times New Roman" w:cs="Times New Roman"/>
          <w:sz w:val="30"/>
          <w:szCs w:val="24"/>
        </w:rPr>
      </w:pPr>
    </w:p>
    <w:p w:rsidR="001B261E" w:rsidRDefault="00B86318">
      <w:pPr>
        <w:widowControl/>
        <w:jc w:val="left"/>
        <w:rPr>
          <w:rFonts w:ascii="Times New Roman" w:eastAsia="仿宋" w:hAnsi="Times New Roman" w:cs="Times New Roman"/>
          <w:sz w:val="30"/>
          <w:szCs w:val="24"/>
        </w:rPr>
      </w:pPr>
      <w:r>
        <w:rPr>
          <w:sz w:val="30"/>
        </w:rPr>
        <w:pict>
          <v:line id="直线 398" o:spid="_x0000_s1056" style="position:absolute;z-index:251662336" from="118.85pt,-183.85pt" to="118.9pt,-150.3pt" o:preferrelative="t" strokecolor="#0070c0">
            <v:stroke endarrow="block" miterlimit="2"/>
          </v:line>
        </w:pict>
      </w:r>
      <w:r>
        <w:rPr>
          <w:sz w:val="30"/>
        </w:rPr>
        <w:pict>
          <v:rect id="矩形 401" o:spid="_x0000_s1057" style="position:absolute;margin-left:27.35pt;margin-top:-150.75pt;width:184.35pt;height:58.95pt;z-index:251660288;v-text-anchor:middle" o:preferrelative="t" strokecolor="#0070c0">
            <v:stroke miterlimit="2"/>
            <v:textbox>
              <w:txbxContent>
                <w:p w:rsidR="001B261E" w:rsidRDefault="00B86318">
                  <w:pPr>
                    <w:jc w:val="center"/>
                    <w:rPr>
                      <w:sz w:val="24"/>
                    </w:rPr>
                  </w:pPr>
                  <w:r>
                    <w:rPr>
                      <w:rFonts w:hint="eastAsia"/>
                      <w:sz w:val="24"/>
                    </w:rPr>
                    <w:t>调解达成协议</w:t>
                  </w:r>
                </w:p>
              </w:txbxContent>
            </v:textbox>
          </v:rect>
        </w:pict>
      </w:r>
    </w:p>
    <w:p w:rsidR="001B261E" w:rsidRDefault="00B86318">
      <w:pPr>
        <w:widowControl/>
        <w:jc w:val="left"/>
        <w:rPr>
          <w:rFonts w:ascii="Times New Roman" w:eastAsia="仿宋" w:hAnsi="Times New Roman" w:cs="Times New Roman"/>
          <w:sz w:val="30"/>
          <w:szCs w:val="24"/>
        </w:rPr>
      </w:pPr>
      <w:r>
        <w:rPr>
          <w:sz w:val="30"/>
        </w:rPr>
        <w:pict>
          <v:rect id="矩形 388" o:spid="_x0000_s1058" style="position:absolute;margin-left:27.35pt;margin-top:-70.65pt;width:184.35pt;height:86.5pt;z-index:251666432;v-text-anchor:middle" o:preferrelative="t" strokecolor="#0070c0">
            <v:stroke miterlimit="2"/>
            <v:textbox>
              <w:txbxContent>
                <w:p w:rsidR="001B261E" w:rsidRDefault="001B261E">
                  <w:pPr>
                    <w:jc w:val="center"/>
                    <w:rPr>
                      <w:sz w:val="24"/>
                    </w:rPr>
                  </w:pPr>
                </w:p>
                <w:p w:rsidR="001B261E" w:rsidRDefault="00B86318">
                  <w:pPr>
                    <w:jc w:val="center"/>
                    <w:rPr>
                      <w:sz w:val="24"/>
                    </w:rPr>
                  </w:pPr>
                  <w:r>
                    <w:rPr>
                      <w:rFonts w:hint="eastAsia"/>
                      <w:sz w:val="24"/>
                    </w:rPr>
                    <w:t>应任何一方请求，出具调解意见书</w:t>
                  </w:r>
                </w:p>
              </w:txbxContent>
            </v:textbox>
          </v:rect>
        </w:pict>
      </w:r>
    </w:p>
    <w:p w:rsidR="001B261E" w:rsidRDefault="001B261E">
      <w:pPr>
        <w:widowControl/>
        <w:jc w:val="left"/>
        <w:rPr>
          <w:rFonts w:ascii="Times New Roman" w:eastAsia="仿宋" w:hAnsi="Times New Roman" w:cs="Times New Roman"/>
          <w:sz w:val="30"/>
          <w:szCs w:val="24"/>
        </w:rPr>
      </w:pPr>
    </w:p>
    <w:p w:rsidR="001B261E" w:rsidRDefault="001B261E">
      <w:pPr>
        <w:widowControl/>
        <w:jc w:val="left"/>
        <w:rPr>
          <w:rFonts w:ascii="Times New Roman" w:eastAsia="仿宋" w:hAnsi="Times New Roman" w:cs="Times New Roman"/>
          <w:sz w:val="30"/>
          <w:szCs w:val="24"/>
        </w:rPr>
      </w:pPr>
    </w:p>
    <w:p w:rsidR="001B261E" w:rsidRDefault="001B261E">
      <w:pPr>
        <w:widowControl/>
        <w:jc w:val="left"/>
        <w:rPr>
          <w:rFonts w:ascii="Times New Roman" w:eastAsia="仿宋" w:hAnsi="Times New Roman" w:cs="Times New Roman"/>
          <w:sz w:val="30"/>
          <w:szCs w:val="24"/>
        </w:rPr>
      </w:pPr>
    </w:p>
    <w:p w:rsidR="001B261E" w:rsidRDefault="001B261E">
      <w:pPr>
        <w:widowControl/>
        <w:jc w:val="left"/>
        <w:rPr>
          <w:rFonts w:ascii="仿宋_GB2312" w:eastAsia="仿宋_GB2312"/>
          <w:sz w:val="28"/>
          <w:szCs w:val="28"/>
        </w:rPr>
      </w:pPr>
    </w:p>
    <w:p w:rsidR="001B261E" w:rsidRDefault="001B261E">
      <w:pPr>
        <w:pStyle w:val="a3"/>
      </w:pPr>
    </w:p>
    <w:sectPr w:rsidR="001B26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86318">
      <w:r>
        <w:separator/>
      </w:r>
    </w:p>
  </w:endnote>
  <w:endnote w:type="continuationSeparator" w:id="0">
    <w:p w:rsidR="00000000" w:rsidRDefault="00B8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61E" w:rsidRDefault="00B86318">
    <w:pPr>
      <w:pStyle w:val="a4"/>
    </w:pPr>
    <w:r>
      <w:pict>
        <v:rect id="文本框 17" o:spid="_x0000_s2049" style="position:absolute;margin-left:0;margin-top:0;width:2in;height:2in;z-index:251658240;mso-wrap-style:none;mso-position-horizontal:center;mso-position-horizontal-relative:margin" o:preferrelative="t" filled="f" stroked="f">
          <v:textbox style="mso-fit-shape-to-text:t" inset="0,0,0,0">
            <w:txbxContent>
              <w:p w:rsidR="001B261E" w:rsidRDefault="00B86318">
                <w:pPr>
                  <w:pStyle w:val="a4"/>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noProof/>
                    <w:sz w:val="21"/>
                    <w:szCs w:val="21"/>
                  </w:rPr>
                  <w:t>5</w:t>
                </w:r>
                <w:r>
                  <w:rPr>
                    <w:rFonts w:ascii="Times New Roman" w:hAnsi="Times New Roman" w:cs="Times New Roman"/>
                    <w:sz w:val="21"/>
                    <w:szCs w:val="21"/>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86318">
      <w:r>
        <w:separator/>
      </w:r>
    </w:p>
  </w:footnote>
  <w:footnote w:type="continuationSeparator" w:id="0">
    <w:p w:rsidR="00000000" w:rsidRDefault="00B863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A2C62"/>
    <w:multiLevelType w:val="multilevel"/>
    <w:tmpl w:val="305A2C62"/>
    <w:lvl w:ilvl="0">
      <w:start w:val="4"/>
      <w:numFmt w:val="decimal"/>
      <w:lvlText w:val="%1."/>
      <w:lvlJc w:val="left"/>
      <w:pPr>
        <w:ind w:left="922" w:hanging="360"/>
      </w:pPr>
      <w:rPr>
        <w:rFonts w:hint="default"/>
      </w:rPr>
    </w:lvl>
    <w:lvl w:ilvl="1" w:tentative="1">
      <w:start w:val="1"/>
      <w:numFmt w:val="lowerLetter"/>
      <w:lvlText w:val="%2)"/>
      <w:lvlJc w:val="left"/>
      <w:pPr>
        <w:ind w:left="1402" w:hanging="420"/>
      </w:pPr>
    </w:lvl>
    <w:lvl w:ilvl="2" w:tentative="1">
      <w:start w:val="1"/>
      <w:numFmt w:val="lowerRoman"/>
      <w:lvlText w:val="%3."/>
      <w:lvlJc w:val="right"/>
      <w:pPr>
        <w:ind w:left="1822" w:hanging="420"/>
      </w:pPr>
    </w:lvl>
    <w:lvl w:ilvl="3" w:tentative="1">
      <w:start w:val="1"/>
      <w:numFmt w:val="decimal"/>
      <w:lvlText w:val="%4."/>
      <w:lvlJc w:val="left"/>
      <w:pPr>
        <w:ind w:left="2242" w:hanging="420"/>
      </w:pPr>
    </w:lvl>
    <w:lvl w:ilvl="4" w:tentative="1">
      <w:start w:val="1"/>
      <w:numFmt w:val="lowerLetter"/>
      <w:lvlText w:val="%5)"/>
      <w:lvlJc w:val="left"/>
      <w:pPr>
        <w:ind w:left="2662" w:hanging="420"/>
      </w:pPr>
    </w:lvl>
    <w:lvl w:ilvl="5" w:tentative="1">
      <w:start w:val="1"/>
      <w:numFmt w:val="lowerRoman"/>
      <w:lvlText w:val="%6."/>
      <w:lvlJc w:val="right"/>
      <w:pPr>
        <w:ind w:left="3082" w:hanging="420"/>
      </w:pPr>
    </w:lvl>
    <w:lvl w:ilvl="6" w:tentative="1">
      <w:start w:val="1"/>
      <w:numFmt w:val="decimal"/>
      <w:lvlText w:val="%7."/>
      <w:lvlJc w:val="left"/>
      <w:pPr>
        <w:ind w:left="3502" w:hanging="420"/>
      </w:pPr>
    </w:lvl>
    <w:lvl w:ilvl="7" w:tentative="1">
      <w:start w:val="1"/>
      <w:numFmt w:val="lowerLetter"/>
      <w:lvlText w:val="%8)"/>
      <w:lvlJc w:val="left"/>
      <w:pPr>
        <w:ind w:left="3922" w:hanging="420"/>
      </w:pPr>
    </w:lvl>
    <w:lvl w:ilvl="8" w:tentative="1">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704330"/>
    <w:rsid w:val="B6FFE491"/>
    <w:rsid w:val="BE0F019E"/>
    <w:rsid w:val="BFDE21D4"/>
    <w:rsid w:val="BFFBE5C3"/>
    <w:rsid w:val="EDAFB8C7"/>
    <w:rsid w:val="F7CFFD10"/>
    <w:rsid w:val="001B261E"/>
    <w:rsid w:val="00306816"/>
    <w:rsid w:val="003832DB"/>
    <w:rsid w:val="005840A3"/>
    <w:rsid w:val="006B2214"/>
    <w:rsid w:val="00704330"/>
    <w:rsid w:val="0071570E"/>
    <w:rsid w:val="00747B5A"/>
    <w:rsid w:val="007C255B"/>
    <w:rsid w:val="00922ACB"/>
    <w:rsid w:val="009B49A2"/>
    <w:rsid w:val="00A12EEC"/>
    <w:rsid w:val="00B032EE"/>
    <w:rsid w:val="00B86318"/>
    <w:rsid w:val="00D40083"/>
    <w:rsid w:val="00EC6058"/>
    <w:rsid w:val="00F0679F"/>
    <w:rsid w:val="03F33221"/>
    <w:rsid w:val="05145E61"/>
    <w:rsid w:val="05C20583"/>
    <w:rsid w:val="123B0FE0"/>
    <w:rsid w:val="1C443D2D"/>
    <w:rsid w:val="21826F0E"/>
    <w:rsid w:val="24A86E33"/>
    <w:rsid w:val="306D6646"/>
    <w:rsid w:val="31600F73"/>
    <w:rsid w:val="37051E54"/>
    <w:rsid w:val="3A316F85"/>
    <w:rsid w:val="45335BCA"/>
    <w:rsid w:val="454C3B1A"/>
    <w:rsid w:val="4F9D2F42"/>
    <w:rsid w:val="509A21AA"/>
    <w:rsid w:val="57ADCA69"/>
    <w:rsid w:val="57E11858"/>
    <w:rsid w:val="5F9C50AC"/>
    <w:rsid w:val="5FFFF413"/>
    <w:rsid w:val="65865E9F"/>
    <w:rsid w:val="789B656C"/>
    <w:rsid w:val="79FF7881"/>
    <w:rsid w:val="7C110247"/>
    <w:rsid w:val="7DFBA6C8"/>
    <w:rsid w:val="7EA30F91"/>
    <w:rsid w:val="7F37E133"/>
    <w:rsid w:val="7F966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rules v:ext="edit">
        <o:r id="V:Rule1" type="connector" idref="#自选图形 7"/>
        <o:r id="V:Rule2" type="connector" idref="#自选图形 12"/>
        <o:r id="V:Rule3" type="connector" idref="#自选图形 13"/>
        <o:r id="V:Rule4" type="connector" idref="#自选图形 14"/>
        <o:r id="V:Rule5" type="connector" idref="#自选图形 15"/>
        <o:r id="V:Rule6" type="connector" idref="#自选图形 16"/>
        <o:r id="V:Rule7" type="connector" idref="#自选图形 1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1">
    <w:name w:val="普通(网站)1"/>
    <w:basedOn w:val="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Info spid="_x0000_s1032" textRotate="1"/>
    <customShpInfo spid="_x0000_s1037" textRotate="1"/>
    <customShpInfo spid="_x0000_s1038" textRotate="1"/>
    <customShpInfo spid="_x0000_s1039" textRotate="1"/>
    <customShpInfo spid="_x0000_s1040" textRotate="1"/>
    <customShpInfo spid="_x0000_s1041" textRotate="1"/>
    <customShpInfo spid="_x0000_s104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2018年通信管理局“两单”指导意见调整前后内容对照表</dc:title>
  <dc:creator>user</dc:creator>
  <cp:lastModifiedBy>刘永龙</cp:lastModifiedBy>
  <cp:revision>1</cp:revision>
  <dcterms:created xsi:type="dcterms:W3CDTF">2014-10-31T12:08:00Z</dcterms:created>
  <dcterms:modified xsi:type="dcterms:W3CDTF">2019-11-26T07:16:00Z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