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附件1</w:t>
      </w:r>
    </w:p>
    <w:p>
      <w:pPr>
        <w:rPr>
          <w:rFonts w:ascii="黑体" w:hAnsi="黑体" w:eastAsia="黑体" w:cs="黑体"/>
          <w:sz w:val="32"/>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“宽带网络+健康乡村”应用</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试点项目（第一批）重点方向</w:t>
      </w:r>
    </w:p>
    <w:p>
      <w:pPr>
        <w:snapToGrid w:val="0"/>
        <w:spacing w:line="360" w:lineRule="auto"/>
        <w:jc w:val="center"/>
        <w:rPr>
          <w:rFonts w:ascii="方正小标宋简体" w:hAnsi="方正小标宋简体" w:eastAsia="方正小标宋简体" w:cs="方正小标宋简体"/>
          <w:sz w:val="44"/>
          <w:szCs w:val="44"/>
        </w:rPr>
      </w:pP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一、远程医疗服务。</w:t>
      </w:r>
      <w:r>
        <w:rPr>
          <w:rFonts w:hint="eastAsia" w:ascii="仿宋_GB2312" w:hAnsi="仿宋_GB2312" w:eastAsia="仿宋_GB2312" w:cs="仿宋_GB2312"/>
          <w:sz w:val="32"/>
          <w:szCs w:val="32"/>
        </w:rPr>
        <w:t>帮扶医院和上级医院依托千兆光网、5G等技术推动远程诊疗向基层定点县医院、乡镇卫生院、村卫生室延伸，围绕乡村地区常见病、多发病、重大疾病，以及“三区三州”等地区包虫病、先心病、结核病、大骨节病等多发疾病，开展远程会诊、远程影像诊断、远程病理诊断、远程超声诊断、远程手术指导、远程查房、在线培训工作，提高规范化诊疗水平，确定相应的医疗质量管理机制。应用试点在管理制度、医疗质量与安全、网络服务质量、网络安全等方面达到《远程医疗服务管理规范(试行)》（国卫医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2018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25号）以及相关政策标准要求。</w:t>
      </w:r>
    </w:p>
    <w:p>
      <w:pPr>
        <w:adjustRightInd w:val="0"/>
        <w:snapToGrid w:val="0"/>
        <w:spacing w:line="360" w:lineRule="auto"/>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预期目标</w:t>
      </w:r>
      <w:r>
        <w:rPr>
          <w:rFonts w:hint="eastAsia" w:ascii="仿宋_GB2312" w:hAnsi="仿宋_GB2312" w:eastAsia="仿宋_GB2312" w:cs="仿宋_GB2312"/>
          <w:b/>
          <w:bCs/>
          <w:sz w:val="32"/>
          <w:szCs w:val="32"/>
        </w:rPr>
        <w:t>：</w:t>
      </w:r>
      <w:r>
        <w:rPr>
          <w:rFonts w:ascii="仿宋_GB2312" w:hAnsi="仿宋_GB2312" w:eastAsia="仿宋_GB2312" w:cs="仿宋_GB2312"/>
          <w:sz w:val="32"/>
          <w:szCs w:val="32"/>
        </w:rPr>
        <w:t>帮扶医院或上级医院远程医疗系统接入网络的带宽不低于1000M</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基层医疗卫生机</w:t>
      </w:r>
      <w:r>
        <w:rPr>
          <w:rFonts w:hint="eastAsia" w:ascii="仿宋_GB2312" w:hAnsi="仿宋_GB2312" w:eastAsia="仿宋_GB2312" w:cs="仿宋_GB2312"/>
          <w:sz w:val="32"/>
          <w:szCs w:val="32"/>
        </w:rPr>
        <w:t>构</w:t>
      </w:r>
      <w:r>
        <w:rPr>
          <w:rFonts w:ascii="仿宋_GB2312" w:hAnsi="仿宋_GB2312" w:eastAsia="仿宋_GB2312" w:cs="仿宋_GB2312"/>
          <w:sz w:val="32"/>
          <w:szCs w:val="32"/>
        </w:rPr>
        <w:t>远程医疗系统接入网络的带宽不低于100M</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远程医疗服务项</w:t>
      </w:r>
      <w:r>
        <w:rPr>
          <w:rFonts w:hint="eastAsia" w:ascii="仿宋_GB2312" w:hAnsi="仿宋_GB2312" w:eastAsia="仿宋_GB2312" w:cs="仿宋_GB2312"/>
          <w:sz w:val="32"/>
          <w:szCs w:val="32"/>
        </w:rPr>
        <w:t>目</w:t>
      </w:r>
      <w:r>
        <w:rPr>
          <w:rFonts w:ascii="仿宋_GB2312" w:hAnsi="仿宋_GB2312" w:eastAsia="仿宋_GB2312" w:cs="仿宋_GB2312"/>
          <w:sz w:val="32"/>
          <w:szCs w:val="32"/>
        </w:rPr>
        <w:t>至少覆盖3种大病</w:t>
      </w:r>
      <w:r>
        <w:rPr>
          <w:rFonts w:hint="eastAsia" w:ascii="仿宋_GB2312" w:hAnsi="仿宋_GB2312" w:eastAsia="仿宋_GB2312" w:cs="仿宋_GB2312"/>
          <w:sz w:val="32"/>
          <w:szCs w:val="32"/>
        </w:rPr>
        <w:t>或</w:t>
      </w:r>
      <w:r>
        <w:rPr>
          <w:rFonts w:ascii="仿宋_GB2312" w:hAnsi="仿宋_GB2312" w:eastAsia="仿宋_GB2312" w:cs="仿宋_GB2312"/>
          <w:sz w:val="32"/>
          <w:szCs w:val="32"/>
        </w:rPr>
        <w:t>地方</w:t>
      </w:r>
      <w:r>
        <w:rPr>
          <w:rFonts w:hint="eastAsia" w:ascii="仿宋_GB2312" w:hAnsi="仿宋_GB2312" w:eastAsia="仿宋_GB2312" w:cs="仿宋_GB2312"/>
          <w:sz w:val="32"/>
          <w:szCs w:val="32"/>
        </w:rPr>
        <w:t>病</w:t>
      </w:r>
      <w:r>
        <w:rPr>
          <w:rFonts w:ascii="仿宋_GB2312" w:hAnsi="仿宋_GB2312" w:eastAsia="仿宋_GB2312" w:cs="仿宋_GB2312"/>
          <w:sz w:val="32"/>
          <w:szCs w:val="32"/>
        </w:rPr>
        <w:t>远程诊断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开展远程会诊不低于1</w:t>
      </w:r>
      <w:r>
        <w:rPr>
          <w:rFonts w:hint="eastAsia" w:ascii="仿宋_GB2312" w:hAnsi="仿宋_GB2312" w:eastAsia="仿宋_GB2312" w:cs="仿宋_GB2312"/>
          <w:sz w:val="32"/>
          <w:szCs w:val="32"/>
        </w:rPr>
        <w:t>000</w:t>
      </w:r>
      <w:r>
        <w:rPr>
          <w:rFonts w:ascii="仿宋_GB2312" w:hAnsi="仿宋_GB2312" w:eastAsia="仿宋_GB2312" w:cs="仿宋_GB2312"/>
          <w:sz w:val="32"/>
          <w:szCs w:val="32"/>
        </w:rPr>
        <w:t>人次/年</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开展远程培训不低于50次/年</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探索数字技术提升</w:t>
      </w:r>
      <w:r>
        <w:rPr>
          <w:rFonts w:hint="eastAsia" w:ascii="仿宋_GB2312" w:hAnsi="仿宋_GB2312" w:eastAsia="仿宋_GB2312" w:cs="仿宋_GB2312"/>
          <w:sz w:val="32"/>
          <w:szCs w:val="32"/>
        </w:rPr>
        <w:t>大</w:t>
      </w:r>
      <w:r>
        <w:rPr>
          <w:rFonts w:ascii="仿宋_GB2312" w:hAnsi="仿宋_GB2312" w:eastAsia="仿宋_GB2312" w:cs="仿宋_GB2312"/>
          <w:sz w:val="32"/>
          <w:szCs w:val="32"/>
        </w:rPr>
        <w:t>病</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多发病诊疗服务能力, </w:t>
      </w:r>
      <w:r>
        <w:rPr>
          <w:rFonts w:hint="eastAsia" w:ascii="仿宋_GB2312" w:hAnsi="仿宋_GB2312" w:eastAsia="仿宋_GB2312" w:cs="仿宋_GB2312"/>
          <w:sz w:val="32"/>
          <w:szCs w:val="32"/>
        </w:rPr>
        <w:t>智能化创新医疗服务流程，加强基层医疗服务可及性。</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二、县域医共体信息化建设。</w:t>
      </w:r>
      <w:r>
        <w:rPr>
          <w:rFonts w:ascii="仿宋_GB2312" w:hAnsi="仿宋_GB2312" w:eastAsia="仿宋_GB2312" w:cs="仿宋_GB2312"/>
          <w:sz w:val="32"/>
          <w:szCs w:val="32"/>
        </w:rPr>
        <w:t>乡村</w:t>
      </w:r>
      <w:r>
        <w:rPr>
          <w:rFonts w:hint="eastAsia" w:ascii="仿宋_GB2312" w:hAnsi="仿宋_GB2312" w:eastAsia="仿宋_GB2312" w:cs="仿宋_GB2312"/>
          <w:sz w:val="32"/>
          <w:szCs w:val="32"/>
        </w:rPr>
        <w:t>地</w:t>
      </w:r>
      <w:r>
        <w:rPr>
          <w:rFonts w:ascii="仿宋_GB2312" w:hAnsi="仿宋_GB2312" w:eastAsia="仿宋_GB2312" w:cs="仿宋_GB2312"/>
          <w:sz w:val="32"/>
          <w:szCs w:val="32"/>
        </w:rPr>
        <w:t>区紧密型县</w:t>
      </w:r>
      <w:r>
        <w:rPr>
          <w:rFonts w:hint="eastAsia" w:ascii="仿宋_GB2312" w:hAnsi="仿宋_GB2312" w:eastAsia="仿宋_GB2312" w:cs="仿宋_GB2312"/>
          <w:sz w:val="32"/>
          <w:szCs w:val="32"/>
        </w:rPr>
        <w:t>域</w:t>
      </w:r>
      <w:r>
        <w:rPr>
          <w:rFonts w:ascii="仿宋_GB2312" w:hAnsi="仿宋_GB2312" w:eastAsia="仿宋_GB2312" w:cs="仿宋_GB2312"/>
          <w:sz w:val="32"/>
          <w:szCs w:val="32"/>
        </w:rPr>
        <w:t>医共体依托千兆光网</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G</w:t>
      </w:r>
      <w:r>
        <w:rPr>
          <w:rFonts w:ascii="仿宋_GB2312" w:hAnsi="仿宋_GB2312" w:eastAsia="仿宋_GB2312" w:cs="仿宋_GB2312"/>
          <w:sz w:val="32"/>
          <w:szCs w:val="32"/>
        </w:rPr>
        <w:t>等宽带网络</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运用云计算</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大数据</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隐私保护计算等技术</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建立县</w:t>
      </w:r>
      <w:r>
        <w:rPr>
          <w:rFonts w:hint="eastAsia" w:ascii="仿宋_GB2312" w:hAnsi="仿宋_GB2312" w:eastAsia="仿宋_GB2312" w:cs="仿宋_GB2312"/>
          <w:sz w:val="32"/>
          <w:szCs w:val="32"/>
        </w:rPr>
        <w:t>域</w:t>
      </w:r>
      <w:r>
        <w:rPr>
          <w:rFonts w:ascii="仿宋_GB2312" w:hAnsi="仿宋_GB2312" w:eastAsia="仿宋_GB2312" w:cs="仿宋_GB2312"/>
          <w:sz w:val="32"/>
          <w:szCs w:val="32"/>
        </w:rPr>
        <w:t>卫生健康信息共享平台</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整合优化县</w:t>
      </w:r>
      <w:r>
        <w:rPr>
          <w:rFonts w:hint="eastAsia" w:ascii="仿宋_GB2312" w:hAnsi="仿宋_GB2312" w:eastAsia="仿宋_GB2312" w:cs="仿宋_GB2312"/>
          <w:sz w:val="32"/>
          <w:szCs w:val="32"/>
        </w:rPr>
        <w:t>域</w:t>
      </w:r>
      <w:r>
        <w:rPr>
          <w:rFonts w:ascii="仿宋_GB2312" w:hAnsi="仿宋_GB2312" w:eastAsia="仿宋_GB2312" w:cs="仿宋_GB2312"/>
          <w:sz w:val="32"/>
          <w:szCs w:val="32"/>
        </w:rPr>
        <w:t>影像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心电、病理诊断、医学检验中心</w:t>
      </w:r>
      <w:r>
        <w:rPr>
          <w:rFonts w:hint="eastAsia" w:ascii="仿宋_GB2312" w:hAnsi="仿宋_GB2312" w:eastAsia="仿宋_GB2312" w:cs="仿宋_GB2312"/>
          <w:sz w:val="32"/>
          <w:szCs w:val="32"/>
        </w:rPr>
        <w:t>资源</w:t>
      </w:r>
      <w:r>
        <w:rPr>
          <w:rFonts w:ascii="仿宋_GB2312" w:hAnsi="仿宋_GB2312" w:eastAsia="仿宋_GB2312" w:cs="仿宋_GB2312"/>
          <w:sz w:val="32"/>
          <w:szCs w:val="32"/>
        </w:rPr>
        <w:t>配置</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实现基层检查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上级诊断和区域内互认</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应用试点在运行机制、分工协作、资源共享、网络服务质量、网络安全等方面达到《医疗联合体综合绩效考核工作方案(试行)</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国卫医</w:t>
      </w:r>
      <w:r>
        <w:rPr>
          <w:rFonts w:hint="eastAsia" w:ascii="仿宋_GB2312" w:hAnsi="仿宋_GB2312" w:eastAsia="仿宋_GB2312" w:cs="仿宋_GB2312"/>
          <w:sz w:val="32"/>
          <w:szCs w:val="32"/>
        </w:rPr>
        <w:t>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2018</w:t>
      </w:r>
      <w:r>
        <w:rPr>
          <w:rFonts w:ascii="仿宋_GB2312" w:hAnsi="仿宋_GB2312" w:eastAsia="仿宋_GB2312" w:cs="仿宋_GB2312"/>
          <w:sz w:val="32"/>
          <w:szCs w:val="32"/>
        </w:rPr>
        <w:t>〕26号</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以及相关政策标准要求</w:t>
      </w:r>
      <w:r>
        <w:rPr>
          <w:rFonts w:hint="eastAsia" w:ascii="仿宋_GB2312" w:hAnsi="仿宋_GB2312" w:eastAsia="仿宋_GB2312" w:cs="仿宋_GB2312"/>
          <w:sz w:val="32"/>
          <w:szCs w:val="32"/>
        </w:rPr>
        <w:t>。</w:t>
      </w:r>
    </w:p>
    <w:p>
      <w:pPr>
        <w:adjustRightInd w:val="0"/>
        <w:snapToGrid w:val="0"/>
        <w:spacing w:line="360" w:lineRule="auto"/>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预期目标</w:t>
      </w:r>
      <w:r>
        <w:rPr>
          <w:rFonts w:hint="eastAsia" w:ascii="仿宋_GB2312" w:hAnsi="仿宋_GB2312" w:eastAsia="仿宋_GB2312" w:cs="仿宋_GB2312"/>
          <w:b/>
          <w:bCs/>
          <w:sz w:val="32"/>
          <w:szCs w:val="32"/>
        </w:rPr>
        <w:t>：</w:t>
      </w:r>
      <w:r>
        <w:rPr>
          <w:rFonts w:ascii="仿宋_GB2312" w:hAnsi="仿宋_GB2312" w:eastAsia="仿宋_GB2312" w:cs="仿宋_GB2312"/>
          <w:sz w:val="32"/>
          <w:szCs w:val="32"/>
        </w:rPr>
        <w:t>宽带网络覆盖县</w:t>
      </w:r>
      <w:r>
        <w:rPr>
          <w:rFonts w:hint="eastAsia" w:ascii="仿宋_GB2312" w:hAnsi="仿宋_GB2312" w:eastAsia="仿宋_GB2312" w:cs="仿宋_GB2312"/>
          <w:sz w:val="32"/>
          <w:szCs w:val="32"/>
        </w:rPr>
        <w:t>域</w:t>
      </w:r>
      <w:r>
        <w:rPr>
          <w:rFonts w:ascii="仿宋_GB2312" w:hAnsi="仿宋_GB2312" w:eastAsia="仿宋_GB2312" w:cs="仿宋_GB2312"/>
          <w:sz w:val="32"/>
          <w:szCs w:val="32"/>
        </w:rPr>
        <w:t>医联体所有医疗卫生机构</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牵头医疗卫生机构信息系统接入网络的带宽不低于</w:t>
      </w:r>
      <w:r>
        <w:rPr>
          <w:rFonts w:hint="eastAsia" w:ascii="仿宋_GB2312" w:hAnsi="仿宋_GB2312" w:eastAsia="仿宋_GB2312" w:cs="仿宋_GB2312"/>
          <w:sz w:val="32"/>
          <w:szCs w:val="32"/>
        </w:rPr>
        <w:t>1000</w:t>
      </w:r>
      <w:r>
        <w:rPr>
          <w:rFonts w:ascii="仿宋_GB2312" w:hAnsi="仿宋_GB2312" w:eastAsia="仿宋_GB2312" w:cs="仿宋_GB2312"/>
          <w:sz w:val="32"/>
          <w:szCs w:val="32"/>
        </w:rPr>
        <w:t>M</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基层医疗卫生机构接入网络的带宽不低于</w:t>
      </w:r>
      <w:r>
        <w:rPr>
          <w:rFonts w:hint="eastAsia" w:ascii="仿宋_GB2312" w:hAnsi="仿宋_GB2312" w:eastAsia="仿宋_GB2312" w:cs="仿宋_GB2312"/>
          <w:sz w:val="32"/>
          <w:szCs w:val="32"/>
        </w:rPr>
        <w:t>100M；</w:t>
      </w:r>
      <w:r>
        <w:rPr>
          <w:rFonts w:ascii="仿宋_GB2312" w:hAnsi="仿宋_GB2312" w:eastAsia="仿宋_GB2312" w:cs="仿宋_GB2312"/>
          <w:sz w:val="32"/>
          <w:szCs w:val="32"/>
        </w:rPr>
        <w:t>建成县</w:t>
      </w:r>
      <w:r>
        <w:rPr>
          <w:rFonts w:hint="eastAsia" w:ascii="仿宋_GB2312" w:hAnsi="仿宋_GB2312" w:eastAsia="仿宋_GB2312" w:cs="仿宋_GB2312"/>
          <w:sz w:val="32"/>
          <w:szCs w:val="32"/>
        </w:rPr>
        <w:t>域</w:t>
      </w:r>
      <w:r>
        <w:rPr>
          <w:rFonts w:ascii="仿宋_GB2312" w:hAnsi="仿宋_GB2312" w:eastAsia="仿宋_GB2312" w:cs="仿宋_GB2312"/>
          <w:sz w:val="32"/>
          <w:szCs w:val="32"/>
        </w:rPr>
        <w:t>卫生健康综合信息平台</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县</w:t>
      </w:r>
      <w:r>
        <w:rPr>
          <w:rFonts w:hint="eastAsia" w:ascii="仿宋_GB2312" w:hAnsi="仿宋_GB2312" w:eastAsia="仿宋_GB2312" w:cs="仿宋_GB2312"/>
          <w:sz w:val="32"/>
          <w:szCs w:val="32"/>
        </w:rPr>
        <w:t>域</w:t>
      </w:r>
      <w:r>
        <w:rPr>
          <w:rFonts w:ascii="仿宋_GB2312" w:hAnsi="仿宋_GB2312" w:eastAsia="仿宋_GB2312" w:cs="仿宋_GB2312"/>
          <w:sz w:val="32"/>
          <w:szCs w:val="32"/>
        </w:rPr>
        <w:t>内人口信息、电子病历、电子健康档案、公共卫生信息实现互联互通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影像、心电</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病理、检查检验结果实现共享互认</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加强健康医疗信息在区域内互联互通共享</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发挥数字技术在卫生资源均等化配置的创新作用</w:t>
      </w:r>
      <w:r>
        <w:rPr>
          <w:rFonts w:hint="eastAsia" w:ascii="仿宋_GB2312" w:hAnsi="仿宋_GB2312" w:eastAsia="仿宋_GB2312" w:cs="仿宋_GB2312"/>
          <w:sz w:val="32"/>
          <w:szCs w:val="32"/>
        </w:rPr>
        <w:t>。</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三、移动乡村巡诊。</w:t>
      </w:r>
      <w:r>
        <w:rPr>
          <w:rFonts w:ascii="仿宋_GB2312" w:hAnsi="仿宋_GB2312" w:eastAsia="仿宋_GB2312" w:cs="仿宋_GB2312"/>
          <w:sz w:val="32"/>
          <w:szCs w:val="32"/>
        </w:rPr>
        <w:t>帮扶医院</w:t>
      </w:r>
      <w:r>
        <w:rPr>
          <w:rFonts w:hint="eastAsia" w:ascii="仿宋_GB2312" w:hAnsi="仿宋_GB2312" w:eastAsia="仿宋_GB2312" w:cs="仿宋_GB2312"/>
          <w:sz w:val="32"/>
          <w:szCs w:val="32"/>
        </w:rPr>
        <w:t>、上</w:t>
      </w:r>
      <w:r>
        <w:rPr>
          <w:rFonts w:ascii="仿宋_GB2312" w:hAnsi="仿宋_GB2312" w:eastAsia="仿宋_GB2312" w:cs="仿宋_GB2312"/>
          <w:sz w:val="32"/>
          <w:szCs w:val="32"/>
        </w:rPr>
        <w:t>级医院或其他单位依</w:t>
      </w:r>
      <w:r>
        <w:rPr>
          <w:rFonts w:hint="eastAsia" w:ascii="仿宋_GB2312" w:hAnsi="仿宋_GB2312" w:eastAsia="仿宋_GB2312" w:cs="仿宋_GB2312"/>
          <w:sz w:val="32"/>
          <w:szCs w:val="32"/>
        </w:rPr>
        <w:t>托</w:t>
      </w:r>
      <w:r>
        <w:rPr>
          <w:rFonts w:ascii="仿宋_GB2312" w:hAnsi="仿宋_GB2312" w:eastAsia="仿宋_GB2312" w:cs="仿宋_GB2312"/>
          <w:sz w:val="32"/>
          <w:szCs w:val="32"/>
        </w:rPr>
        <w:t>5G网络、移动诊疗车构建移动巡诊工作站</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结合远程诊疗设备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远程检验设备、智能辅助决策系统等</w:t>
      </w:r>
      <w:r>
        <w:rPr>
          <w:rFonts w:hint="eastAsia" w:ascii="仿宋_GB2312" w:hAnsi="仿宋_GB2312" w:eastAsia="仿宋_GB2312" w:cs="仿宋_GB2312"/>
          <w:sz w:val="32"/>
          <w:szCs w:val="32"/>
        </w:rPr>
        <w:t>，为</w:t>
      </w:r>
      <w:r>
        <w:rPr>
          <w:rFonts w:ascii="仿宋_GB2312" w:hAnsi="仿宋_GB2312" w:eastAsia="仿宋_GB2312" w:cs="仿宋_GB2312"/>
          <w:sz w:val="32"/>
          <w:szCs w:val="32"/>
        </w:rPr>
        <w:t>乡村地区群众提供远程门诊、智能疾病筛查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智能检验检测、远程诊断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远程会诊等</w:t>
      </w:r>
      <w:r>
        <w:rPr>
          <w:rFonts w:hint="eastAsia" w:ascii="仿宋_GB2312" w:hAnsi="仿宋_GB2312" w:eastAsia="仿宋_GB2312" w:cs="仿宋_GB2312"/>
          <w:sz w:val="32"/>
          <w:szCs w:val="32"/>
        </w:rPr>
        <w:t>服务。应用试点在管理制度、医疗质量与安全、网络服务质量、网络安全等方面达到《互联网诊疗管理办法（试行）》（国卫医发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2018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25号）以及相关政策标准要求。</w:t>
      </w:r>
    </w:p>
    <w:p>
      <w:pPr>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预期目标：</w:t>
      </w:r>
      <w:r>
        <w:rPr>
          <w:rFonts w:hint="eastAsia" w:ascii="仿宋_GB2312" w:hAnsi="仿宋_GB2312" w:eastAsia="仿宋_GB2312" w:cs="仿宋_GB2312"/>
          <w:sz w:val="32"/>
          <w:szCs w:val="32"/>
        </w:rPr>
        <w:t>移动乡村巡诊车接入5G网络带宽达到50M以上，时延不超过100ms；移动巡诊服务项目覆盖至少3种重点疾病或慢性病的智能筛查、检验检测或远程治疗；对落地区域内行政村开展移动巡诊不少于2次/月，每次时长不少于半天；依托5G等新一代信息技术，挖掘乡村巡诊场景中智能筛查、检验检测、远程治疗新应用，完善巡诊服务体系建设。</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四、网络村医助手。</w:t>
      </w:r>
      <w:r>
        <w:rPr>
          <w:rFonts w:hint="eastAsia" w:ascii="仿宋_GB2312" w:hAnsi="仿宋_GB2312" w:eastAsia="仿宋_GB2312" w:cs="仿宋_GB2312"/>
          <w:sz w:val="32"/>
          <w:szCs w:val="32"/>
        </w:rPr>
        <w:t>医疗卫生机构、企业等依托千兆光网、5G等带宽网络，结合临床决策支持系统（CDSS）、检测检验设备、健康检查设备、人工智能、语音识别、数字人等技术，协助乡村医生为乡村地区群众提供家庭医生签约、智能检验检测、慢性病管理、健康咨询、中医干预等服务，重点做好心脑血管疾病、糖尿病、结核病、癌症、慢性呼吸系统疾病、严重精神障碍等慢病患者为网络化规范管理。应用试点在管理制度、设备设施、信息系统等方面达到《互联网诊疗管理办法（试行）》（国卫医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2018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25号）、《国家慢性病综合防控示范区建设管理办法》（国卫办疾控发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2016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44号）以及相关政策标准要求。</w:t>
      </w:r>
    </w:p>
    <w:p>
      <w:pPr>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预期目标：</w:t>
      </w:r>
      <w:r>
        <w:rPr>
          <w:rFonts w:hint="eastAsia" w:ascii="仿宋_GB2312" w:hAnsi="仿宋_GB2312" w:eastAsia="仿宋_GB2312" w:cs="仿宋_GB2312"/>
          <w:sz w:val="32"/>
          <w:szCs w:val="32"/>
        </w:rPr>
        <w:t>基层医疗卫生机构接入网络的带宽不低于100M；试点区域内家庭医生网络签约达到各行政村全覆盖；面向村医的在线临床决策支持系统支持至少500种常见疾病的在线咨询，支持至少4种慢性病患者的网络规范化管理；加快探索人工智能辅助诊断在乡村医疗卫生机构的创新应用，鼓励具备条件的村卫生室拓展符合其功能定位的数字化医疗服务。</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五、网络村医教育培训。</w:t>
      </w:r>
      <w:r>
        <w:rPr>
          <w:rFonts w:hint="eastAsia" w:ascii="仿宋_GB2312" w:hAnsi="仿宋_GB2312" w:eastAsia="仿宋_GB2312" w:cs="仿宋_GB2312"/>
          <w:sz w:val="32"/>
          <w:szCs w:val="32"/>
        </w:rPr>
        <w:t>医疗卫生机构、企业等依托千兆光网、5G等宽带网络，结合人工智能、虚拟现实/增强现实、数字人等技术，构建网络化、数字化的村医医学教育培训系统，开展疑难杂症及重大疾病病例探讨交流，通过远程教育手段推广普及实用型适宜技术和药品。应用试点在管理制度、设备设施、信息系统等方面达到《远程医疗服务管理规范(试行)》（国卫医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2018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25号）以及相关政策标准要求。</w:t>
      </w:r>
    </w:p>
    <w:p>
      <w:pPr>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预期目标：</w:t>
      </w:r>
      <w:r>
        <w:rPr>
          <w:rFonts w:hint="eastAsia" w:ascii="仿宋_GB2312" w:hAnsi="仿宋_GB2312" w:eastAsia="仿宋_GB2312" w:cs="仿宋_GB2312"/>
          <w:sz w:val="32"/>
          <w:szCs w:val="32"/>
        </w:rPr>
        <w:t>基层医疗卫生机构接入网络的带宽不低于100M；在试点区域面向村医提供覆盖公共卫生、基本医疗服务、适宜技术等领域的教育培训课程库，开展远程教育培训不少于4次/年，累计培训时间不少于20日/年；拓展线上教育培训模式，丰富数字教育资源和服务供给，提升智能化基本医疗服务水平。</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六、网络公共卫生防护。</w:t>
      </w:r>
      <w:r>
        <w:rPr>
          <w:rFonts w:hint="eastAsia" w:ascii="仿宋_GB2312" w:hAnsi="仿宋_GB2312" w:eastAsia="仿宋_GB2312" w:cs="仿宋_GB2312"/>
          <w:sz w:val="32"/>
          <w:szCs w:val="32"/>
        </w:rPr>
        <w:t>医疗卫生机构等单位依托千兆光网、5G等宽带网络，完善农村地区新冠病毒感染、禽流感等传染病智能预警和远程医疗服务机制，基于多源数据及时掌握和动态分析疾病发生趋势及传染病疫情信息，开展传染病远程监测和防治，加强流行病智能监测和防控，提高农村突发公共卫生事件预警与应急响应能力，应用试点在管理制度、工作流程、信息技术保障等方面达到突发公共卫生事件与传染病疫情监测相关管理制度及标准要求。</w:t>
      </w:r>
    </w:p>
    <w:p>
      <w:pPr>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预期目标：</w:t>
      </w:r>
      <w:r>
        <w:rPr>
          <w:rFonts w:hint="eastAsia" w:ascii="仿宋_GB2312" w:hAnsi="仿宋_GB2312" w:eastAsia="仿宋_GB2312" w:cs="仿宋_GB2312"/>
          <w:sz w:val="32"/>
          <w:szCs w:val="32"/>
        </w:rPr>
        <w:t>基层医疗卫生机构接入网络的带宽建议不低于100M；试点区域内传染病智能监测与预警网络达到各行政村全覆盖，开展公共卫生事件预警与应急演练不少于2次/年；提高乡村地区风险隐患智能预警能力，探索县级疾病预防控制中心标准化建设新模式，提升县域传染病控救治体系和应急处置能力。</w:t>
      </w:r>
      <w:r>
        <w:rPr>
          <w:rFonts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p>
    <w:p>
      <w:pPr>
        <w:tabs>
          <w:tab w:val="left" w:pos="523"/>
        </w:tabs>
        <w:adjustRightInd w:val="0"/>
        <w:snapToGrid w:val="0"/>
        <w:spacing w:line="360" w:lineRule="auto"/>
        <w:jc w:val="both"/>
        <w:rPr>
          <w:rFonts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UzMWNkNGRkNmY2NDljOGQzOGU5NjU5ZjYzYzY2MTEifQ=="/>
  </w:docVars>
  <w:rsids>
    <w:rsidRoot w:val="187C6131"/>
    <w:rsid w:val="001B6260"/>
    <w:rsid w:val="0033398C"/>
    <w:rsid w:val="004245BA"/>
    <w:rsid w:val="006059F1"/>
    <w:rsid w:val="00710727"/>
    <w:rsid w:val="00864C32"/>
    <w:rsid w:val="009B3055"/>
    <w:rsid w:val="00D86C78"/>
    <w:rsid w:val="00DD4570"/>
    <w:rsid w:val="00E05EC1"/>
    <w:rsid w:val="00EA4844"/>
    <w:rsid w:val="0714280B"/>
    <w:rsid w:val="0E914195"/>
    <w:rsid w:val="0FB870E0"/>
    <w:rsid w:val="187C6131"/>
    <w:rsid w:val="20090464"/>
    <w:rsid w:val="20E41CCD"/>
    <w:rsid w:val="2A6E7B66"/>
    <w:rsid w:val="2CB654EF"/>
    <w:rsid w:val="3F162059"/>
    <w:rsid w:val="3F696545"/>
    <w:rsid w:val="44BF6C07"/>
    <w:rsid w:val="464D3EC5"/>
    <w:rsid w:val="59945F0B"/>
    <w:rsid w:val="5AC464FB"/>
    <w:rsid w:val="6E5A2393"/>
    <w:rsid w:val="6F9D0738"/>
    <w:rsid w:val="70F41B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uiPriority w:val="0"/>
    <w:pP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脚 字符"/>
    <w:basedOn w:val="6"/>
    <w:link w:val="4"/>
    <w:uiPriority w:val="0"/>
    <w:rPr>
      <w:rFonts w:ascii="Calibri" w:hAnsi="Calibri" w:eastAsia="宋体" w:cs="Times New Roman"/>
      <w:kern w:val="2"/>
      <w:sz w:val="18"/>
      <w:szCs w:val="18"/>
    </w:rPr>
  </w:style>
  <w:style w:type="character" w:customStyle="1" w:styleId="11">
    <w:name w:val="页眉 字符"/>
    <w:basedOn w:val="6"/>
    <w:link w:val="5"/>
    <w:uiPriority w:val="0"/>
    <w:rPr>
      <w:rFonts w:ascii="Calibri" w:hAnsi="Calibri" w:eastAsia="宋体" w:cs="Times New Roman"/>
      <w:kern w:val="2"/>
      <w:sz w:val="18"/>
      <w:szCs w:val="18"/>
    </w:rPr>
  </w:style>
  <w:style w:type="character" w:customStyle="1" w:styleId="12">
    <w:name w:val="Unresolved Mention"/>
    <w:basedOn w:val="6"/>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939</Words>
  <Characters>5355</Characters>
  <Lines>44</Lines>
  <Paragraphs>12</Paragraphs>
  <TotalTime>26</TotalTime>
  <ScaleCrop>false</ScaleCrop>
  <LinksUpToDate>false</LinksUpToDate>
  <CharactersWithSpaces>6282</CharactersWithSpaces>
  <Application>WPS Office_10.8.2.7059_F1E327BC-269C-435d-A152-05C5408002CA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2023-08-04T09:49:00Z</dcterms:created>
  <dc:creator>朱弋</dc:creator>
  <cp:lastModifiedBy>BO</cp:lastModifiedBy>
  <dcterms:modified xsi:type="dcterms:W3CDTF">2023-08-28T01:01:50Z</dcterms:modified>
  <dc:title>浙江省通信管理局 浙江省经济和信息化厅 浙江省卫生健康委员会 关于组织开展“宽带网络+健康乡村”应用试点项目（第一批）申报工作的通知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2052-10.8.2.7059</vt:lpwstr>
  </property>
  <property fmtid="{D5CDD505-2E9C-101B-9397-08002B2CF9AE}" pid="3" name="ICV">
    <vt:lpwstr>6C409782F0F84E898969986941209D1A_13</vt:lpwstr>
  </property>
</Properties>
</file>