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pPr>
      <w:bookmarkStart w:id="0" w:name="_Hlk64896309"/>
    </w:p>
    <w:p>
      <w:pPr>
        <w:pStyle w:val="17"/>
        <w:tabs>
          <w:tab w:val="left" w:pos="2742"/>
        </w:tabs>
        <w:spacing w:line="480" w:lineRule="auto"/>
        <w:rPr>
          <w:sz w:val="44"/>
          <w:szCs w:val="44"/>
        </w:rPr>
      </w:pPr>
      <w:r>
        <w:rPr>
          <w:sz w:val="44"/>
          <w:szCs w:val="44"/>
        </w:rPr>
        <w:tab/>
      </w:r>
    </w:p>
    <w:p>
      <w:pPr>
        <w:pStyle w:val="17"/>
        <w:tabs>
          <w:tab w:val="left" w:pos="2742"/>
        </w:tabs>
        <w:spacing w:line="480" w:lineRule="auto"/>
        <w:rPr>
          <w:sz w:val="44"/>
          <w:szCs w:val="44"/>
        </w:rPr>
      </w:pPr>
    </w:p>
    <w:p>
      <w:pPr>
        <w:pStyle w:val="17"/>
        <w:spacing w:line="480" w:lineRule="auto"/>
        <w:rPr>
          <w:sz w:val="44"/>
          <w:szCs w:val="44"/>
        </w:rPr>
      </w:pPr>
    </w:p>
    <w:p>
      <w:pPr>
        <w:pStyle w:val="17"/>
        <w:spacing w:line="480" w:lineRule="auto"/>
        <w:jc w:val="center"/>
        <w:rPr>
          <w:rFonts w:hint="eastAsia" w:ascii="黑体" w:hAnsi="黑体" w:eastAsia="黑体"/>
          <w:sz w:val="52"/>
          <w:szCs w:val="52"/>
        </w:rPr>
      </w:pPr>
      <w:r>
        <w:rPr>
          <w:rFonts w:hint="eastAsia" w:ascii="黑体" w:hAnsi="黑体" w:eastAsia="黑体"/>
          <w:sz w:val="52"/>
          <w:szCs w:val="52"/>
        </w:rPr>
        <w:t>强制性国家标准</w:t>
      </w:r>
    </w:p>
    <w:p>
      <w:pPr>
        <w:pStyle w:val="17"/>
        <w:spacing w:line="480" w:lineRule="auto"/>
        <w:jc w:val="center"/>
        <w:rPr>
          <w:rFonts w:hint="eastAsia" w:ascii="黑体" w:hAnsi="黑体" w:eastAsia="黑体"/>
          <w:spacing w:val="-10"/>
          <w:sz w:val="52"/>
          <w:szCs w:val="52"/>
        </w:rPr>
      </w:pPr>
      <w:r>
        <w:rPr>
          <w:rFonts w:hint="eastAsia" w:ascii="黑体" w:hAnsi="黑体" w:eastAsia="黑体"/>
          <w:spacing w:val="-10"/>
          <w:sz w:val="52"/>
          <w:szCs w:val="52"/>
        </w:rPr>
        <w:t>《乘用车燃料消耗量评价方法及指标》</w:t>
      </w:r>
    </w:p>
    <w:p>
      <w:pPr>
        <w:pStyle w:val="17"/>
        <w:jc w:val="center"/>
        <w:rPr>
          <w:rFonts w:hint="eastAsia" w:ascii="黑体" w:hAnsi="黑体" w:eastAsia="黑体"/>
          <w:sz w:val="32"/>
          <w:szCs w:val="32"/>
        </w:rPr>
      </w:pPr>
      <w:r>
        <w:rPr>
          <w:rFonts w:hint="eastAsia" w:ascii="黑体" w:hAnsi="黑体" w:eastAsia="黑体"/>
          <w:sz w:val="32"/>
          <w:szCs w:val="32"/>
        </w:rPr>
        <w:t>（征求意见稿）</w:t>
      </w:r>
    </w:p>
    <w:p>
      <w:pPr>
        <w:pStyle w:val="17"/>
        <w:jc w:val="center"/>
        <w:rPr>
          <w:sz w:val="52"/>
          <w:szCs w:val="52"/>
        </w:rPr>
      </w:pPr>
      <w:r>
        <w:rPr>
          <w:rFonts w:hint="eastAsia" w:ascii="黑体" w:hAnsi="黑体" w:eastAsia="黑体"/>
          <w:sz w:val="52"/>
          <w:szCs w:val="52"/>
        </w:rPr>
        <w:t>编制说明</w:t>
      </w:r>
    </w:p>
    <w:p>
      <w:pPr>
        <w:pStyle w:val="17"/>
        <w:rPr>
          <w:sz w:val="52"/>
          <w:szCs w:val="52"/>
        </w:rPr>
      </w:pPr>
    </w:p>
    <w:p>
      <w:pPr>
        <w:pStyle w:val="17"/>
        <w:rPr>
          <w:sz w:val="52"/>
          <w:szCs w:val="52"/>
        </w:rPr>
      </w:pPr>
    </w:p>
    <w:p>
      <w:pPr>
        <w:pStyle w:val="17"/>
        <w:rPr>
          <w:sz w:val="52"/>
          <w:szCs w:val="52"/>
        </w:rPr>
      </w:pPr>
    </w:p>
    <w:p>
      <w:pPr>
        <w:pStyle w:val="17"/>
        <w:rPr>
          <w:sz w:val="52"/>
          <w:szCs w:val="52"/>
        </w:rPr>
      </w:pPr>
    </w:p>
    <w:p>
      <w:pPr>
        <w:pStyle w:val="17"/>
        <w:rPr>
          <w:sz w:val="52"/>
          <w:szCs w:val="52"/>
        </w:rPr>
      </w:pPr>
    </w:p>
    <w:p>
      <w:pPr>
        <w:ind w:firstLine="0" w:firstLineChars="0"/>
        <w:rPr>
          <w:rFonts w:hint="eastAsia" w:ascii="宋体" w:hAnsi="宋体"/>
          <w:sz w:val="28"/>
          <w:szCs w:val="28"/>
        </w:rPr>
      </w:pPr>
    </w:p>
    <w:p>
      <w:pPr>
        <w:ind w:firstLine="0" w:firstLineChars="0"/>
        <w:rPr>
          <w:rFonts w:hint="eastAsia" w:ascii="宋体" w:hAnsi="宋体"/>
          <w:sz w:val="28"/>
          <w:szCs w:val="28"/>
        </w:rPr>
      </w:pPr>
    </w:p>
    <w:p>
      <w:pPr>
        <w:ind w:firstLine="0" w:firstLineChars="0"/>
        <w:jc w:val="center"/>
        <w:rPr>
          <w:sz w:val="28"/>
          <w:szCs w:val="28"/>
        </w:rPr>
      </w:pPr>
      <w:bookmarkStart w:id="54" w:name="_GoBack"/>
      <w:bookmarkEnd w:id="54"/>
    </w:p>
    <w:p>
      <w:pPr>
        <w:pStyle w:val="17"/>
        <w:jc w:val="center"/>
        <w:outlineLvl w:val="0"/>
        <w:rPr>
          <w:rFonts w:ascii="Times New Roman" w:cs="Times New Roman"/>
          <w:bCs/>
          <w:sz w:val="28"/>
          <w:szCs w:val="28"/>
        </w:rPr>
      </w:pPr>
      <w:bookmarkStart w:id="1" w:name="_Toc36212234"/>
      <w:bookmarkStart w:id="2" w:name="_Toc4474"/>
      <w:bookmarkStart w:id="3" w:name="_Toc6563"/>
      <w:bookmarkStart w:id="4" w:name="_Toc64898470"/>
      <w:bookmarkStart w:id="5" w:name="_Toc1833"/>
      <w:r>
        <w:rPr>
          <w:rFonts w:hint="eastAsia" w:ascii="Times New Roman" w:cs="Times New Roman"/>
          <w:bCs/>
          <w:sz w:val="28"/>
          <w:szCs w:val="28"/>
        </w:rPr>
        <w:t>2024</w:t>
      </w:r>
      <w:r>
        <w:rPr>
          <w:rFonts w:ascii="Times New Roman" w:cs="Times New Roman"/>
          <w:bCs/>
          <w:sz w:val="28"/>
          <w:szCs w:val="28"/>
        </w:rPr>
        <w:t>年</w:t>
      </w:r>
      <w:r>
        <w:rPr>
          <w:rFonts w:hint="eastAsia" w:ascii="Times New Roman" w:cs="Times New Roman"/>
          <w:bCs/>
          <w:sz w:val="28"/>
          <w:szCs w:val="28"/>
        </w:rPr>
        <w:t>8</w:t>
      </w:r>
      <w:r>
        <w:rPr>
          <w:rFonts w:ascii="Times New Roman" w:cs="Times New Roman"/>
          <w:bCs/>
          <w:sz w:val="28"/>
          <w:szCs w:val="28"/>
        </w:rPr>
        <w:t>月</w:t>
      </w:r>
      <w:bookmarkEnd w:id="1"/>
      <w:bookmarkEnd w:id="2"/>
      <w:bookmarkEnd w:id="3"/>
      <w:bookmarkEnd w:id="4"/>
      <w:bookmarkEnd w:id="5"/>
      <w:bookmarkStart w:id="6" w:name="_Toc12015"/>
      <w:bookmarkStart w:id="7" w:name="_Toc29559"/>
      <w:bookmarkStart w:id="8" w:name="_Toc4065"/>
      <w:bookmarkStart w:id="9" w:name="_Toc28417"/>
      <w:bookmarkStart w:id="10" w:name="_Toc36212235"/>
      <w:bookmarkStart w:id="11" w:name="_Toc28374"/>
      <w:bookmarkStart w:id="12" w:name="_Toc30310"/>
    </w:p>
    <w:bookmarkEnd w:id="0"/>
    <w:p>
      <w:pPr>
        <w:pStyle w:val="17"/>
        <w:jc w:val="center"/>
        <w:outlineLvl w:val="0"/>
        <w:rPr>
          <w:rFonts w:ascii="Times New Roman" w:cs="Times New Roman"/>
          <w:bCs/>
          <w:sz w:val="28"/>
          <w:szCs w:val="28"/>
        </w:rPr>
      </w:pPr>
    </w:p>
    <w:p>
      <w:pPr>
        <w:pStyle w:val="17"/>
        <w:jc w:val="center"/>
        <w:outlineLvl w:val="0"/>
        <w:rPr>
          <w:rFonts w:hint="eastAsia" w:ascii="黑体" w:hAnsi="黑体" w:eastAsia="黑体"/>
        </w:rPr>
      </w:pPr>
    </w:p>
    <w:p>
      <w:pPr>
        <w:pStyle w:val="17"/>
        <w:spacing w:before="156" w:beforeLines="50" w:after="156" w:afterLines="50"/>
        <w:jc w:val="center"/>
        <w:outlineLvl w:val="0"/>
      </w:pPr>
      <w:bookmarkStart w:id="13" w:name="_Toc64898471"/>
      <w:bookmarkStart w:id="14" w:name="_Hlk64896338"/>
      <w:r>
        <w:rPr>
          <w:rFonts w:hint="eastAsia" w:ascii="黑体" w:hAnsi="黑体" w:eastAsia="黑体"/>
          <w:sz w:val="28"/>
          <w:szCs w:val="28"/>
        </w:rPr>
        <w:t>目</w:t>
      </w:r>
      <w:bookmarkStart w:id="15" w:name="BKML"/>
      <w:r>
        <w:rPr>
          <w:rFonts w:ascii="黑体" w:hAnsi="黑体" w:eastAsia="黑体"/>
          <w:sz w:val="28"/>
          <w:szCs w:val="28"/>
        </w:rPr>
        <w:t xml:space="preserve">  </w:t>
      </w:r>
      <w:r>
        <w:rPr>
          <w:rFonts w:hint="eastAsia" w:ascii="黑体" w:hAnsi="黑体" w:eastAsia="黑体"/>
          <w:sz w:val="28"/>
          <w:szCs w:val="28"/>
        </w:rPr>
        <w:t>次</w:t>
      </w:r>
      <w:bookmarkEnd w:id="6"/>
      <w:bookmarkEnd w:id="7"/>
      <w:bookmarkEnd w:id="8"/>
      <w:bookmarkEnd w:id="13"/>
      <w:bookmarkEnd w:id="15"/>
      <w:r>
        <w:fldChar w:fldCharType="begin"/>
      </w:r>
      <w:r>
        <w:instrText xml:space="preserve">TOC \o "1-2" \h \u </w:instrText>
      </w:r>
      <w:r>
        <w:fldChar w:fldCharType="separate"/>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"_Toc64898475" </w:instrText>
      </w:r>
      <w:r>
        <w:fldChar w:fldCharType="separate"/>
      </w:r>
      <w:r>
        <w:rPr>
          <w:rFonts w:eastAsia="黑体"/>
          <w:bCs/>
          <w:szCs w:val="21"/>
        </w:rPr>
        <w:t>一、工作简况</w:t>
      </w:r>
      <w:r>
        <w:rPr>
          <w:rFonts w:eastAsia="黑体"/>
          <w:bCs/>
          <w:szCs w:val="21"/>
        </w:rPr>
        <w:tab/>
      </w:r>
      <w:r>
        <w:rPr>
          <w:rFonts w:eastAsia="黑体"/>
          <w:bCs/>
          <w:szCs w:val="21"/>
        </w:rPr>
        <w:fldChar w:fldCharType="begin"/>
      </w:r>
      <w:r>
        <w:rPr>
          <w:rFonts w:eastAsia="黑体"/>
          <w:bCs/>
          <w:szCs w:val="21"/>
        </w:rPr>
        <w:instrText xml:space="preserve"> PAGEREF _Toc64898475 \h </w:instrText>
      </w:r>
      <w:r>
        <w:rPr>
          <w:rFonts w:eastAsia="黑体"/>
          <w:bCs/>
          <w:szCs w:val="21"/>
        </w:rPr>
        <w:fldChar w:fldCharType="separate"/>
      </w:r>
      <w:r>
        <w:rPr>
          <w:rFonts w:eastAsia="黑体"/>
          <w:bCs/>
          <w:szCs w:val="21"/>
        </w:rPr>
        <w:t>1</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"_Toc64898476" </w:instrText>
      </w:r>
      <w:r>
        <w:fldChar w:fldCharType="separate"/>
      </w:r>
      <w:r>
        <w:rPr>
          <w:rFonts w:eastAsia="黑体"/>
          <w:bCs/>
          <w:szCs w:val="21"/>
        </w:rPr>
        <w:t>二、编制原则、强制性国家标准主要技术要求的依据及理由</w:t>
      </w:r>
      <w:r>
        <w:rPr>
          <w:rFonts w:eastAsia="黑体"/>
          <w:bCs/>
          <w:szCs w:val="21"/>
        </w:rPr>
        <w:tab/>
      </w:r>
      <w:r>
        <w:rPr>
          <w:rFonts w:eastAsia="黑体"/>
          <w:bCs/>
          <w:szCs w:val="21"/>
        </w:rPr>
        <w:fldChar w:fldCharType="begin"/>
      </w:r>
      <w:r>
        <w:rPr>
          <w:rFonts w:eastAsia="黑体"/>
          <w:bCs/>
          <w:szCs w:val="21"/>
        </w:rPr>
        <w:instrText xml:space="preserve"> PAGEREF _Toc64898476 \h </w:instrText>
      </w:r>
      <w:r>
        <w:rPr>
          <w:rFonts w:eastAsia="黑体"/>
          <w:bCs/>
          <w:szCs w:val="21"/>
        </w:rPr>
        <w:fldChar w:fldCharType="separate"/>
      </w:r>
      <w:r>
        <w:rPr>
          <w:rFonts w:eastAsia="黑体"/>
          <w:bCs/>
          <w:szCs w:val="21"/>
        </w:rPr>
        <w:t>5</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"_Toc64898477" </w:instrText>
      </w:r>
      <w:r>
        <w:fldChar w:fldCharType="separate"/>
      </w:r>
      <w:r>
        <w:rPr>
          <w:rFonts w:eastAsia="黑体"/>
          <w:bCs/>
          <w:szCs w:val="21"/>
        </w:rPr>
        <w:t>三、与有关法律、行政法规和其他标准的关系</w:t>
      </w:r>
      <w:r>
        <w:rPr>
          <w:rFonts w:eastAsia="黑体"/>
          <w:bCs/>
          <w:szCs w:val="21"/>
        </w:rPr>
        <w:tab/>
      </w:r>
      <w:r>
        <w:rPr>
          <w:rFonts w:eastAsia="黑体"/>
          <w:bCs/>
          <w:szCs w:val="21"/>
        </w:rPr>
        <w:fldChar w:fldCharType="begin"/>
      </w:r>
      <w:r>
        <w:rPr>
          <w:rFonts w:eastAsia="黑体"/>
          <w:bCs/>
          <w:szCs w:val="21"/>
        </w:rPr>
        <w:instrText xml:space="preserve"> PAGEREF _Toc64898477 \h </w:instrText>
      </w:r>
      <w:r>
        <w:rPr>
          <w:rFonts w:eastAsia="黑体"/>
          <w:bCs/>
          <w:szCs w:val="21"/>
        </w:rPr>
        <w:fldChar w:fldCharType="separate"/>
      </w:r>
      <w:r>
        <w:rPr>
          <w:rFonts w:eastAsia="黑体"/>
          <w:bCs/>
          <w:szCs w:val="21"/>
        </w:rPr>
        <w:t>14</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"_Toc64898478" </w:instrText>
      </w:r>
      <w:r>
        <w:fldChar w:fldCharType="separate"/>
      </w:r>
      <w:r>
        <w:rPr>
          <w:rFonts w:eastAsia="黑体"/>
          <w:bCs/>
          <w:szCs w:val="21"/>
        </w:rPr>
        <w:t>四、与国际标准化组织、其他国家或者地区有关法律法规和标准的比对分析</w:t>
      </w:r>
      <w:r>
        <w:rPr>
          <w:rFonts w:eastAsia="黑体"/>
          <w:bCs/>
          <w:szCs w:val="21"/>
        </w:rPr>
        <w:tab/>
      </w:r>
      <w:r>
        <w:rPr>
          <w:rFonts w:eastAsia="黑体"/>
          <w:bCs/>
          <w:szCs w:val="21"/>
        </w:rPr>
        <w:fldChar w:fldCharType="begin"/>
      </w:r>
      <w:r>
        <w:rPr>
          <w:rFonts w:eastAsia="黑体"/>
          <w:bCs/>
          <w:szCs w:val="21"/>
        </w:rPr>
        <w:instrText xml:space="preserve"> PAGEREF _Toc64898478 \h </w:instrText>
      </w:r>
      <w:r>
        <w:rPr>
          <w:rFonts w:eastAsia="黑体"/>
          <w:bCs/>
          <w:szCs w:val="21"/>
        </w:rPr>
        <w:fldChar w:fldCharType="separate"/>
      </w:r>
      <w:r>
        <w:rPr>
          <w:rFonts w:eastAsia="黑体"/>
          <w:bCs/>
          <w:szCs w:val="21"/>
        </w:rPr>
        <w:t>14</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"_Toc64898479" </w:instrText>
      </w:r>
      <w:r>
        <w:fldChar w:fldCharType="separate"/>
      </w:r>
      <w:r>
        <w:rPr>
          <w:rFonts w:eastAsia="黑体"/>
          <w:bCs/>
          <w:szCs w:val="21"/>
        </w:rPr>
        <w:t>五、重大分歧意见的处理过程、处理意见及其依据</w:t>
      </w:r>
      <w:r>
        <w:rPr>
          <w:rFonts w:eastAsia="黑体"/>
          <w:bCs/>
          <w:szCs w:val="21"/>
        </w:rPr>
        <w:tab/>
      </w:r>
      <w:r>
        <w:rPr>
          <w:rFonts w:eastAsia="黑体"/>
          <w:bCs/>
          <w:szCs w:val="21"/>
        </w:rPr>
        <w:fldChar w:fldCharType="begin"/>
      </w:r>
      <w:r>
        <w:rPr>
          <w:rFonts w:eastAsia="黑体"/>
          <w:bCs/>
          <w:szCs w:val="21"/>
        </w:rPr>
        <w:instrText xml:space="preserve"> PAGEREF _Toc64898479 \h </w:instrText>
      </w:r>
      <w:r>
        <w:rPr>
          <w:rFonts w:eastAsia="黑体"/>
          <w:bCs/>
          <w:szCs w:val="21"/>
        </w:rPr>
        <w:fldChar w:fldCharType="separate"/>
      </w:r>
      <w:r>
        <w:rPr>
          <w:rFonts w:eastAsia="黑体"/>
          <w:bCs/>
          <w:szCs w:val="21"/>
        </w:rPr>
        <w:t>15</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"_Toc64898480" </w:instrText>
      </w:r>
      <w:r>
        <w:fldChar w:fldCharType="separate"/>
      </w:r>
      <w:r>
        <w:rPr>
          <w:rFonts w:eastAsia="黑体"/>
          <w:bCs/>
          <w:szCs w:val="21"/>
        </w:rPr>
        <w:t>六、对强制性国家标准自发布日期至实施日期之间的过渡期的建议及理由</w:t>
      </w:r>
      <w:r>
        <w:rPr>
          <w:rFonts w:eastAsia="黑体"/>
          <w:bCs/>
          <w:szCs w:val="21"/>
        </w:rPr>
        <w:tab/>
      </w:r>
      <w:r>
        <w:rPr>
          <w:rFonts w:eastAsia="黑体"/>
          <w:bCs/>
          <w:szCs w:val="21"/>
        </w:rPr>
        <w:fldChar w:fldCharType="begin"/>
      </w:r>
      <w:r>
        <w:rPr>
          <w:rFonts w:eastAsia="黑体"/>
          <w:bCs/>
          <w:szCs w:val="21"/>
        </w:rPr>
        <w:instrText xml:space="preserve"> PAGEREF _Toc64898480 \h </w:instrText>
      </w:r>
      <w:r>
        <w:rPr>
          <w:rFonts w:eastAsia="黑体"/>
          <w:bCs/>
          <w:szCs w:val="21"/>
        </w:rPr>
        <w:fldChar w:fldCharType="separate"/>
      </w:r>
      <w:r>
        <w:rPr>
          <w:rFonts w:eastAsia="黑体"/>
          <w:bCs/>
          <w:szCs w:val="21"/>
        </w:rPr>
        <w:t>15</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"_Toc64898481" </w:instrText>
      </w:r>
      <w:r>
        <w:fldChar w:fldCharType="separate"/>
      </w:r>
      <w:r>
        <w:rPr>
          <w:rFonts w:eastAsia="黑体"/>
          <w:bCs/>
          <w:szCs w:val="21"/>
        </w:rPr>
        <w:t>七、与实施强制性国家标准有关的政策措施</w:t>
      </w:r>
      <w:r>
        <w:rPr>
          <w:rFonts w:eastAsia="黑体"/>
          <w:bCs/>
          <w:szCs w:val="21"/>
        </w:rPr>
        <w:tab/>
      </w:r>
      <w:r>
        <w:rPr>
          <w:rFonts w:eastAsia="黑体"/>
          <w:bCs/>
          <w:szCs w:val="21"/>
        </w:rPr>
        <w:fldChar w:fldCharType="begin"/>
      </w:r>
      <w:r>
        <w:rPr>
          <w:rFonts w:eastAsia="黑体"/>
          <w:bCs/>
          <w:szCs w:val="21"/>
        </w:rPr>
        <w:instrText xml:space="preserve"> PAGEREF _Toc64898481 \h </w:instrText>
      </w:r>
      <w:r>
        <w:rPr>
          <w:rFonts w:eastAsia="黑体"/>
          <w:bCs/>
          <w:szCs w:val="21"/>
        </w:rPr>
        <w:fldChar w:fldCharType="separate"/>
      </w:r>
      <w:r>
        <w:rPr>
          <w:rFonts w:eastAsia="黑体"/>
          <w:bCs/>
          <w:szCs w:val="21"/>
        </w:rPr>
        <w:t>16</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"_Toc64898482" </w:instrText>
      </w:r>
      <w:r>
        <w:fldChar w:fldCharType="separate"/>
      </w:r>
      <w:r>
        <w:rPr>
          <w:rFonts w:eastAsia="黑体"/>
          <w:bCs/>
          <w:szCs w:val="21"/>
        </w:rPr>
        <w:t>八、是否需要对外通报的建议及理由</w:t>
      </w:r>
      <w:r>
        <w:rPr>
          <w:rFonts w:eastAsia="黑体"/>
          <w:bCs/>
          <w:szCs w:val="21"/>
        </w:rPr>
        <w:tab/>
      </w:r>
      <w:r>
        <w:rPr>
          <w:rFonts w:eastAsia="黑体"/>
          <w:bCs/>
          <w:szCs w:val="21"/>
        </w:rPr>
        <w:fldChar w:fldCharType="begin"/>
      </w:r>
      <w:r>
        <w:rPr>
          <w:rFonts w:eastAsia="黑体"/>
          <w:bCs/>
          <w:szCs w:val="21"/>
        </w:rPr>
        <w:instrText xml:space="preserve"> PAGEREF _Toc64898482 \h </w:instrText>
      </w:r>
      <w:r>
        <w:rPr>
          <w:rFonts w:eastAsia="黑体"/>
          <w:bCs/>
          <w:szCs w:val="21"/>
        </w:rPr>
        <w:fldChar w:fldCharType="separate"/>
      </w:r>
      <w:r>
        <w:rPr>
          <w:rFonts w:eastAsia="黑体"/>
          <w:bCs/>
          <w:szCs w:val="21"/>
        </w:rPr>
        <w:t>16</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"_Toc64898483" </w:instrText>
      </w:r>
      <w:r>
        <w:fldChar w:fldCharType="separate"/>
      </w:r>
      <w:r>
        <w:rPr>
          <w:rFonts w:eastAsia="黑体"/>
          <w:bCs/>
          <w:szCs w:val="21"/>
        </w:rPr>
        <w:t>九、废止现行有关标准的建议</w:t>
      </w:r>
      <w:r>
        <w:rPr>
          <w:rFonts w:eastAsia="黑体"/>
          <w:bCs/>
          <w:szCs w:val="21"/>
        </w:rPr>
        <w:tab/>
      </w:r>
      <w:r>
        <w:rPr>
          <w:rFonts w:eastAsia="黑体"/>
          <w:bCs/>
          <w:szCs w:val="21"/>
        </w:rPr>
        <w:fldChar w:fldCharType="begin"/>
      </w:r>
      <w:r>
        <w:rPr>
          <w:rFonts w:eastAsia="黑体"/>
          <w:bCs/>
          <w:szCs w:val="21"/>
        </w:rPr>
        <w:instrText xml:space="preserve"> PAGEREF _Toc64898483 \h </w:instrText>
      </w:r>
      <w:r>
        <w:rPr>
          <w:rFonts w:eastAsia="黑体"/>
          <w:bCs/>
          <w:szCs w:val="21"/>
        </w:rPr>
        <w:fldChar w:fldCharType="separate"/>
      </w:r>
      <w:r>
        <w:rPr>
          <w:rFonts w:eastAsia="黑体"/>
          <w:bCs/>
          <w:szCs w:val="21"/>
        </w:rPr>
        <w:t>16</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"_Toc64898484" </w:instrText>
      </w:r>
      <w:r>
        <w:fldChar w:fldCharType="separate"/>
      </w:r>
      <w:r>
        <w:rPr>
          <w:rFonts w:eastAsia="黑体"/>
          <w:bCs/>
          <w:szCs w:val="21"/>
        </w:rPr>
        <w:t>十、涉及专利的有关说明</w:t>
      </w:r>
      <w:r>
        <w:rPr>
          <w:rFonts w:eastAsia="黑体"/>
          <w:bCs/>
          <w:szCs w:val="21"/>
        </w:rPr>
        <w:tab/>
      </w:r>
      <w:r>
        <w:rPr>
          <w:rFonts w:eastAsia="黑体"/>
          <w:bCs/>
          <w:szCs w:val="21"/>
        </w:rPr>
        <w:fldChar w:fldCharType="begin"/>
      </w:r>
      <w:r>
        <w:rPr>
          <w:rFonts w:eastAsia="黑体"/>
          <w:bCs/>
          <w:szCs w:val="21"/>
        </w:rPr>
        <w:instrText xml:space="preserve"> PAGEREF _Toc64898484 \h </w:instrText>
      </w:r>
      <w:r>
        <w:rPr>
          <w:rFonts w:eastAsia="黑体"/>
          <w:bCs/>
          <w:szCs w:val="21"/>
        </w:rPr>
        <w:fldChar w:fldCharType="separate"/>
      </w:r>
      <w:r>
        <w:rPr>
          <w:rFonts w:eastAsia="黑体"/>
          <w:bCs/>
          <w:szCs w:val="21"/>
        </w:rPr>
        <w:t>16</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"_Toc64898485" </w:instrText>
      </w:r>
      <w:r>
        <w:fldChar w:fldCharType="separate"/>
      </w:r>
      <w:r>
        <w:rPr>
          <w:rFonts w:eastAsia="黑体"/>
          <w:bCs/>
          <w:szCs w:val="21"/>
        </w:rPr>
        <w:t>十一、强制性国家标准所涉及的产品、过程或者服务目录</w:t>
      </w:r>
      <w:r>
        <w:rPr>
          <w:rFonts w:eastAsia="黑体"/>
          <w:bCs/>
          <w:szCs w:val="21"/>
        </w:rPr>
        <w:tab/>
      </w:r>
      <w:r>
        <w:rPr>
          <w:rFonts w:eastAsia="黑体"/>
          <w:bCs/>
          <w:szCs w:val="21"/>
        </w:rPr>
        <w:fldChar w:fldCharType="begin"/>
      </w:r>
      <w:r>
        <w:rPr>
          <w:rFonts w:eastAsia="黑体"/>
          <w:bCs/>
          <w:szCs w:val="21"/>
        </w:rPr>
        <w:instrText xml:space="preserve"> PAGEREF _Toc64898485 \h </w:instrText>
      </w:r>
      <w:r>
        <w:rPr>
          <w:rFonts w:eastAsia="黑体"/>
          <w:bCs/>
          <w:szCs w:val="21"/>
        </w:rPr>
        <w:fldChar w:fldCharType="separate"/>
      </w:r>
      <w:r>
        <w:rPr>
          <w:rFonts w:eastAsia="黑体"/>
          <w:bCs/>
          <w:szCs w:val="21"/>
        </w:rPr>
        <w:t>16</w:t>
      </w:r>
      <w:r>
        <w:rPr>
          <w:rFonts w:eastAsia="黑体"/>
          <w:bCs/>
          <w:szCs w:val="21"/>
        </w:rPr>
        <w:fldChar w:fldCharType="end"/>
      </w:r>
      <w:r>
        <w:rPr>
          <w:rFonts w:eastAsia="黑体"/>
          <w:bCs/>
          <w:szCs w:val="21"/>
        </w:rPr>
        <w:fldChar w:fldCharType="end"/>
      </w:r>
    </w:p>
    <w:p>
      <w:pPr>
        <w:pStyle w:val="7"/>
        <w:tabs>
          <w:tab w:val="right" w:leader="dot" w:pos="8296"/>
        </w:tabs>
        <w:spacing w:line="400" w:lineRule="exact"/>
        <w:ind w:firstLine="420"/>
        <w:jc w:val="right"/>
        <w:rPr>
          <w:rFonts w:eastAsia="黑体"/>
          <w:bCs/>
          <w:szCs w:val="21"/>
        </w:rPr>
      </w:pPr>
      <w:r>
        <w:fldChar w:fldCharType="begin"/>
      </w:r>
      <w:r>
        <w:instrText xml:space="preserve"> HYPERLINK \l "_Toc64898486" </w:instrText>
      </w:r>
      <w:r>
        <w:fldChar w:fldCharType="separate"/>
      </w:r>
      <w:r>
        <w:rPr>
          <w:rFonts w:eastAsia="黑体"/>
          <w:bCs/>
          <w:szCs w:val="21"/>
        </w:rPr>
        <w:t>十二、其他应当予以说明的事项</w:t>
      </w:r>
      <w:r>
        <w:rPr>
          <w:rFonts w:eastAsia="黑体"/>
          <w:bCs/>
          <w:szCs w:val="21"/>
        </w:rPr>
        <w:tab/>
      </w:r>
      <w:r>
        <w:rPr>
          <w:rFonts w:eastAsia="黑体"/>
          <w:bCs/>
          <w:szCs w:val="21"/>
        </w:rPr>
        <w:fldChar w:fldCharType="begin"/>
      </w:r>
      <w:r>
        <w:rPr>
          <w:rFonts w:eastAsia="黑体"/>
          <w:bCs/>
          <w:szCs w:val="21"/>
        </w:rPr>
        <w:instrText xml:space="preserve"> PAGEREF _Toc64898486 \h </w:instrText>
      </w:r>
      <w:r>
        <w:rPr>
          <w:rFonts w:eastAsia="黑体"/>
          <w:bCs/>
          <w:szCs w:val="21"/>
        </w:rPr>
        <w:fldChar w:fldCharType="separate"/>
      </w:r>
      <w:r>
        <w:rPr>
          <w:rFonts w:eastAsia="黑体"/>
          <w:bCs/>
          <w:szCs w:val="21"/>
        </w:rPr>
        <w:t>16</w:t>
      </w:r>
      <w:r>
        <w:rPr>
          <w:rFonts w:eastAsia="黑体"/>
          <w:bCs/>
          <w:szCs w:val="21"/>
        </w:rPr>
        <w:fldChar w:fldCharType="end"/>
      </w:r>
      <w:r>
        <w:rPr>
          <w:rFonts w:eastAsia="黑体"/>
          <w:bCs/>
          <w:szCs w:val="21"/>
        </w:rPr>
        <w:fldChar w:fldCharType="end"/>
      </w:r>
    </w:p>
    <w:p>
      <w:pPr>
        <w:autoSpaceDE w:val="0"/>
        <w:autoSpaceDN w:val="0"/>
        <w:adjustRightInd w:val="0"/>
        <w:spacing w:line="240" w:lineRule="auto"/>
        <w:ind w:firstLine="0" w:firstLineChars="0"/>
        <w:jc w:val="center"/>
        <w:outlineLvl w:val="0"/>
        <w:rPr>
          <w:rFonts w:hint="eastAsia" w:ascii="黑体" w:hAnsi="黑体" w:eastAsia="黑体"/>
          <w:color w:val="000000"/>
          <w:kern w:val="0"/>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312" w:charSpace="0"/>
        </w:sectPr>
      </w:pPr>
      <w:r>
        <w:fldChar w:fldCharType="end"/>
      </w:r>
      <w:bookmarkEnd w:id="14"/>
    </w:p>
    <w:p>
      <w:pPr>
        <w:autoSpaceDE w:val="0"/>
        <w:autoSpaceDN w:val="0"/>
        <w:adjustRightInd w:val="0"/>
        <w:spacing w:line="240" w:lineRule="auto"/>
        <w:ind w:firstLine="0" w:firstLineChars="0"/>
        <w:jc w:val="center"/>
        <w:outlineLvl w:val="0"/>
        <w:rPr>
          <w:rFonts w:hint="eastAsia" w:ascii="黑体" w:hAnsi="黑体" w:eastAsia="黑体"/>
          <w:color w:val="000000"/>
          <w:kern w:val="0"/>
          <w:sz w:val="32"/>
          <w:szCs w:val="32"/>
        </w:rPr>
      </w:pPr>
      <w:bookmarkStart w:id="16" w:name="_Toc64898472"/>
      <w:r>
        <w:rPr>
          <w:rFonts w:ascii="黑体" w:hAnsi="黑体" w:eastAsia="黑体"/>
          <w:color w:val="000000"/>
          <w:kern w:val="0"/>
          <w:sz w:val="32"/>
          <w:szCs w:val="32"/>
        </w:rPr>
        <w:t>《</w:t>
      </w:r>
      <w:r>
        <w:rPr>
          <w:rFonts w:hint="eastAsia" w:ascii="黑体" w:hAnsi="黑体" w:eastAsia="黑体"/>
          <w:color w:val="000000"/>
          <w:kern w:val="0"/>
          <w:sz w:val="32"/>
          <w:szCs w:val="32"/>
        </w:rPr>
        <w:t>乘用车燃料消耗量评价方法及指标</w:t>
      </w:r>
      <w:r>
        <w:rPr>
          <w:rFonts w:ascii="黑体" w:hAnsi="黑体" w:eastAsia="黑体"/>
          <w:color w:val="000000"/>
          <w:kern w:val="0"/>
          <w:sz w:val="32"/>
          <w:szCs w:val="32"/>
        </w:rPr>
        <w:t>》</w:t>
      </w:r>
      <w:bookmarkEnd w:id="9"/>
      <w:bookmarkEnd w:id="10"/>
      <w:bookmarkEnd w:id="11"/>
      <w:bookmarkEnd w:id="12"/>
      <w:bookmarkEnd w:id="16"/>
    </w:p>
    <w:p>
      <w:pPr>
        <w:autoSpaceDE w:val="0"/>
        <w:autoSpaceDN w:val="0"/>
        <w:adjustRightInd w:val="0"/>
        <w:spacing w:line="240" w:lineRule="auto"/>
        <w:ind w:firstLine="0" w:firstLineChars="0"/>
        <w:jc w:val="center"/>
        <w:outlineLvl w:val="0"/>
        <w:rPr>
          <w:rFonts w:hint="eastAsia" w:ascii="黑体" w:hAnsi="黑体" w:eastAsia="黑体"/>
          <w:color w:val="000000"/>
          <w:kern w:val="0"/>
          <w:sz w:val="32"/>
          <w:szCs w:val="32"/>
        </w:rPr>
      </w:pPr>
      <w:bookmarkStart w:id="17" w:name="_Toc64898473"/>
      <w:bookmarkStart w:id="18" w:name="_Toc21854"/>
      <w:bookmarkStart w:id="19" w:name="_Toc14803"/>
      <w:bookmarkStart w:id="20" w:name="_Toc36212236"/>
      <w:bookmarkStart w:id="21" w:name="_Toc4815"/>
      <w:r>
        <w:rPr>
          <w:rFonts w:ascii="黑体" w:hAnsi="黑体" w:eastAsia="黑体"/>
          <w:color w:val="000000"/>
          <w:kern w:val="0"/>
          <w:sz w:val="32"/>
          <w:szCs w:val="32"/>
        </w:rPr>
        <w:t>（</w:t>
      </w:r>
      <w:r>
        <w:rPr>
          <w:rFonts w:hint="eastAsia" w:ascii="黑体" w:hAnsi="黑体" w:eastAsia="黑体"/>
          <w:color w:val="000000"/>
          <w:kern w:val="0"/>
          <w:sz w:val="32"/>
          <w:szCs w:val="32"/>
        </w:rPr>
        <w:t>征求意见稿</w:t>
      </w:r>
      <w:r>
        <w:rPr>
          <w:rFonts w:ascii="黑体" w:hAnsi="黑体" w:eastAsia="黑体"/>
          <w:color w:val="000000"/>
          <w:kern w:val="0"/>
          <w:sz w:val="32"/>
          <w:szCs w:val="32"/>
        </w:rPr>
        <w:t>）</w:t>
      </w:r>
      <w:bookmarkEnd w:id="17"/>
      <w:bookmarkEnd w:id="18"/>
      <w:bookmarkEnd w:id="19"/>
      <w:bookmarkEnd w:id="20"/>
      <w:bookmarkEnd w:id="21"/>
    </w:p>
    <w:p>
      <w:pPr>
        <w:autoSpaceDE w:val="0"/>
        <w:autoSpaceDN w:val="0"/>
        <w:adjustRightInd w:val="0"/>
        <w:spacing w:line="240" w:lineRule="auto"/>
        <w:ind w:firstLine="0" w:firstLineChars="0"/>
        <w:jc w:val="center"/>
        <w:outlineLvl w:val="0"/>
        <w:rPr>
          <w:rFonts w:hint="eastAsia" w:ascii="黑体" w:hAnsi="黑体" w:eastAsia="黑体" w:cs="宋体"/>
          <w:color w:val="000000"/>
          <w:kern w:val="0"/>
          <w:sz w:val="32"/>
          <w:szCs w:val="32"/>
        </w:rPr>
      </w:pPr>
      <w:bookmarkStart w:id="22" w:name="_Toc30226"/>
      <w:bookmarkStart w:id="23" w:name="_Toc8137"/>
      <w:bookmarkStart w:id="24" w:name="_Toc31546"/>
      <w:bookmarkStart w:id="25" w:name="_Toc36212237"/>
      <w:bookmarkStart w:id="26" w:name="_Toc64898474"/>
      <w:r>
        <w:rPr>
          <w:rFonts w:hint="eastAsia" w:ascii="黑体" w:hAnsi="黑体" w:eastAsia="黑体" w:cs="宋体"/>
          <w:color w:val="000000"/>
          <w:kern w:val="0"/>
          <w:sz w:val="32"/>
          <w:szCs w:val="32"/>
        </w:rPr>
        <w:t>编制说明</w:t>
      </w:r>
      <w:bookmarkEnd w:id="22"/>
      <w:bookmarkEnd w:id="23"/>
      <w:bookmarkEnd w:id="24"/>
      <w:bookmarkEnd w:id="25"/>
      <w:bookmarkEnd w:id="26"/>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27" w:name="_Toc7124"/>
      <w:bookmarkStart w:id="28" w:name="_Toc64898475"/>
      <w:bookmarkStart w:id="29" w:name="_Toc36212238"/>
      <w:bookmarkStart w:id="30" w:name="_Toc733"/>
      <w:bookmarkStart w:id="31" w:name="_Hlk64896381"/>
      <w:r>
        <w:rPr>
          <w:rFonts w:hint="eastAsia" w:ascii="黑体" w:hAnsi="黑体" w:eastAsia="黑体" w:cs="宋体"/>
          <w:bCs/>
          <w:color w:val="000000"/>
          <w:kern w:val="0"/>
          <w:sz w:val="24"/>
        </w:rPr>
        <w:t>工作简况</w:t>
      </w:r>
      <w:bookmarkEnd w:id="27"/>
      <w:bookmarkEnd w:id="28"/>
      <w:bookmarkEnd w:id="29"/>
      <w:bookmarkEnd w:id="30"/>
    </w:p>
    <w:p>
      <w:pPr>
        <w:spacing w:line="400" w:lineRule="exact"/>
        <w:ind w:firstLine="422"/>
        <w:rPr>
          <w:b/>
          <w:bCs/>
        </w:rPr>
      </w:pPr>
      <w:r>
        <w:rPr>
          <w:rFonts w:hint="eastAsia"/>
          <w:b/>
          <w:bCs/>
        </w:rPr>
        <w:t>1. 背景</w:t>
      </w:r>
    </w:p>
    <w:p>
      <w:pPr>
        <w:spacing w:line="400" w:lineRule="exact"/>
        <w:ind w:firstLine="420"/>
      </w:pPr>
      <w:r>
        <w:rPr>
          <w:rFonts w:hint="eastAsia"/>
        </w:rPr>
        <w:t>标准修订是保障国家能源安全的必然需要。近些年来，我国经济持续快速发展，汽车行业保持高速增长，截至2023年底我国汽车产销量已经连续十五年位居全球第一，全国汽车保有量超过3亿辆。我国汽车保有量增加直接带来石油资源的需求激增，能源供需矛盾日益突出。据统计，2023年我国原油进口量超过5.64亿吨，对外依存度约73%，其中车用燃油消耗占社会表观汽柴油消耗超80%。持续加严乘用车燃料消耗量标准，促进汽车燃料经济性水平不断提升、减少石油资源消耗，成为保障国家能源安全的重要手段。</w:t>
      </w:r>
    </w:p>
    <w:p>
      <w:pPr>
        <w:spacing w:line="400" w:lineRule="exact"/>
        <w:ind w:firstLine="420"/>
      </w:pPr>
      <w:r>
        <w:rPr>
          <w:rFonts w:hint="eastAsia"/>
        </w:rPr>
        <w:t>标准修订是支撑2030年碳达峰目标的重要途经。2020年习近平总书记提出了3060双碳目标，对我国能源结构、交通模式、工业转型等提出绿色发展要求。从全国碳排放结构看，汽车行业尤其是汽车行驶环节对全国碳排放影响具有重要作用（约占到7.5%左右），为此汽车行业需要承担相应减碳责任。按照《2030年前碳达峰行动方案》相关要求，制定面向未来更加严格、科学的乘用车燃料消耗量标准，淘汰高排放的落后产品，促进先进节能低碳技术应用，将有效支撑汽车行业2030年前碳排放达峰，也成为缓解汽车工业快速发展与生态文明建设之间矛盾的重要途径。</w:t>
      </w:r>
    </w:p>
    <w:p>
      <w:pPr>
        <w:spacing w:line="400" w:lineRule="exact"/>
        <w:ind w:firstLine="420"/>
      </w:pPr>
      <w:r>
        <w:rPr>
          <w:rFonts w:hint="eastAsia"/>
        </w:rPr>
        <w:t>标准修订是加快汽车工业转型升级的手段。目前我国汽车产业处于转型升级、绿色发展的关键阶段，如何保持产品竞争力，在全球市场更大发挥作用至关重要。目前欧盟、美国、日本等汽车工业发达国家均制定发布了下一阶段乘用车燃料消耗量标准法规，降低汽车CO</w:t>
      </w:r>
      <w:r>
        <w:rPr>
          <w:rFonts w:hint="eastAsia"/>
          <w:vertAlign w:val="subscript"/>
        </w:rPr>
        <w:t>2</w:t>
      </w:r>
      <w:r>
        <w:rPr>
          <w:rFonts w:hint="eastAsia"/>
        </w:rPr>
        <w:t>排放量，提升燃油经济性水平。通过实际数据对比发现，我国与欧盟、日本在乘用车油耗方面还存在一定差距，行业需要提高油耗标准；通过加严乘用车燃料消耗量指标，与《乘用车企业平均燃料消耗量与新能源汽车积分并行管理办法》（以下简称“双积分办法”）配套实施，推动汽车产业转型升级，为我国汽车“走出去”提供支撑。</w:t>
      </w:r>
    </w:p>
    <w:p>
      <w:pPr>
        <w:spacing w:line="400" w:lineRule="exact"/>
        <w:ind w:firstLine="420"/>
      </w:pPr>
      <w:r>
        <w:rPr>
          <w:rFonts w:hint="eastAsia"/>
        </w:rPr>
        <w:t>标准修订是支撑汽车产业高质量发展的重要举措。2024年3月，国务院印发《推动大规模设备更新和消费品以旧换新行动方案》，指出：“加快完善能耗、排放、技术标准。加快乘用车、重型商用车能量消耗量值相关限制标准升级。”明确表示需加快提升汽车节能指标和市场准入门槛，即直接对本标准的修订提出了要求。推动汽车产品的以旧换新是加快构建汽车产业新发展格局、推动汽车产业高质量发展的重要举措，而企业平均燃料消耗量指标标准的更新将有力促进投资和消费。</w:t>
      </w:r>
    </w:p>
    <w:p>
      <w:pPr>
        <w:spacing w:line="400" w:lineRule="exact"/>
        <w:ind w:firstLine="420"/>
      </w:pPr>
      <w:r>
        <w:rPr>
          <w:rFonts w:hint="eastAsia"/>
        </w:rPr>
        <w:t>乘用车燃料消耗量指标标准一直以来均是分阶段逐步制定实施，现版本GB 27999—2019实施周期为2021~2025年。按照分阶段管理周期，本次修订标准将从2026年1月1日开始实施，考虑标准实施过渡期，给予行业充分的应对周期，有必要尽快完成标准制定发布。基于此并综合国际法规趋势，开展本标准项目修订工作。</w:t>
      </w:r>
    </w:p>
    <w:p>
      <w:pPr>
        <w:spacing w:line="400" w:lineRule="exact"/>
        <w:ind w:firstLine="422"/>
        <w:rPr>
          <w:b/>
          <w:bCs/>
        </w:rPr>
      </w:pPr>
      <w:r>
        <w:rPr>
          <w:rFonts w:hint="eastAsia"/>
          <w:b/>
          <w:bCs/>
        </w:rPr>
        <w:t>2. 任务来源</w:t>
      </w:r>
    </w:p>
    <w:p>
      <w:pPr>
        <w:spacing w:line="400" w:lineRule="exact"/>
        <w:ind w:firstLine="420"/>
      </w:pPr>
      <w:r>
        <w:rPr>
          <w:rFonts w:hint="eastAsia"/>
        </w:rPr>
        <w:t>2024年6月，国标委下达GB 27999《乘用车燃料消耗量评价方法及指标》标准修订计划，标准项目号为</w:t>
      </w:r>
      <w:r>
        <w:t>20242185-Q-339</w:t>
      </w:r>
      <w:r>
        <w:rPr>
          <w:rFonts w:hint="eastAsia"/>
        </w:rPr>
        <w:t>。</w:t>
      </w:r>
    </w:p>
    <w:p>
      <w:pPr>
        <w:spacing w:line="400" w:lineRule="exact"/>
        <w:ind w:firstLine="420"/>
      </w:pPr>
      <w:r>
        <w:rPr>
          <w:rFonts w:hint="eastAsia"/>
        </w:rPr>
        <w:t>在工业和信息化部和国家标准化管理委员会指导下，中国汽车技术研究中心有限公司从2021年开始着手进行GB 27999《乘用车燃料消耗量评价方法及指标》（第六阶段）标准前期预研工作，包括：1）密切跟踪欧洲、美国、日本等主要汽车生产和销售国家（地区）的乘用车节能标准法规动态；2）在行业内开展乘用车节能技术应用情况、潜力和成本调查等；3）深入分析我国新能源汽车产业现状及发展趋势，评估未来新能源汽车车型结构、能耗表现。</w:t>
      </w:r>
    </w:p>
    <w:p>
      <w:pPr>
        <w:spacing w:line="400" w:lineRule="exact"/>
        <w:ind w:firstLine="422"/>
        <w:rPr>
          <w:b/>
          <w:bCs/>
        </w:rPr>
      </w:pPr>
      <w:r>
        <w:rPr>
          <w:rFonts w:hint="eastAsia"/>
          <w:b/>
          <w:bCs/>
        </w:rPr>
        <w:t>3. 主要工作过程</w:t>
      </w:r>
    </w:p>
    <w:p>
      <w:pPr>
        <w:spacing w:line="400" w:lineRule="exact"/>
        <w:ind w:firstLine="420"/>
      </w:pPr>
      <w:r>
        <w:rPr>
          <w:rFonts w:hint="eastAsia"/>
        </w:rPr>
        <w:t>按照节能工作整体部署，GB 27999《乘用车燃料消耗量评价方法及指标》标准修订工作于2021年正式启动。中国汽车技术研究中心有限公司牵头组织国内外主要整车企业、检测机构共同开展研究。</w:t>
      </w:r>
    </w:p>
    <w:p>
      <w:pPr>
        <w:spacing w:line="400" w:lineRule="exact"/>
        <w:ind w:firstLine="420"/>
      </w:pPr>
      <w:r>
        <w:rPr>
          <w:rFonts w:hint="eastAsia"/>
        </w:rPr>
        <w:t>自启动标准修订工作以来，中国汽车技术研究中心有限公司组织召开多次工作会议和技术交流并开展了节能技术调查；通过会议交流和走访系统深入了解我国乘用车燃料消耗量技术水平；组织开展了WLTC工况下乘用车燃料消耗量及中国工况下纯电动乘用车电量消耗量摸底试验；组织行业制定标准草案并开展了技术验证。期间开展了多次工作组活动进行专项研讨：</w:t>
      </w:r>
    </w:p>
    <w:p>
      <w:pPr>
        <w:spacing w:line="400" w:lineRule="exact"/>
        <w:ind w:firstLine="420"/>
      </w:pPr>
      <w:r>
        <w:rPr>
          <w:rFonts w:hint="eastAsia"/>
        </w:rPr>
        <w:t>1.调研阶段</w:t>
      </w:r>
    </w:p>
    <w:p>
      <w:pPr>
        <w:spacing w:line="400" w:lineRule="exact"/>
        <w:ind w:firstLine="420"/>
      </w:pPr>
      <w:r>
        <w:rPr>
          <w:rFonts w:hint="eastAsia"/>
        </w:rPr>
        <w:t>（1）2021年3月24日，乘用车及轻型商用车燃料消耗量限值及指标类标准工作组2021年第一次会议于武汉召开，来自国内外主要整车企业、零部件企业及检测机构的代表共150余人参加会议。会议通报了标准的预研情况，会议讨论提出在确定具体指标的过程中，要深入开展节能潜力分析、新能源汽车的发展趋势等基础性研究，研究范围要涵盖不同的技术路线。</w:t>
      </w:r>
    </w:p>
    <w:p>
      <w:pPr>
        <w:spacing w:line="400" w:lineRule="exact"/>
        <w:ind w:firstLine="420"/>
      </w:pPr>
      <w:r>
        <w:rPr>
          <w:rFonts w:hint="eastAsia"/>
        </w:rPr>
        <w:t>（2）2021年5月18日，全国汽车标准化技术委员会第二届汽车节能分技术委员会换届大会暨标准审查会在西安召开，来自汽车节能分标委委员、观察员和标准起草单位的65位专家参加会议。起草组从标准修订的总体背景、必要性、主要修订内容及考虑因素等方面进行了详细介绍，会议对该标准的立项进行了审议，经专家质询并根据会议表决，审议通过了GB 27999《乘用车燃料消耗量评价方法及指标》标准的立项建议。</w:t>
      </w:r>
    </w:p>
    <w:p>
      <w:pPr>
        <w:spacing w:line="400" w:lineRule="exact"/>
        <w:ind w:firstLine="420"/>
      </w:pPr>
      <w:r>
        <w:rPr>
          <w:rFonts w:hint="eastAsia"/>
        </w:rPr>
        <w:t>（3）2021年9月27日，乘用车及轻型商用车燃料消耗量限值及指标类标准工作组2021年第二次会议在桐乡市召开，来自国内外主要整车企业、零部件企业及检测机构等近80家单位的100余位专家代表参加会议。起草组介绍了标准预研情况，ACEA、丰田中国、通用中国、中汽数据等专家就欧美日乘用车油耗标准法规动态以及我国的产业政策趋势做了专题介绍。会议就配套循环外技术、电耗核算方式、实施时间与排放标准的协同进行了讨论，同时提出节能潜力、车型结构等相关问题需开展进一步的行业调研。</w:t>
      </w:r>
    </w:p>
    <w:p>
      <w:pPr>
        <w:spacing w:line="400" w:lineRule="exact"/>
        <w:ind w:firstLine="420"/>
      </w:pPr>
      <w:r>
        <w:rPr>
          <w:rFonts w:hint="eastAsia"/>
        </w:rPr>
        <w:t>（4）2022年3月23日，乘用车及轻型商用车燃料消耗量限值及指标类标准工作组2022年第一次会议以网络视频形式召开，来自国内外主要整车企业、零部件企业、检测机构等单位的150余位专家代表参加会议。起草组介绍了标准研究情况，重点就整体研究思路、标准调研反馈情况以及下一步工作计划进行了相关说明。会议对新能源发展比例、3500 kg以上M</w:t>
      </w:r>
      <w:r>
        <w:rPr>
          <w:rFonts w:hint="eastAsia"/>
          <w:vertAlign w:val="subscript"/>
        </w:rPr>
        <w:t>1</w:t>
      </w:r>
      <w:r>
        <w:rPr>
          <w:rFonts w:hint="eastAsia"/>
        </w:rPr>
        <w:t>车辆的适用性、电耗核算方式、工况的选择等进行了讨论。</w:t>
      </w:r>
    </w:p>
    <w:p>
      <w:pPr>
        <w:spacing w:line="400" w:lineRule="exact"/>
        <w:ind w:firstLine="420"/>
      </w:pPr>
      <w:r>
        <w:rPr>
          <w:rFonts w:hint="eastAsia"/>
        </w:rPr>
        <w:t>2.起草阶段</w:t>
      </w:r>
    </w:p>
    <w:p>
      <w:pPr>
        <w:spacing w:line="400" w:lineRule="exact"/>
        <w:ind w:firstLine="420"/>
      </w:pPr>
      <w:r>
        <w:rPr>
          <w:rFonts w:hint="eastAsia"/>
        </w:rPr>
        <w:t>（1）2022年11月18日，乘用车及轻型商用车燃料消耗量限值及指标类标准工作组2022年第二次会议以线上、线下相结合方式在长沙召开，来自国内外主要整车企业、零部件企业、检测机构等单位的230余位专家代表参加会议。起草组就标准的适用范围、国家要求、电耗核算方式、质量基准、三排座椅放宽要求、新能源车核算倍率、低油耗车激励措施等进行了介绍，会议围绕相关问题进行了讨论。</w:t>
      </w:r>
    </w:p>
    <w:p>
      <w:pPr>
        <w:spacing w:line="400" w:lineRule="exact"/>
        <w:ind w:firstLine="420"/>
      </w:pPr>
      <w:r>
        <w:rPr>
          <w:rFonts w:hint="eastAsia"/>
        </w:rPr>
        <w:t>（2）2023年3月15日，乘用车及轻型商用车燃料消耗量限值及指标类标准工作组2023年第一次会议在成都召开，来自国内外主要整车企业、零部件企业、检测机构等单位的170余位专家代表参加会议。起草组于会前发送了标准草案，并就相关内容进行了具体说明。会议围绕2030年目标值、低油耗车队目标值放宽比例、电耗折算方式、车重拐点、年度达比例等进行了讨论。</w:t>
      </w:r>
    </w:p>
    <w:p>
      <w:pPr>
        <w:spacing w:line="400" w:lineRule="exact"/>
        <w:ind w:firstLine="420"/>
      </w:pPr>
      <w:r>
        <w:rPr>
          <w:rFonts w:hint="eastAsia"/>
        </w:rPr>
        <w:t>（3）2023年6月13日，乘用车及轻型商用车燃料消耗量限值及指标类标准工作组2023年第二次会议在长春召开，来自国内外主要整车企业、零部件企业、检测机构等单位的140余位专家代表参加会议。会议就标准前期研究成果深入讨论，并提出新方案下的年度达标比例需开展进一步研讨，同时表示需进一步研究基于M</w:t>
      </w:r>
      <w:r>
        <w:rPr>
          <w:rFonts w:hint="eastAsia"/>
          <w:vertAlign w:val="subscript"/>
        </w:rPr>
        <w:t>2</w:t>
      </w:r>
      <w:r>
        <w:rPr>
          <w:rFonts w:hint="eastAsia"/>
        </w:rPr>
        <w:t>类车型扩展的M</w:t>
      </w:r>
      <w:r>
        <w:rPr>
          <w:rFonts w:hint="eastAsia"/>
          <w:vertAlign w:val="subscript"/>
        </w:rPr>
        <w:t>1</w:t>
      </w:r>
      <w:r>
        <w:rPr>
          <w:rFonts w:hint="eastAsia"/>
        </w:rPr>
        <w:t>类车型相关技术要求，会议讨论，明确下一阶段能够燃用汽柴油车型的测试工况沿用WLTC，且电耗核算方式按照简单热值法进行。</w:t>
      </w:r>
    </w:p>
    <w:p>
      <w:pPr>
        <w:spacing w:line="400" w:lineRule="exact"/>
        <w:ind w:firstLine="420"/>
      </w:pPr>
      <w:r>
        <w:rPr>
          <w:rFonts w:hint="eastAsia"/>
        </w:rPr>
        <w:t>（4）2023年10月18日，乘用车及轻型商用车燃料消耗量限值及指标类标准工作组2023年第三次会议在重庆召开，来自国内外主要整车企业、零部件企业、检测机构等单位的130余位专家代表参加会议。会议重点就年度达标比例及后续与双积分办法的配套实施相关问题进行了讨论。</w:t>
      </w:r>
    </w:p>
    <w:p>
      <w:pPr>
        <w:spacing w:line="400" w:lineRule="exact"/>
        <w:ind w:firstLine="420"/>
      </w:pPr>
      <w:r>
        <w:rPr>
          <w:rFonts w:hint="eastAsia"/>
        </w:rPr>
        <w:t>（5）2024年3月26日，乘用车及轻型商用车燃料消耗量限值及指标类标准工作组2024年第一次会议在合肥召开，来自国内外主要整车企业、零部件企业、检测机构等单位的140余位专家代表参加会议。会议基于国家最新发布的相关文件，更新提出2030年目标要求，并对标准的总体框架、适用范围、年底达标比例、低油耗车队、企业平均CO</w:t>
      </w:r>
      <w:r>
        <w:rPr>
          <w:rFonts w:hint="eastAsia"/>
          <w:vertAlign w:val="subscript"/>
        </w:rPr>
        <w:t>2</w:t>
      </w:r>
      <w:r>
        <w:rPr>
          <w:rFonts w:hint="eastAsia"/>
        </w:rPr>
        <w:t>计算方法等核心技术内容进行介绍与讨论。</w:t>
      </w:r>
    </w:p>
    <w:p>
      <w:pPr>
        <w:spacing w:line="400" w:lineRule="exact"/>
        <w:ind w:firstLine="420"/>
      </w:pPr>
      <w:r>
        <w:rPr>
          <w:rFonts w:hint="eastAsia"/>
        </w:rPr>
        <w:t>（5）2024年4月24-25日，组织召开专项研讨会就标准适用范围、目标值等开展与主流企业深入交流，来自国内外主要整车企业、零部件企业、检测机构等单位的近50位专家代表参加会议。会议就标准相关内容及后续实施等问题进行讨论，结合会议讨论内容，进一步明确标准主体内容。</w:t>
      </w:r>
    </w:p>
    <w:p>
      <w:pPr>
        <w:spacing w:line="400" w:lineRule="exact"/>
        <w:ind w:firstLine="420"/>
      </w:pPr>
      <w:r>
        <w:rPr>
          <w:rFonts w:hint="eastAsia"/>
        </w:rPr>
        <w:t>此外，还开展了相关调研和交流。总体技术会议及研究活动如下：</w:t>
      </w:r>
    </w:p>
    <w:p>
      <w:pPr>
        <w:spacing w:line="400" w:lineRule="exact"/>
        <w:ind w:firstLine="0" w:firstLineChars="0"/>
        <w:jc w:val="center"/>
        <w:rPr>
          <w:rFonts w:eastAsia="黑体" w:cs="Calibri"/>
          <w:szCs w:val="21"/>
        </w:rPr>
      </w:pPr>
      <w:r>
        <w:rPr>
          <w:rFonts w:eastAsia="黑体" w:cs="Calibri"/>
          <w:szCs w:val="21"/>
        </w:rPr>
        <w:t>表</w:t>
      </w:r>
      <w:r>
        <w:rPr>
          <w:rFonts w:hint="eastAsia" w:eastAsia="黑体" w:cs="Calibri"/>
          <w:szCs w:val="21"/>
        </w:rPr>
        <w:t xml:space="preserve">1 </w:t>
      </w:r>
      <w:r>
        <w:rPr>
          <w:rFonts w:eastAsia="黑体" w:cs="Calibri"/>
          <w:szCs w:val="21"/>
        </w:rPr>
        <w:t>主要技术会议及研究活动</w:t>
      </w:r>
    </w:p>
    <w:tbl>
      <w:tblPr>
        <w:tblStyle w:val="10"/>
        <w:tblW w:w="8525" w:type="dxa"/>
        <w:jc w:val="center"/>
        <w:tblLayout w:type="autofit"/>
        <w:tblCellMar>
          <w:top w:w="0" w:type="dxa"/>
          <w:left w:w="0" w:type="dxa"/>
          <w:bottom w:w="0" w:type="dxa"/>
          <w:right w:w="0" w:type="dxa"/>
        </w:tblCellMar>
      </w:tblPr>
      <w:tblGrid>
        <w:gridCol w:w="1780"/>
        <w:gridCol w:w="2725"/>
        <w:gridCol w:w="4020"/>
      </w:tblGrid>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ascii="黑体" w:hAnsi="黑体" w:eastAsia="黑体"/>
                <w:b/>
                <w:bCs/>
                <w:kern w:val="24"/>
                <w:szCs w:val="21"/>
              </w:rPr>
              <w:t>时间</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ascii="黑体" w:hAnsi="黑体" w:eastAsia="黑体"/>
                <w:b/>
                <w:bCs/>
                <w:kern w:val="24"/>
                <w:szCs w:val="21"/>
              </w:rPr>
              <w:t>会议活动</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ascii="黑体" w:hAnsi="黑体" w:eastAsia="黑体"/>
                <w:b/>
                <w:bCs/>
                <w:kern w:val="24"/>
                <w:szCs w:val="21"/>
              </w:rPr>
              <w:t>主要工作</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w:t>
            </w:r>
            <w:r>
              <w:rPr>
                <w:rFonts w:hAnsi="宋体"/>
                <w:kern w:val="24"/>
                <w:szCs w:val="21"/>
              </w:rPr>
              <w:t>02</w:t>
            </w:r>
            <w:r>
              <w:rPr>
                <w:rFonts w:hint="eastAsia" w:hAnsi="宋体"/>
                <w:kern w:val="24"/>
                <w:szCs w:val="21"/>
              </w:rPr>
              <w:t>1年1</w:t>
            </w:r>
            <w:r>
              <w:rPr>
                <w:rFonts w:hAnsi="宋体"/>
                <w:kern w:val="24"/>
                <w:szCs w:val="21"/>
              </w:rPr>
              <w:t>-</w:t>
            </w:r>
            <w:r>
              <w:rPr>
                <w:rFonts w:hint="eastAsia" w:hAnsi="宋体"/>
                <w:kern w:val="24"/>
                <w:szCs w:val="21"/>
              </w:rPr>
              <w:t>2月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标准预研，国家相关文件要求梳理分析</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2021年3月24日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乘用车及轻型商用车燃料消耗量限值及指标类标准工作组2021年第一次会议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通报标准预研情况，提出要深入开展节能潜力分析、新能源汽车发展趋势等基础性研究</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2021年4月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标准立项材料准备</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2021年5月18日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汽车节能分技术委员会标准审查会</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标准立项审议，通过标准立项建议</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2021年6-8月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标准框架分析、国内外标准对比分析</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2021年9月27日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乘用车及轻型商用车燃料消耗量限值及指标类标准工作组2021年第二次会议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介绍了标准的预研情况、国际相关标准法规现状、</w:t>
            </w:r>
            <w:r>
              <w:rPr>
                <w:rFonts w:hint="eastAsia"/>
              </w:rPr>
              <w:t>双积分办法</w:t>
            </w:r>
            <w:r>
              <w:rPr>
                <w:rFonts w:hint="eastAsia" w:hAnsi="宋体"/>
                <w:kern w:val="24"/>
                <w:szCs w:val="21"/>
              </w:rPr>
              <w:t>趋势等，并就电耗核算方式、实施时间等问题进行了讨论</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2021年10-12月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围绕标准修订建议、不同车型结构趋势、节能技术潜力、成本等开展专项调研</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2022年1-2月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梳理并分析行业意见，明确标准修订主要考虑内容</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2022年3月23日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rPr>
              <w:t>乘用车及轻型商用车燃料消耗量限值及指标类标准工作组2022年第一次会议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就整体研究思路、标准调研反馈情况及后续工作计划进行了说明，并对</w:t>
            </w:r>
            <w:r>
              <w:rPr>
                <w:rFonts w:hint="eastAsia"/>
              </w:rPr>
              <w:t>新能源发展比例</w:t>
            </w:r>
            <w:r>
              <w:rPr>
                <w:rFonts w:hint="eastAsia" w:hAnsi="宋体"/>
                <w:kern w:val="24"/>
                <w:szCs w:val="21"/>
              </w:rPr>
              <w:t>、</w:t>
            </w:r>
            <w:r>
              <w:rPr>
                <w:rFonts w:hint="eastAsia"/>
              </w:rPr>
              <w:t>电耗核算方式、</w:t>
            </w:r>
            <w:r>
              <w:rPr>
                <w:rFonts w:hint="eastAsia" w:hAnsi="宋体"/>
                <w:kern w:val="24"/>
                <w:szCs w:val="21"/>
              </w:rPr>
              <w:t>工况等进行了讨论</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2022年4-10月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就标准涉及的研究内容开展针对性研究</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2022年11月18日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rPr>
              <w:t>乘用车及轻型商用车燃料消耗量限值及指标类标准工作组2022年第二次会议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就标准的</w:t>
            </w:r>
            <w:r>
              <w:rPr>
                <w:rFonts w:hint="eastAsia"/>
              </w:rPr>
              <w:t>适用范围、电耗核算方式、质量基准、三排座椅放宽要求、新能源车核算倍率、低油耗车激励措施等</w:t>
            </w:r>
            <w:r>
              <w:rPr>
                <w:rFonts w:hint="eastAsia" w:hAnsi="宋体"/>
                <w:kern w:val="24"/>
                <w:szCs w:val="21"/>
              </w:rPr>
              <w:t>进行了介绍与讨论</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2022年12月-2023年2月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根据前期研究情况、专项调研及会议讨论，修订形成第一版标准草案</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2023年3月15日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rPr>
              <w:t>乘用车及轻型商用车燃料消耗量限值及指标类标准工作组2023年第一次会议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围绕标准草案内容进行讨论，形成方向性建议</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2023年4月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就第一版标准草案在工作组范围内开展意见征集</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2023年5月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梳理行业意见，形成标准草案修订方案</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2023年6月13日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rPr>
              <w:t>乘用车及轻型商用车燃料消耗量限值及指标类标准工作组2023年第二次会议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就标准方案进行讨论，形成相关意见和结论</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2023年7-9月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根据标准框架全面梳理相关内容，明确各版块核心技术内容</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2023年10月18日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rPr>
              <w:t>乘用车及轻型商用车燃料消耗量限值及指标类标准工作组2023年第三次会议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就标准最终方案进行讨论，重点就年度达标比例进行讨论</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2023年11-12月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根据行业意见及会议讨论，修改形成第二版标准草案，并在工作组范围内开展意见征集</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2024年1-2月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梳理行业意见，更新标准草案</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2024年3月26日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rPr>
              <w:t>乘用车及轻型商用车燃料消耗量限值及指标类标准工作组2024年第一次会议</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就更新后的标准方案进行讨论，提出部分修改建议</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2024年4月24-25日</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rPr>
            </w:pPr>
            <w:r>
              <w:rPr>
                <w:rFonts w:hint="eastAsia"/>
              </w:rPr>
              <w:t>专项讨论会</w:t>
            </w: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就适用范围、目标值等开展进一步专项讨论，明确相关方案</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2024年5-7月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修改形成征求意见稿</w:t>
            </w:r>
          </w:p>
        </w:tc>
      </w:tr>
      <w:tr>
        <w:tblPrEx>
          <w:tblCellMar>
            <w:top w:w="0" w:type="dxa"/>
            <w:left w:w="0" w:type="dxa"/>
            <w:bottom w:w="0" w:type="dxa"/>
            <w:right w:w="0" w:type="dxa"/>
          </w:tblCellMar>
        </w:tblPrEx>
        <w:trPr>
          <w:trHeight w:val="680" w:hRule="atLeast"/>
          <w:jc w:val="center"/>
        </w:trPr>
        <w:tc>
          <w:tcPr>
            <w:tcW w:w="17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2024年8月</w:t>
            </w:r>
          </w:p>
        </w:tc>
        <w:tc>
          <w:tcPr>
            <w:tcW w:w="27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402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开展标准公开意见征集</w:t>
            </w:r>
          </w:p>
        </w:tc>
      </w:tr>
    </w:tbl>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32" w:name="_Toc64898476"/>
      <w:r>
        <w:rPr>
          <w:rFonts w:hint="eastAsia" w:ascii="黑体" w:hAnsi="黑体" w:eastAsia="黑体" w:cs="宋体"/>
          <w:bCs/>
          <w:color w:val="000000"/>
          <w:kern w:val="0"/>
          <w:sz w:val="24"/>
        </w:rPr>
        <w:t>编制原则、强制性国家标准主要技术要求的依据及理由</w:t>
      </w:r>
      <w:bookmarkEnd w:id="32"/>
    </w:p>
    <w:p>
      <w:pPr>
        <w:spacing w:line="400" w:lineRule="exact"/>
        <w:ind w:firstLine="422"/>
        <w:rPr>
          <w:b/>
          <w:bCs/>
        </w:rPr>
      </w:pPr>
      <w:r>
        <w:rPr>
          <w:rFonts w:hint="eastAsia"/>
          <w:b/>
          <w:bCs/>
        </w:rPr>
        <w:t>1. 编制原则</w:t>
      </w:r>
    </w:p>
    <w:p>
      <w:pPr>
        <w:spacing w:line="400" w:lineRule="exact"/>
        <w:ind w:firstLine="420"/>
      </w:pPr>
      <w:r>
        <w:t>标准</w:t>
      </w:r>
      <w:r>
        <w:rPr>
          <w:rFonts w:hint="eastAsia"/>
        </w:rPr>
        <w:t>基于产业发展现状，结合传统车节能潜力分析、新能源发展预期等，综合提出面向2030年的下一阶段乘用车燃料消耗量目标，</w:t>
      </w:r>
      <w:r>
        <w:t>制定</w:t>
      </w:r>
      <w:r>
        <w:rPr>
          <w:rFonts w:hint="eastAsia"/>
        </w:rPr>
        <w:t>主要考虑三方面原则：</w:t>
      </w:r>
    </w:p>
    <w:p>
      <w:pPr>
        <w:spacing w:line="400" w:lineRule="exact"/>
        <w:ind w:firstLine="420"/>
      </w:pPr>
      <w:r>
        <w:t>一</w:t>
      </w:r>
      <w:r>
        <w:rPr>
          <w:rFonts w:hint="eastAsia"/>
        </w:rPr>
        <w:t>是目标先进性，重点研究了我国</w:t>
      </w:r>
      <w:r>
        <w:t>与</w:t>
      </w:r>
      <w:r>
        <w:rPr>
          <w:rFonts w:hint="eastAsia"/>
        </w:rPr>
        <w:t>欧盟、</w:t>
      </w:r>
      <w:r>
        <w:t>美国、日本等</w:t>
      </w:r>
      <w:r>
        <w:rPr>
          <w:rFonts w:hint="eastAsia"/>
        </w:rPr>
        <w:t>乘用车</w:t>
      </w:r>
      <w:r>
        <w:t>燃料消耗量水平</w:t>
      </w:r>
      <w:r>
        <w:rPr>
          <w:rFonts w:hint="eastAsia"/>
        </w:rPr>
        <w:t>的差距，与GB 19578配合，保障我国节能水平达到国际领先，其中，GB 19578以提出燃料消耗量底线要求为总体原则，旨在淘汰落后车型，同时需兼顾产业的多元化发展；本标准对比国际先进，基于我国产业发展现状及趋势提出具有较强引导性的指标，促进产业总体能耗降低；</w:t>
      </w:r>
    </w:p>
    <w:p>
      <w:pPr>
        <w:spacing w:line="400" w:lineRule="exact"/>
        <w:ind w:firstLine="420"/>
      </w:pPr>
      <w:r>
        <w:rPr>
          <w:rFonts w:hint="eastAsia"/>
        </w:rPr>
        <w:t>二是技术可行性，</w:t>
      </w:r>
      <w:r>
        <w:t>充分考虑了我国</w:t>
      </w:r>
      <w:r>
        <w:rPr>
          <w:rFonts w:hint="eastAsia"/>
        </w:rPr>
        <w:t>乘用车</w:t>
      </w:r>
      <w:r>
        <w:t>行业的节能技术潜力</w:t>
      </w:r>
      <w:r>
        <w:rPr>
          <w:rFonts w:hint="eastAsia"/>
        </w:rPr>
        <w:t>和成本，综合评估我国新能源产业发展预期，避免技术限制、成本过高、指标偏离实际等对企业造成较大影响；</w:t>
      </w:r>
    </w:p>
    <w:p>
      <w:pPr>
        <w:spacing w:line="400" w:lineRule="exact"/>
        <w:ind w:firstLine="420"/>
      </w:pPr>
      <w:r>
        <w:rPr>
          <w:rFonts w:hint="eastAsia"/>
        </w:rPr>
        <w:t>三是标准协调性，考虑到标准相关联的下一阶段排放标准正在研究制定，测试工况等关键基准的选取也需保持协同，因此还分析了不同工况下的能耗表现。</w:t>
      </w:r>
      <w:r>
        <w:t>综合</w:t>
      </w:r>
      <w:r>
        <w:rPr>
          <w:rFonts w:hint="eastAsia"/>
        </w:rPr>
        <w:t>三</w:t>
      </w:r>
      <w:r>
        <w:t>方面因素确定节能目标</w:t>
      </w:r>
      <w:r>
        <w:rPr>
          <w:rFonts w:hint="eastAsia"/>
        </w:rPr>
        <w:t>和达标要求</w:t>
      </w:r>
      <w:r>
        <w:t>。</w:t>
      </w:r>
    </w:p>
    <w:p>
      <w:pPr>
        <w:spacing w:line="400" w:lineRule="exact"/>
        <w:ind w:firstLine="422"/>
        <w:rPr>
          <w:b/>
          <w:bCs/>
        </w:rPr>
      </w:pPr>
      <w:r>
        <w:rPr>
          <w:rFonts w:hint="eastAsia"/>
          <w:b/>
          <w:bCs/>
        </w:rPr>
        <w:t>2. 主要技术内容</w:t>
      </w:r>
    </w:p>
    <w:p>
      <w:pPr>
        <w:spacing w:line="400" w:lineRule="exact"/>
        <w:ind w:firstLine="420"/>
      </w:pPr>
      <w:r>
        <w:rPr>
          <w:rFonts w:hint="eastAsia"/>
        </w:rPr>
        <w:t>本文件适用于M</w:t>
      </w:r>
      <w:r>
        <w:rPr>
          <w:rFonts w:hint="eastAsia"/>
          <w:vertAlign w:val="subscript"/>
        </w:rPr>
        <w:t>1</w:t>
      </w:r>
      <w:r>
        <w:rPr>
          <w:rFonts w:hint="eastAsia"/>
        </w:rPr>
        <w:t>类车辆，包括能够燃用汽油或柴油燃料的车辆、纯电动车辆、燃料电池车辆以及燃用气体燃料和醇醚类燃料的车辆。标准规定了乘用车车型燃料消耗量和企业平均燃料消耗量的评价方法、指标以及生产一致性和实施日期。</w:t>
      </w:r>
    </w:p>
    <w:p>
      <w:pPr>
        <w:spacing w:line="400" w:lineRule="exact"/>
        <w:ind w:firstLine="420"/>
      </w:pPr>
      <w:r>
        <w:rPr>
          <w:rFonts w:hint="eastAsia"/>
        </w:rPr>
        <w:t>本次修订的主要技术变化包括：一是结合国家管理要求、技术进步预期、工况切换影响等，对乘用车车型燃料消耗量目标值要求进行加严；二是修改乘用车企业平均燃料消耗量计算方法，对新能源汽车核算倍数、电耗折算方法等进行调整；三是明确2026-2030年度企业燃料消耗量达标要求。</w:t>
      </w:r>
    </w:p>
    <w:p>
      <w:pPr>
        <w:spacing w:line="400" w:lineRule="exact"/>
        <w:ind w:firstLine="422"/>
        <w:rPr>
          <w:b/>
          <w:bCs/>
        </w:rPr>
      </w:pPr>
      <w:r>
        <w:rPr>
          <w:rFonts w:hint="eastAsia"/>
          <w:b/>
          <w:bCs/>
        </w:rPr>
        <w:t>（1）节能目标</w:t>
      </w:r>
    </w:p>
    <w:p>
      <w:pPr>
        <w:spacing w:line="400" w:lineRule="exact"/>
        <w:ind w:firstLine="420"/>
      </w:pPr>
      <w:r>
        <w:rPr>
          <w:rFonts w:hint="eastAsia"/>
        </w:rPr>
        <w:t>节能目标是本标准研究核心。下一阶段节能目标的设置应国家相关文件要求为导向，基于产业现状及未来发展综合提出。目标值的设置需重点研究新能源比例及各类车型的能耗趋势，结合未来产业发展预期的多种场景开展综合评估。</w:t>
      </w:r>
    </w:p>
    <w:p>
      <w:pPr>
        <w:spacing w:line="400" w:lineRule="exact"/>
        <w:ind w:firstLine="420"/>
      </w:pPr>
      <w:r>
        <w:rPr>
          <w:rFonts w:hint="eastAsia"/>
        </w:rPr>
        <w:t>1）新能源比例层面</w:t>
      </w:r>
    </w:p>
    <w:p>
      <w:pPr>
        <w:spacing w:line="400" w:lineRule="exact"/>
        <w:ind w:firstLine="420"/>
      </w:pPr>
      <w:r>
        <w:rPr>
          <w:rFonts w:hint="eastAsia"/>
        </w:rPr>
        <w:t>（a）国家要求。</w:t>
      </w:r>
    </w:p>
    <w:p>
      <w:pPr>
        <w:spacing w:line="400" w:lineRule="exact"/>
        <w:ind w:firstLine="420"/>
      </w:pPr>
      <w:r>
        <w:rPr>
          <w:rFonts w:hint="eastAsia"/>
        </w:rPr>
        <w:t>2017年4月，工业和信息化部、国家发展改革委、科技部联合印发了《汽车产业中长期发展规划》，提出：“到2025年，新车平均燃料消耗量乘用车降到4.0升/百公里”。2022年7月，工业和信息化部、发展改革委、生态环境部联合印发《工业领域碳达峰实施方案》，指出：“加大交通运输领域绿色低碳产品供给，到2030年，乘用车新车二氧化碳排放强度比2020年下降25%以上”。2024年1月，《中共中央 国务院关于全面推进美丽中国建设的意见》印发，文件指出：“到2027年，新增汽车中新能源汽车占比力争达到45%。”。</w:t>
      </w:r>
    </w:p>
    <w:p>
      <w:pPr>
        <w:spacing w:line="400" w:lineRule="exact"/>
        <w:ind w:firstLine="420"/>
      </w:pPr>
      <w:r>
        <w:rPr>
          <w:rFonts w:hint="eastAsia"/>
        </w:rPr>
        <w:t>以新能源占比总体45%为目标、乘商占比为85%：15%为基础，分多种乘商新能源占比情景细化得出2027年乘用车新能源比例，如表2所示。其中，商用车新能源场景结合了产业的发展现状及未来预期，假定的2027年商用车新能源比例10%~25%能够覆盖各发展情景，基于此可进一步推算得出2027年乘用车新能源比例需达到50%左右。</w:t>
      </w:r>
    </w:p>
    <w:p>
      <w:pPr>
        <w:pStyle w:val="3"/>
      </w:pPr>
      <w:r>
        <w:t>表</w:t>
      </w:r>
      <w:r>
        <w:rPr>
          <w:rFonts w:hint="eastAsia"/>
        </w:rPr>
        <w:t>2 不同商用车新能源比例情景下乘用车新能源比例</w:t>
      </w:r>
    </w:p>
    <w:tbl>
      <w:tblPr>
        <w:tblStyle w:val="10"/>
        <w:tblW w:w="8129" w:type="dxa"/>
        <w:jc w:val="center"/>
        <w:tblLayout w:type="autofit"/>
        <w:tblCellMar>
          <w:top w:w="0" w:type="dxa"/>
          <w:left w:w="0" w:type="dxa"/>
          <w:bottom w:w="0" w:type="dxa"/>
          <w:right w:w="0" w:type="dxa"/>
        </w:tblCellMar>
      </w:tblPr>
      <w:tblGrid>
        <w:gridCol w:w="2032"/>
        <w:gridCol w:w="2032"/>
        <w:gridCol w:w="2032"/>
        <w:gridCol w:w="2033"/>
      </w:tblGrid>
      <w:tr>
        <w:tblPrEx>
          <w:tblCellMar>
            <w:top w:w="0" w:type="dxa"/>
            <w:left w:w="0" w:type="dxa"/>
            <w:bottom w:w="0" w:type="dxa"/>
            <w:right w:w="0" w:type="dxa"/>
          </w:tblCellMar>
        </w:tblPrEx>
        <w:trPr>
          <w:trHeight w:val="680" w:hRule="atLeast"/>
          <w:jc w:val="center"/>
        </w:trPr>
        <w:tc>
          <w:tcPr>
            <w:tcW w:w="2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hint="eastAsia" w:ascii="黑体" w:hAnsi="黑体" w:eastAsia="黑体"/>
                <w:b/>
                <w:bCs/>
                <w:kern w:val="24"/>
                <w:szCs w:val="21"/>
              </w:rPr>
              <w:t>情景</w:t>
            </w:r>
          </w:p>
        </w:tc>
        <w:tc>
          <w:tcPr>
            <w:tcW w:w="2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hint="eastAsia" w:ascii="黑体" w:hAnsi="黑体" w:eastAsia="黑体"/>
                <w:b/>
                <w:bCs/>
                <w:kern w:val="24"/>
                <w:szCs w:val="21"/>
              </w:rPr>
              <w:t>总体目标</w:t>
            </w:r>
          </w:p>
        </w:tc>
        <w:tc>
          <w:tcPr>
            <w:tcW w:w="2032" w:type="dxa"/>
            <w:tcBorders>
              <w:top w:val="single" w:color="000000" w:sz="4" w:space="0"/>
              <w:left w:val="single" w:color="000000" w:sz="4" w:space="0"/>
              <w:bottom w:val="single" w:color="000000" w:sz="4" w:space="0"/>
              <w:right w:val="single" w:color="000000" w:sz="4" w:space="0"/>
            </w:tcBorders>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hint="eastAsia" w:ascii="黑体" w:hAnsi="黑体" w:eastAsia="黑体"/>
                <w:b/>
                <w:bCs/>
                <w:kern w:val="24"/>
                <w:szCs w:val="21"/>
              </w:rPr>
              <w:t>商用车新能源比例（假设）</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hint="eastAsia" w:ascii="黑体" w:hAnsi="黑体" w:eastAsia="黑体"/>
                <w:b/>
                <w:bCs/>
                <w:kern w:val="24"/>
                <w:szCs w:val="21"/>
              </w:rPr>
              <w:t>乘用车新能源比例（基于商用车推算）</w:t>
            </w:r>
          </w:p>
        </w:tc>
      </w:tr>
      <w:tr>
        <w:tblPrEx>
          <w:tblCellMar>
            <w:top w:w="0" w:type="dxa"/>
            <w:left w:w="0" w:type="dxa"/>
            <w:bottom w:w="0" w:type="dxa"/>
            <w:right w:w="0" w:type="dxa"/>
          </w:tblCellMar>
        </w:tblPrEx>
        <w:trPr>
          <w:trHeight w:val="49" w:hRule="atLeast"/>
          <w:jc w:val="center"/>
        </w:trPr>
        <w:tc>
          <w:tcPr>
            <w:tcW w:w="2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情景1</w:t>
            </w:r>
          </w:p>
        </w:tc>
        <w:tc>
          <w:tcPr>
            <w:tcW w:w="2032"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45%</w:t>
            </w:r>
          </w:p>
        </w:tc>
        <w:tc>
          <w:tcPr>
            <w:tcW w:w="2032" w:type="dxa"/>
            <w:tcBorders>
              <w:top w:val="single" w:color="000000" w:sz="4" w:space="0"/>
              <w:left w:val="single" w:color="000000" w:sz="4" w:space="0"/>
              <w:bottom w:val="single" w:color="000000" w:sz="4" w:space="0"/>
              <w:right w:val="single" w:color="000000" w:sz="4" w:space="0"/>
            </w:tcBorders>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10%</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51.2%</w:t>
            </w:r>
          </w:p>
        </w:tc>
      </w:tr>
      <w:tr>
        <w:tblPrEx>
          <w:tblCellMar>
            <w:top w:w="0" w:type="dxa"/>
            <w:left w:w="0" w:type="dxa"/>
            <w:bottom w:w="0" w:type="dxa"/>
            <w:right w:w="0" w:type="dxa"/>
          </w:tblCellMar>
        </w:tblPrEx>
        <w:trPr>
          <w:trHeight w:val="49" w:hRule="atLeast"/>
          <w:jc w:val="center"/>
        </w:trPr>
        <w:tc>
          <w:tcPr>
            <w:tcW w:w="2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情景2</w:t>
            </w:r>
          </w:p>
        </w:tc>
        <w:tc>
          <w:tcPr>
            <w:tcW w:w="2032" w:type="dxa"/>
            <w:vMerge w:val="continue"/>
            <w:tcBorders>
              <w:left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15%</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50.3%</w:t>
            </w:r>
          </w:p>
        </w:tc>
      </w:tr>
      <w:tr>
        <w:tblPrEx>
          <w:tblCellMar>
            <w:top w:w="0" w:type="dxa"/>
            <w:left w:w="0" w:type="dxa"/>
            <w:bottom w:w="0" w:type="dxa"/>
            <w:right w:w="0" w:type="dxa"/>
          </w:tblCellMar>
        </w:tblPrEx>
        <w:trPr>
          <w:trHeight w:val="49" w:hRule="atLeast"/>
          <w:jc w:val="center"/>
        </w:trPr>
        <w:tc>
          <w:tcPr>
            <w:tcW w:w="2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情景3</w:t>
            </w:r>
          </w:p>
        </w:tc>
        <w:tc>
          <w:tcPr>
            <w:tcW w:w="2032" w:type="dxa"/>
            <w:vMerge w:val="continue"/>
            <w:tcBorders>
              <w:left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59.4%</w:t>
            </w:r>
          </w:p>
        </w:tc>
      </w:tr>
      <w:tr>
        <w:tblPrEx>
          <w:tblCellMar>
            <w:top w:w="0" w:type="dxa"/>
            <w:left w:w="0" w:type="dxa"/>
            <w:bottom w:w="0" w:type="dxa"/>
            <w:right w:w="0" w:type="dxa"/>
          </w:tblCellMar>
        </w:tblPrEx>
        <w:trPr>
          <w:trHeight w:val="49" w:hRule="atLeast"/>
          <w:jc w:val="center"/>
        </w:trPr>
        <w:tc>
          <w:tcPr>
            <w:tcW w:w="203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情景4</w:t>
            </w:r>
          </w:p>
        </w:tc>
        <w:tc>
          <w:tcPr>
            <w:tcW w:w="2032" w:type="dxa"/>
            <w:vMerge w:val="continue"/>
            <w:tcBorders>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p>
        </w:tc>
        <w:tc>
          <w:tcPr>
            <w:tcW w:w="2032" w:type="dxa"/>
            <w:tcBorders>
              <w:top w:val="single" w:color="000000" w:sz="4" w:space="0"/>
              <w:left w:val="single" w:color="000000" w:sz="4" w:space="0"/>
              <w:bottom w:val="single" w:color="000000" w:sz="4" w:space="0"/>
              <w:right w:val="single" w:color="000000" w:sz="4" w:space="0"/>
            </w:tcBorders>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25%</w:t>
            </w:r>
          </w:p>
        </w:tc>
        <w:tc>
          <w:tcPr>
            <w:tcW w:w="2033"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48.5%</w:t>
            </w:r>
          </w:p>
        </w:tc>
      </w:tr>
    </w:tbl>
    <w:p>
      <w:pPr>
        <w:spacing w:line="400" w:lineRule="exact"/>
        <w:ind w:firstLine="420"/>
      </w:pPr>
      <w:r>
        <w:rPr>
          <w:rFonts w:hint="eastAsia"/>
        </w:rPr>
        <w:t>为了实现《规划》目标、落实《方案》要求、支撑《意见》落地，一方面需要跟踪国外标准后续加严幅度，同时也要考虑我国产业实际表现及新能源发展预期。标准研究组将我国和欧盟、美国、日本的法规加严力度进行梳理，通过对比国内外技术法规指标差异，并结合我国新能源产业发展趋势及传统车节能潜力分析，综合研判2030年节能目标。</w:t>
      </w:r>
    </w:p>
    <w:p>
      <w:pPr>
        <w:spacing w:line="400" w:lineRule="exact"/>
        <w:ind w:firstLine="420"/>
      </w:pPr>
      <w:r>
        <w:rPr>
          <w:rFonts w:hint="eastAsia"/>
        </w:rPr>
        <w:t>（b）产业现状</w:t>
      </w:r>
    </w:p>
    <w:p>
      <w:pPr>
        <w:spacing w:line="400" w:lineRule="exact"/>
        <w:ind w:firstLine="420"/>
      </w:pPr>
      <w:r>
        <w:fldChar w:fldCharType="begin"/>
      </w:r>
      <w:r>
        <w:instrText xml:space="preserve"> REF _Ref168044556 \h  \* MERGEFORMAT </w:instrText>
      </w:r>
      <w:r>
        <w:fldChar w:fldCharType="separate"/>
      </w:r>
      <w:r>
        <w:rPr>
          <w:rFonts w:hint="eastAsia"/>
        </w:rPr>
        <w:t xml:space="preserve">图 </w:t>
      </w:r>
      <w:r>
        <w:t>1</w:t>
      </w:r>
      <w:r>
        <w:fldChar w:fldCharType="end"/>
      </w:r>
      <w:r>
        <w:fldChar w:fldCharType="begin"/>
      </w:r>
      <w:r>
        <w:instrText xml:space="preserve"> </w:instrText>
      </w:r>
      <w:r>
        <w:rPr>
          <w:rFonts w:hint="eastAsia"/>
        </w:rPr>
        <w:instrText xml:space="preserve">REF _Ref164683733 \h</w:instrText>
      </w:r>
      <w:r>
        <w:instrText xml:space="preserve">  \* MERGEFORMAT </w:instrText>
      </w:r>
      <w:r>
        <w:fldChar w:fldCharType="end"/>
      </w:r>
      <w:r>
        <w:rPr>
          <w:rFonts w:hint="eastAsia"/>
        </w:rPr>
        <w:t>为2013年以来乘用车新能源占比的变化趋势，可以看出2021年后新能源呈现快速增加态势。行业机构数据显示，2023年乘用车新能源比例达到约35%。在这种趋势下，新能源汽车的能耗也应适时进行相应约束性管理。前期，为有效促进新能源汽车比例的快速增加，在企业平均燃料消耗核算中，对于新能源的电耗采取按0核算并给予核算倍率的方式，此方式下新能源汽车的核算优势显著。面向未来，随着新能源比例的不断增加，其在总体能耗中的占比也将快速增加，在我国目前的能源结构下，有必要通过适当的方式引导新能源车的节能降耗。</w:t>
      </w:r>
    </w:p>
    <w:p>
      <w:pPr>
        <w:spacing w:line="240" w:lineRule="auto"/>
        <w:ind w:firstLine="0" w:firstLineChars="0"/>
        <w:jc w:val="center"/>
        <w:rPr>
          <w:rFonts w:eastAsia="黑体" w:cs="Calibri"/>
          <w:szCs w:val="21"/>
        </w:rPr>
      </w:pPr>
      <w:r>
        <w:rPr>
          <w:rFonts w:eastAsia="黑体" w:cs="Calibri"/>
          <w:szCs w:val="21"/>
        </w:rPr>
        <w:drawing>
          <wp:inline distT="0" distB="0" distL="0" distR="0">
            <wp:extent cx="3174365" cy="1968500"/>
            <wp:effectExtent l="0" t="0" r="0"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t="3125" b="1558"/>
                    <a:stretch>
                      <a:fillRect/>
                    </a:stretch>
                  </pic:blipFill>
                  <pic:spPr>
                    <a:xfrm>
                      <a:off x="0" y="0"/>
                      <a:ext cx="3190195" cy="1978067"/>
                    </a:xfrm>
                    <a:prstGeom prst="rect">
                      <a:avLst/>
                    </a:prstGeom>
                    <a:noFill/>
                    <a:ln>
                      <a:noFill/>
                    </a:ln>
                  </pic:spPr>
                </pic:pic>
              </a:graphicData>
            </a:graphic>
          </wp:inline>
        </w:drawing>
      </w:r>
    </w:p>
    <w:p>
      <w:pPr>
        <w:pStyle w:val="3"/>
        <w:rPr>
          <w:rFonts w:cs="Calibri"/>
          <w:szCs w:val="21"/>
        </w:rPr>
      </w:pPr>
      <w:bookmarkStart w:id="33" w:name="_Ref168044556"/>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w:t>
      </w:r>
      <w:r>
        <w:fldChar w:fldCharType="end"/>
      </w:r>
      <w:bookmarkEnd w:id="33"/>
      <w:r>
        <w:rPr>
          <w:rFonts w:hint="eastAsia"/>
        </w:rPr>
        <w:t xml:space="preserve"> </w:t>
      </w:r>
      <w:r>
        <w:rPr>
          <w:rFonts w:hint="eastAsia" w:cs="Calibri"/>
          <w:szCs w:val="21"/>
        </w:rPr>
        <w:t>乘用车新能源占比变化</w:t>
      </w:r>
    </w:p>
    <w:p>
      <w:pPr>
        <w:spacing w:line="400" w:lineRule="exact"/>
        <w:ind w:firstLine="420"/>
      </w:pPr>
      <w:r>
        <w:rPr>
          <w:rFonts w:hint="eastAsia"/>
        </w:rPr>
        <w:t>2）车型能耗层面</w:t>
      </w:r>
    </w:p>
    <w:p>
      <w:pPr>
        <w:spacing w:line="400" w:lineRule="exact"/>
        <w:ind w:firstLine="420"/>
      </w:pPr>
      <w:r>
        <w:rPr>
          <w:rFonts w:hint="eastAsia"/>
        </w:rPr>
        <w:t>（a）传统车节能</w:t>
      </w:r>
    </w:p>
    <w:p>
      <w:pPr>
        <w:spacing w:line="400" w:lineRule="exact"/>
        <w:ind w:firstLine="420"/>
      </w:pPr>
      <w:r>
        <w:rPr>
          <w:rFonts w:hint="eastAsia"/>
        </w:rPr>
        <w:t>乘用车燃料消耗量标准实施以来，有效降低了车型的燃料消耗量水平。</w:t>
      </w:r>
      <w:r>
        <w:fldChar w:fldCharType="begin"/>
      </w:r>
      <w:r>
        <w:instrText xml:space="preserve"> </w:instrText>
      </w:r>
      <w:r>
        <w:rPr>
          <w:rFonts w:hint="eastAsia"/>
        </w:rPr>
        <w:instrText xml:space="preserve">REF _Ref164683424 \h</w:instrText>
      </w:r>
      <w:r>
        <w:instrText xml:space="preserve">  \* MERGEFORMAT </w:instrText>
      </w:r>
      <w:r>
        <w:fldChar w:fldCharType="separate"/>
      </w:r>
      <w:r>
        <w:rPr>
          <w:rFonts w:hint="eastAsia"/>
        </w:rPr>
        <w:t xml:space="preserve">图 </w:t>
      </w:r>
      <w:r>
        <w:t>2</w:t>
      </w:r>
      <w:r>
        <w:fldChar w:fldCharType="end"/>
      </w:r>
      <w:r>
        <w:rPr>
          <w:rFonts w:hint="eastAsia"/>
        </w:rPr>
        <w:t>为第四阶段乘用车燃料消耗量标准实施以来的平均燃料消耗量发展趋势，可以看出在标准的推动下，我国乘用车综合燃料消耗量水平持续降低。一方面在于传统燃油车节能技术的研发与应用，更主要的是因为新能源比例的快速增加。</w:t>
      </w:r>
    </w:p>
    <w:p>
      <w:pPr>
        <w:spacing w:line="240" w:lineRule="auto"/>
        <w:ind w:firstLine="0" w:firstLineChars="0"/>
        <w:jc w:val="center"/>
        <w:rPr>
          <w:rFonts w:eastAsia="黑体" w:cs="Calibri"/>
          <w:szCs w:val="21"/>
        </w:rPr>
      </w:pPr>
      <w:r>
        <w:rPr>
          <w:rFonts w:eastAsia="黑体" w:cs="Calibri"/>
          <w:szCs w:val="21"/>
        </w:rPr>
        <w:drawing>
          <wp:inline distT="0" distB="0" distL="0" distR="0">
            <wp:extent cx="3933190" cy="1769110"/>
            <wp:effectExtent l="0" t="0" r="0" b="0"/>
            <wp:docPr id="31490147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901472"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t="8752"/>
                    <a:stretch>
                      <a:fillRect/>
                    </a:stretch>
                  </pic:blipFill>
                  <pic:spPr>
                    <a:xfrm>
                      <a:off x="0" y="0"/>
                      <a:ext cx="3969568" cy="1785287"/>
                    </a:xfrm>
                    <a:prstGeom prst="rect">
                      <a:avLst/>
                    </a:prstGeom>
                    <a:noFill/>
                    <a:ln>
                      <a:noFill/>
                    </a:ln>
                  </pic:spPr>
                </pic:pic>
              </a:graphicData>
            </a:graphic>
          </wp:inline>
        </w:drawing>
      </w:r>
    </w:p>
    <w:p>
      <w:pPr>
        <w:pStyle w:val="3"/>
        <w:rPr>
          <w:rFonts w:cs="Calibri"/>
          <w:szCs w:val="21"/>
        </w:rPr>
      </w:pPr>
      <w:bookmarkStart w:id="34" w:name="_Ref164683424"/>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2</w:t>
      </w:r>
      <w:r>
        <w:fldChar w:fldCharType="end"/>
      </w:r>
      <w:bookmarkEnd w:id="34"/>
      <w:r>
        <w:rPr>
          <w:rFonts w:hint="eastAsia"/>
        </w:rPr>
        <w:t xml:space="preserve"> </w:t>
      </w:r>
      <w:r>
        <w:rPr>
          <w:rFonts w:hint="eastAsia" w:cs="Calibri"/>
          <w:szCs w:val="21"/>
        </w:rPr>
        <w:t>近年来乘用车燃料消耗量趋势</w:t>
      </w:r>
    </w:p>
    <w:p>
      <w:pPr>
        <w:spacing w:line="400" w:lineRule="exact"/>
        <w:ind w:firstLine="420"/>
      </w:pPr>
      <w:r>
        <w:rPr>
          <w:rFonts w:hint="eastAsia"/>
        </w:rPr>
        <w:t>传统燃油车层面，近几年行业数据呈现，传统车平均燃料消耗量变化不明显，其中主要受平均车重增加的影响，若对应到同一整备质量下，平均燃料消耗量仍有持续改善趋势。</w:t>
      </w:r>
    </w:p>
    <w:p>
      <w:pPr>
        <w:spacing w:line="400" w:lineRule="exact"/>
        <w:ind w:firstLine="420"/>
      </w:pPr>
      <w:r>
        <w:rPr>
          <w:rFonts w:hint="eastAsia"/>
        </w:rPr>
        <w:t>燃料消耗量趋势上，为了系统研究传统车乘用车技术降耗潜力，标准起草组在行业范围内开展了节能技术调查，收集发动机、变速器、车身、混动等方面21项技术的节能潜力、成本、当前应用比例以及2025年、2030应用比例预测，以此为基础开展乘用车节能技术潜力和成本分析。从</w:t>
      </w:r>
      <w:r>
        <w:fldChar w:fldCharType="begin"/>
      </w:r>
      <w:r>
        <w:instrText xml:space="preserve"> </w:instrText>
      </w:r>
      <w:r>
        <w:rPr>
          <w:rFonts w:hint="eastAsia"/>
        </w:rPr>
        <w:instrText xml:space="preserve">REF _Ref168044616 \h</w:instrText>
      </w:r>
      <w:r>
        <w:instrText xml:space="preserve">  \* MERGEFORMAT </w:instrText>
      </w:r>
      <w:r>
        <w:fldChar w:fldCharType="separate"/>
      </w:r>
      <w:r>
        <w:rPr>
          <w:rFonts w:hint="eastAsia"/>
        </w:rPr>
        <w:t xml:space="preserve">图 </w:t>
      </w:r>
      <w:r>
        <w:t>3</w:t>
      </w:r>
      <w:r>
        <w:fldChar w:fldCharType="end"/>
      </w:r>
      <w:r>
        <w:fldChar w:fldCharType="begin"/>
      </w:r>
      <w:r>
        <w:instrText xml:space="preserve"> </w:instrText>
      </w:r>
      <w:r>
        <w:rPr>
          <w:rFonts w:hint="eastAsia"/>
        </w:rPr>
        <w:instrText xml:space="preserve">REF _Ref164689693 \h</w:instrText>
      </w:r>
      <w:r>
        <w:instrText xml:space="preserve">  \* MERGEFORMAT </w:instrText>
      </w:r>
      <w:r>
        <w:fldChar w:fldCharType="end"/>
      </w:r>
      <w:r>
        <w:rPr>
          <w:rFonts w:hint="eastAsia"/>
        </w:rPr>
        <w:t>所示的乘用车技术搭载趋势看，传统节能技术层面，尽管各单项技术的节能潜力相对较低，但总体节能潜力仍有一定空间；另一方面，发展混合动力将能够进一步大幅度降低车型燃料消耗量水平。</w:t>
      </w:r>
      <w:r>
        <w:fldChar w:fldCharType="begin"/>
      </w:r>
      <w:r>
        <w:instrText xml:space="preserve"> </w:instrText>
      </w:r>
      <w:r>
        <w:rPr>
          <w:rFonts w:hint="eastAsia"/>
        </w:rPr>
        <w:instrText xml:space="preserve">REF _Ref168044635 \h</w:instrText>
      </w:r>
      <w:r>
        <w:instrText xml:space="preserve">  \* MERGEFORMAT </w:instrText>
      </w:r>
      <w:r>
        <w:fldChar w:fldCharType="separate"/>
      </w:r>
      <w:r>
        <w:rPr>
          <w:rFonts w:hint="eastAsia"/>
        </w:rPr>
        <w:t xml:space="preserve">图 </w:t>
      </w:r>
      <w:r>
        <w:t>4</w:t>
      </w:r>
      <w:r>
        <w:fldChar w:fldCharType="end"/>
      </w:r>
      <w:r>
        <w:fldChar w:fldCharType="begin"/>
      </w:r>
      <w:r>
        <w:instrText xml:space="preserve"> </w:instrText>
      </w:r>
      <w:r>
        <w:rPr>
          <w:rFonts w:hint="eastAsia"/>
        </w:rPr>
        <w:instrText xml:space="preserve">REF _Ref164689702 \h</w:instrText>
      </w:r>
      <w:r>
        <w:instrText xml:space="preserve">  \* MERGEFORMAT </w:instrText>
      </w:r>
      <w:r>
        <w:fldChar w:fldCharType="end"/>
      </w:r>
      <w:r>
        <w:rPr>
          <w:rFonts w:hint="eastAsia"/>
        </w:rPr>
        <w:t>所示为近年混动比例的占比情况。</w:t>
      </w:r>
    </w:p>
    <w:p>
      <w:pPr>
        <w:ind w:firstLine="0" w:firstLineChars="0"/>
        <w:jc w:val="center"/>
      </w:pPr>
      <w:r>
        <w:drawing>
          <wp:inline distT="0" distB="0" distL="0" distR="0">
            <wp:extent cx="2699385" cy="1869440"/>
            <wp:effectExtent l="0" t="0" r="5715" b="1016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700000" cy="1869821"/>
                    </a:xfrm>
                    <a:prstGeom prst="rect">
                      <a:avLst/>
                    </a:prstGeom>
                    <a:noFill/>
                  </pic:spPr>
                </pic:pic>
              </a:graphicData>
            </a:graphic>
          </wp:inline>
        </w:drawing>
      </w:r>
      <w:r>
        <w:drawing>
          <wp:inline distT="0" distB="0" distL="0" distR="0">
            <wp:extent cx="2537460" cy="1863090"/>
            <wp:effectExtent l="0" t="0" r="2540" b="381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538000" cy="1863491"/>
                    </a:xfrm>
                    <a:prstGeom prst="rect">
                      <a:avLst/>
                    </a:prstGeom>
                    <a:noFill/>
                  </pic:spPr>
                </pic:pic>
              </a:graphicData>
            </a:graphic>
          </wp:inline>
        </w:drawing>
      </w:r>
    </w:p>
    <w:p>
      <w:pPr>
        <w:spacing w:line="400" w:lineRule="exact"/>
        <w:ind w:firstLine="0" w:firstLineChars="0"/>
        <w:jc w:val="center"/>
        <w:rPr>
          <w:rFonts w:eastAsia="黑体" w:cs="Calibri"/>
          <w:sz w:val="18"/>
          <w:szCs w:val="18"/>
        </w:rPr>
      </w:pPr>
      <w:r>
        <w:rPr>
          <w:rFonts w:hint="eastAsia" w:eastAsia="黑体" w:cs="Calibri"/>
          <w:sz w:val="18"/>
          <w:szCs w:val="18"/>
        </w:rPr>
        <w:t>（a）节能技术搭载率                                                           （b）节能潜力测算</w:t>
      </w:r>
    </w:p>
    <w:p>
      <w:pPr>
        <w:pStyle w:val="3"/>
        <w:rPr>
          <w:rFonts w:cs="Calibri"/>
          <w:szCs w:val="21"/>
        </w:rPr>
      </w:pPr>
      <w:bookmarkStart w:id="35" w:name="_Ref168044616"/>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3</w:t>
      </w:r>
      <w:r>
        <w:fldChar w:fldCharType="end"/>
      </w:r>
      <w:bookmarkEnd w:id="35"/>
      <w:r>
        <w:rPr>
          <w:rFonts w:hint="eastAsia"/>
        </w:rPr>
        <w:t xml:space="preserve"> </w:t>
      </w:r>
      <w:r>
        <w:rPr>
          <w:rFonts w:hint="eastAsia" w:cs="Calibri"/>
          <w:szCs w:val="21"/>
        </w:rPr>
        <w:t>节能技术搭载率及节能潜力调研分析</w:t>
      </w:r>
    </w:p>
    <w:p>
      <w:pPr>
        <w:spacing w:line="240" w:lineRule="auto"/>
        <w:ind w:firstLine="0" w:firstLineChars="0"/>
        <w:jc w:val="center"/>
        <w:rPr>
          <w:rFonts w:eastAsia="黑体" w:cs="Calibri"/>
          <w:szCs w:val="21"/>
        </w:rPr>
      </w:pPr>
      <w:r>
        <w:rPr>
          <w:rFonts w:eastAsia="黑体" w:cs="Calibri"/>
          <w:szCs w:val="21"/>
        </w:rPr>
        <w:drawing>
          <wp:inline distT="0" distB="0" distL="0" distR="0">
            <wp:extent cx="3599180" cy="1845310"/>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t="9325"/>
                    <a:stretch>
                      <a:fillRect/>
                    </a:stretch>
                  </pic:blipFill>
                  <pic:spPr>
                    <a:xfrm>
                      <a:off x="0" y="0"/>
                      <a:ext cx="3600000" cy="1845767"/>
                    </a:xfrm>
                    <a:prstGeom prst="rect">
                      <a:avLst/>
                    </a:prstGeom>
                    <a:noFill/>
                    <a:ln>
                      <a:noFill/>
                    </a:ln>
                  </pic:spPr>
                </pic:pic>
              </a:graphicData>
            </a:graphic>
          </wp:inline>
        </w:drawing>
      </w:r>
    </w:p>
    <w:p>
      <w:pPr>
        <w:pStyle w:val="3"/>
        <w:rPr>
          <w:rFonts w:cs="Calibri"/>
          <w:szCs w:val="21"/>
        </w:rPr>
      </w:pPr>
      <w:bookmarkStart w:id="36" w:name="_Ref168044635"/>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4</w:t>
      </w:r>
      <w:r>
        <w:fldChar w:fldCharType="end"/>
      </w:r>
      <w:bookmarkEnd w:id="36"/>
      <w:r>
        <w:rPr>
          <w:rFonts w:hint="eastAsia"/>
        </w:rPr>
        <w:t xml:space="preserve"> </w:t>
      </w:r>
      <w:r>
        <w:rPr>
          <w:rFonts w:hint="eastAsia" w:cs="Calibri"/>
          <w:szCs w:val="21"/>
        </w:rPr>
        <w:t>混动技术搭载率发展趋势</w:t>
      </w:r>
    </w:p>
    <w:p>
      <w:pPr>
        <w:spacing w:line="400" w:lineRule="exact"/>
        <w:ind w:firstLine="420"/>
      </w:pPr>
      <w:r>
        <w:rPr>
          <w:rFonts w:hint="eastAsia"/>
        </w:rPr>
        <w:t>从</w:t>
      </w:r>
      <w:r>
        <w:fldChar w:fldCharType="begin"/>
      </w:r>
      <w:r>
        <w:instrText xml:space="preserve"> </w:instrText>
      </w:r>
      <w:r>
        <w:rPr>
          <w:rFonts w:hint="eastAsia"/>
        </w:rPr>
        <w:instrText xml:space="preserve">REF _Ref168044635 \h</w:instrText>
      </w:r>
      <w:r>
        <w:instrText xml:space="preserve">  \* MERGEFORMAT </w:instrText>
      </w:r>
      <w:r>
        <w:fldChar w:fldCharType="separate"/>
      </w:r>
      <w:r>
        <w:rPr>
          <w:rFonts w:hint="eastAsia"/>
        </w:rPr>
        <w:t xml:space="preserve">图 </w:t>
      </w:r>
      <w:r>
        <w:t>4</w:t>
      </w:r>
      <w:r>
        <w:fldChar w:fldCharType="end"/>
      </w:r>
      <w:r>
        <w:fldChar w:fldCharType="begin"/>
      </w:r>
      <w:r>
        <w:instrText xml:space="preserve"> </w:instrText>
      </w:r>
      <w:r>
        <w:rPr>
          <w:rFonts w:hint="eastAsia"/>
        </w:rPr>
        <w:instrText xml:space="preserve">REF _Ref164689702 \h</w:instrText>
      </w:r>
      <w:r>
        <w:instrText xml:space="preserve">  \* MERGEFORMAT </w:instrText>
      </w:r>
      <w:r>
        <w:fldChar w:fldCharType="end"/>
      </w:r>
      <w:r>
        <w:rPr>
          <w:rFonts w:hint="eastAsia"/>
        </w:rPr>
        <w:t>可以看到，随着燃料消耗量标准的持续加严，近年来混动比例呈现不断增加趋势，预计在未来一段时间内仍将延续该发展趋势。燃料消耗量表现方面，近几年数据显示，同一整备质量下的燃料消耗量结果仍在持续改善。因此，结合技术潜力分析及产业发展，研究认为目前已有技术储备能够支撑传统车燃料消耗量的持续降低，目标值设置的过程中对此也进行了重点考虑，并提出按照传统车燃料消耗量1%的年度降幅设定最终目标值。</w:t>
      </w:r>
    </w:p>
    <w:p>
      <w:pPr>
        <w:spacing w:line="400" w:lineRule="exact"/>
        <w:ind w:firstLine="420"/>
      </w:pPr>
      <w:r>
        <w:rPr>
          <w:rFonts w:hint="eastAsia"/>
        </w:rPr>
        <w:t>（b）新能源汽车能耗</w:t>
      </w:r>
    </w:p>
    <w:p>
      <w:pPr>
        <w:spacing w:line="400" w:lineRule="exact"/>
        <w:ind w:firstLine="420"/>
      </w:pPr>
      <w:r>
        <w:rPr>
          <w:rFonts w:hint="eastAsia"/>
        </w:rPr>
        <w:t>纯电动汽车层面，与传统燃油车类似，2020年以后行业总体电耗未发生显著变化，甚至有适当增加的趋势，进一步分析得出，微型车占比的降低、平均车重的增加等因素对于总体电耗的影响较为明显，且相关产业政策中电耗门槛要求的驱动作用也愈加有限，因此需要在本标准指标的确定中予以一定考虑。插电式车型层面，作为新能源汽车的重要组成，近年来产业规模及市场占比快速增加，按照目前仅考核综合燃料消耗量方式，此类车型平均燃料消耗量值较低，下一阶段电耗参与核算后综合燃料消耗量结果将显著增加，各阶段能耗表现上，近年数据显示并未发生明显变化，续驶里程呈现不断增加趋势，对此在目标值设置中已进行重点考虑。</w:t>
      </w:r>
    </w:p>
    <w:p>
      <w:pPr>
        <w:spacing w:line="400" w:lineRule="exact"/>
        <w:ind w:firstLine="420"/>
      </w:pPr>
      <w:r>
        <w:rPr>
          <w:rFonts w:hint="eastAsia"/>
        </w:rPr>
        <w:t>目前，纯电动汽车电耗限值强标也在同步制定并将与本标准一并实施，该标准基于行业电耗现状及节能潜力提出了电耗门槛要求，发布实施后将显著降低电动汽车的电耗水平；插电式混合动力汽车层面，电耗参与核算后，综合能耗的降低方式较为多元化，包括降低CD阶段电耗、降低CS阶段油耗和增加续驶里程三种，相应发展趋势也需分别考虑。</w:t>
      </w:r>
    </w:p>
    <w:p>
      <w:pPr>
        <w:numPr>
          <w:ilvl w:val="0"/>
          <w:numId w:val="2"/>
        </w:numPr>
        <w:spacing w:line="400" w:lineRule="exact"/>
        <w:ind w:firstLine="420"/>
      </w:pPr>
      <w:r>
        <w:rPr>
          <w:rFonts w:hint="eastAsia"/>
        </w:rPr>
        <w:t>目标的测算</w:t>
      </w:r>
    </w:p>
    <w:p>
      <w:pPr>
        <w:spacing w:line="400" w:lineRule="exact"/>
        <w:ind w:firstLine="420"/>
      </w:pPr>
      <w:r>
        <w:rPr>
          <w:rFonts w:hint="eastAsia"/>
        </w:rPr>
        <w:t>核心参数主要包括各类车型的占比及相应的能耗表现，如</w:t>
      </w:r>
      <w:r>
        <w:fldChar w:fldCharType="begin"/>
      </w:r>
      <w:r>
        <w:instrText xml:space="preserve"> </w:instrText>
      </w:r>
      <w:r>
        <w:rPr>
          <w:rFonts w:hint="eastAsia"/>
        </w:rPr>
        <w:instrText xml:space="preserve">REF _Ref168044747 \h</w:instrText>
      </w:r>
      <w:r>
        <w:instrText xml:space="preserve">  \* MERGEFORMAT </w:instrText>
      </w:r>
      <w:r>
        <w:fldChar w:fldCharType="separate"/>
      </w:r>
      <w:r>
        <w:rPr>
          <w:rFonts w:hint="eastAsia"/>
        </w:rPr>
        <w:t xml:space="preserve">图 </w:t>
      </w:r>
      <w:r>
        <w:t>5</w:t>
      </w:r>
      <w:r>
        <w:fldChar w:fldCharType="end"/>
      </w:r>
      <w:r>
        <w:fldChar w:fldCharType="begin"/>
      </w:r>
      <w:r>
        <w:instrText xml:space="preserve"> </w:instrText>
      </w:r>
      <w:r>
        <w:rPr>
          <w:rFonts w:hint="eastAsia"/>
        </w:rPr>
        <w:instrText xml:space="preserve">REF _Ref164762228 \h</w:instrText>
      </w:r>
      <w:r>
        <w:instrText xml:space="preserve">  \* MERGEFORMAT </w:instrText>
      </w:r>
      <w:r>
        <w:fldChar w:fldCharType="end"/>
      </w:r>
      <w:r>
        <w:rPr>
          <w:rFonts w:hint="eastAsia"/>
        </w:rPr>
        <w:t>所示。图中横坐标给出了各核心参数的选取范围，该范围基本能够全面覆盖各核心参数的发展情景，在该范围内平均选取5个点分析得到相应核心参数变化对总目标的影响。由图中可以看出，新能源比例对总体目标的影响最大，PHEV占新能源的比例影响次之，而后是混动车型的占比，其他核心要素在设定的参数范围内，四舍五入后对目标值几乎不产生影响。综合评估认为，选择的基准场景更具代表性，以此提出的总体目标值能够更加贴近产业发展预期。</w:t>
      </w:r>
    </w:p>
    <w:p>
      <w:pPr>
        <w:spacing w:line="240" w:lineRule="auto"/>
        <w:ind w:firstLine="0" w:firstLineChars="0"/>
        <w:jc w:val="center"/>
      </w:pPr>
      <w:r>
        <w:object>
          <v:shape id="_x0000_i1025" o:spt="75" type="#_x0000_t75" style="height:216pt;width:282pt;" o:ole="t" filled="f" o:preferrelative="t" stroked="f" coordsize="21600,21600">
            <v:path/>
            <v:fill on="f" focussize="0,0"/>
            <v:stroke on="f" joinstyle="miter"/>
            <v:imagedata r:id="rId22" o:title=""/>
            <o:lock v:ext="edit" aspectratio="t"/>
            <w10:wrap type="none"/>
            <w10:anchorlock/>
          </v:shape>
          <o:OLEObject Type="Embed" ProgID="Origin95.Graph" ShapeID="_x0000_i1025" DrawAspect="Content" ObjectID="_1468075725" r:id="rId21">
            <o:LockedField>false</o:LockedField>
          </o:OLEObject>
        </w:object>
      </w:r>
    </w:p>
    <w:p>
      <w:pPr>
        <w:pStyle w:val="3"/>
      </w:pPr>
      <w:bookmarkStart w:id="37" w:name="_Ref168044747"/>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5</w:t>
      </w:r>
      <w:r>
        <w:fldChar w:fldCharType="end"/>
      </w:r>
      <w:bookmarkEnd w:id="37"/>
      <w:r>
        <w:rPr>
          <w:rFonts w:hint="eastAsia"/>
        </w:rPr>
        <w:t xml:space="preserve"> 核心参数对目标值的影响度分析</w:t>
      </w:r>
    </w:p>
    <w:p>
      <w:pPr>
        <w:spacing w:line="400" w:lineRule="exact"/>
        <w:ind w:firstLine="420"/>
      </w:pPr>
      <w:r>
        <w:rPr>
          <w:rFonts w:hint="eastAsia"/>
        </w:rPr>
        <w:t>目标值层面，基于产业现状、新能源发展预期和技术潜力分析，研究提出2030年企业平均燃料消耗量3.3 L/100 km的总体目标，该指标较2025年同质量下加严了约33%，且电耗核算方法由按0核算切换为按照热值核算，初步测算在同一核算方式下，该目标较2025年总体加严40%~50%。</w:t>
      </w:r>
    </w:p>
    <w:p>
      <w:pPr>
        <w:spacing w:line="400" w:lineRule="exact"/>
        <w:ind w:firstLine="422"/>
        <w:rPr>
          <w:b/>
          <w:bCs/>
        </w:rPr>
      </w:pPr>
      <w:r>
        <w:rPr>
          <w:rFonts w:hint="eastAsia"/>
          <w:b/>
          <w:bCs/>
        </w:rPr>
        <w:t>（2）车型目标值因素考虑</w:t>
      </w:r>
    </w:p>
    <w:p>
      <w:pPr>
        <w:spacing w:line="400" w:lineRule="exact"/>
        <w:ind w:firstLine="420"/>
      </w:pPr>
      <w:r>
        <w:rPr>
          <w:rFonts w:hint="eastAsia"/>
        </w:rPr>
        <w:t>指标的确定包括3个核心要素：基准质量、斜率、目标值，基准质量与目标值对应，直接决定着指标的严格程度，斜率表征指标随整备质量的变化趋势，决定了基准质量之外其他车型的具体指标要求。</w:t>
      </w:r>
    </w:p>
    <w:p>
      <w:pPr>
        <w:spacing w:line="400" w:lineRule="exact"/>
        <w:ind w:firstLine="420"/>
      </w:pPr>
      <w:r>
        <w:rPr>
          <w:rFonts w:hint="eastAsia"/>
        </w:rPr>
        <w:t>1）基准质量选取</w:t>
      </w:r>
    </w:p>
    <w:p>
      <w:pPr>
        <w:spacing w:line="400" w:lineRule="exact"/>
        <w:ind w:firstLine="420"/>
      </w:pPr>
      <w:r>
        <w:rPr>
          <w:rFonts w:hint="eastAsia"/>
        </w:rPr>
        <w:t>指标基准层面，标准配套的试验方法标准前期已完成全面更新，其中测试质量也发生一定变化，因此在标准的制定过程中针对性地开展了测试质量变化的影响研究。如</w:t>
      </w:r>
      <w:r>
        <w:fldChar w:fldCharType="begin"/>
      </w:r>
      <w:r>
        <w:instrText xml:space="preserve"> </w:instrText>
      </w:r>
      <w:r>
        <w:rPr>
          <w:rFonts w:hint="eastAsia"/>
        </w:rPr>
        <w:instrText xml:space="preserve">REF _Ref164694736 \h</w:instrText>
      </w:r>
      <w:r>
        <w:instrText xml:space="preserve">  \* MERGEFORMAT </w:instrText>
      </w:r>
      <w:r>
        <w:fldChar w:fldCharType="separate"/>
      </w:r>
      <w:r>
        <w:rPr>
          <w:rFonts w:hint="eastAsia"/>
        </w:rPr>
        <w:t xml:space="preserve">图 </w:t>
      </w:r>
      <w:r>
        <w:t>6</w:t>
      </w:r>
      <w:r>
        <w:fldChar w:fldCharType="end"/>
      </w:r>
      <w:r>
        <w:rPr>
          <w:rFonts w:hint="eastAsia"/>
        </w:rPr>
        <w:t>所示，原测试质量下，整备质量和测试质量呈现完全线性关系，这主要是因为原测试质量设置为整备质量加上100 kg，因此按照整备质量或测试质量制定目标值要求力度一致。新测试质量下，整备质量和测试质量的线性相关系数</w:t>
      </w:r>
      <w:r>
        <w:rPr>
          <w:rFonts w:hint="eastAsia"/>
          <w:i/>
          <w:iCs/>
        </w:rPr>
        <w:t>R</w:t>
      </w:r>
      <w:r>
        <w:rPr>
          <w:rFonts w:hint="eastAsia"/>
          <w:vertAlign w:val="superscript"/>
        </w:rPr>
        <w:t>2</w:t>
      </w:r>
      <w:r>
        <w:rPr>
          <w:rFonts w:hint="eastAsia"/>
        </w:rPr>
        <w:t>也在0.99以上，反映了新测试质量采取的整备质量加100 kg加选装装备质量加代表性负荷的方式下，整备质量与测试质量仍呈现非常强的线性相关性，因此可以得出，新测试质量下仍可采取整备质量为基准制定目标值要求。</w:t>
      </w:r>
    </w:p>
    <w:p>
      <w:pPr>
        <w:spacing w:line="240" w:lineRule="auto"/>
        <w:ind w:firstLine="0" w:firstLineChars="0"/>
        <w:jc w:val="center"/>
      </w:pPr>
      <w:r>
        <w:drawing>
          <wp:inline distT="0" distB="0" distL="0" distR="0">
            <wp:extent cx="4133850" cy="2161540"/>
            <wp:effectExtent l="0" t="0" r="0" b="0"/>
            <wp:docPr id="29624140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41405" name="图片 11"/>
                    <pic:cNvPicPr>
                      <a:picLocks noChangeAspect="1" noChangeArrowheads="1"/>
                    </pic:cNvPicPr>
                  </pic:nvPicPr>
                  <pic:blipFill>
                    <a:blip r:embed="rId23" cstate="print">
                      <a:extLst>
                        <a:ext uri="{28A0092B-C50C-407E-A947-70E740481C1C}">
                          <a14:useLocalDpi xmlns:a14="http://schemas.microsoft.com/office/drawing/2010/main" val="0"/>
                        </a:ext>
                      </a:extLst>
                    </a:blip>
                    <a:srcRect b="837"/>
                    <a:stretch>
                      <a:fillRect/>
                    </a:stretch>
                  </pic:blipFill>
                  <pic:spPr>
                    <a:xfrm>
                      <a:off x="0" y="0"/>
                      <a:ext cx="4165419" cy="2178418"/>
                    </a:xfrm>
                    <a:prstGeom prst="rect">
                      <a:avLst/>
                    </a:prstGeom>
                    <a:noFill/>
                    <a:ln>
                      <a:noFill/>
                    </a:ln>
                  </pic:spPr>
                </pic:pic>
              </a:graphicData>
            </a:graphic>
          </wp:inline>
        </w:drawing>
      </w:r>
    </w:p>
    <w:p>
      <w:pPr>
        <w:pStyle w:val="3"/>
        <w:rPr>
          <w:rFonts w:cs="Calibri"/>
          <w:szCs w:val="21"/>
        </w:rPr>
      </w:pPr>
      <w:bookmarkStart w:id="38" w:name="_Ref164694736"/>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6</w:t>
      </w:r>
      <w:r>
        <w:fldChar w:fldCharType="end"/>
      </w:r>
      <w:bookmarkEnd w:id="38"/>
      <w:r>
        <w:rPr>
          <w:rFonts w:hint="eastAsia"/>
        </w:rPr>
        <w:t xml:space="preserve"> </w:t>
      </w:r>
      <w:r>
        <w:rPr>
          <w:rFonts w:hint="eastAsia" w:cs="Calibri"/>
          <w:szCs w:val="21"/>
        </w:rPr>
        <w:t>不同试验方法下整备质量与测试质量的线性相关性</w:t>
      </w:r>
    </w:p>
    <w:p>
      <w:pPr>
        <w:spacing w:line="400" w:lineRule="exact"/>
        <w:ind w:firstLine="420"/>
      </w:pPr>
      <w:r>
        <w:rPr>
          <w:rFonts w:hint="eastAsia"/>
        </w:rPr>
        <w:t>质量拐点层面，燃料消耗量目标值的制定首先需基于行业数据提出总体要求，而后通过设置合理的质量拐点以有效抑制车重的增加，同时对质量较轻的车型给予合理放宽、对车辆较重的车型进行适当加严。目前质量拐点设置为1090 kg和2510 kg，由</w:t>
      </w:r>
      <w:r>
        <w:fldChar w:fldCharType="begin"/>
      </w:r>
      <w:r>
        <w:instrText xml:space="preserve"> </w:instrText>
      </w:r>
      <w:r>
        <w:rPr>
          <w:rFonts w:hint="eastAsia"/>
        </w:rPr>
        <w:instrText xml:space="preserve">REF _Ref164694882 \h</w:instrText>
      </w:r>
      <w:r>
        <w:instrText xml:space="preserve">  \* MERGEFORMAT </w:instrText>
      </w:r>
      <w:r>
        <w:fldChar w:fldCharType="separate"/>
      </w:r>
      <w:r>
        <w:rPr>
          <w:rFonts w:hint="eastAsia"/>
        </w:rPr>
        <w:t xml:space="preserve">图 </w:t>
      </w:r>
      <w:r>
        <w:t>7</w:t>
      </w:r>
      <w:r>
        <w:fldChar w:fldCharType="end"/>
      </w:r>
      <w:r>
        <w:rPr>
          <w:rFonts w:hint="eastAsia"/>
        </w:rPr>
        <w:t>和</w:t>
      </w:r>
      <w:r>
        <w:fldChar w:fldCharType="begin"/>
      </w:r>
      <w:r>
        <w:instrText xml:space="preserve"> </w:instrText>
      </w:r>
      <w:r>
        <w:rPr>
          <w:rFonts w:hint="eastAsia"/>
        </w:rPr>
        <w:instrText xml:space="preserve">REF _Ref164694887 \h</w:instrText>
      </w:r>
      <w:r>
        <w:instrText xml:space="preserve">  \* MERGEFORMAT </w:instrText>
      </w:r>
      <w:r>
        <w:fldChar w:fldCharType="separate"/>
      </w:r>
      <w:r>
        <w:rPr>
          <w:rFonts w:hint="eastAsia"/>
        </w:rPr>
        <w:t xml:space="preserve">图 </w:t>
      </w:r>
      <w:r>
        <w:t>8</w:t>
      </w:r>
      <w:r>
        <w:fldChar w:fldCharType="end"/>
      </w:r>
      <w:r>
        <w:rPr>
          <w:rFonts w:hint="eastAsia"/>
        </w:rPr>
        <w:t>可以看出，1090 kg拐点的设置使得一部分传统车和新能源车型得到实质性激励，而2510 kg的设置也有效约束了车重的不断增加，超过该拐点质量的车型很少。综合分析认为，标准修订中可维持现行标准中质量拐点的设置。</w:t>
      </w:r>
    </w:p>
    <w:p>
      <w:pPr>
        <w:ind w:firstLine="0" w:firstLineChars="0"/>
        <w:jc w:val="center"/>
      </w:pPr>
      <w:r>
        <w:drawing>
          <wp:inline distT="0" distB="0" distL="0" distR="0">
            <wp:extent cx="3406140" cy="2139315"/>
            <wp:effectExtent l="0" t="0" r="0" b="0"/>
            <wp:docPr id="6578984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98458" name="图片 1"/>
                    <pic:cNvPicPr>
                      <a:picLocks noChangeAspect="1"/>
                    </pic:cNvPicPr>
                  </pic:nvPicPr>
                  <pic:blipFill>
                    <a:blip r:embed="rId24"/>
                    <a:srcRect t="7744"/>
                    <a:stretch>
                      <a:fillRect/>
                    </a:stretch>
                  </pic:blipFill>
                  <pic:spPr>
                    <a:xfrm>
                      <a:off x="0" y="0"/>
                      <a:ext cx="3413552" cy="2143687"/>
                    </a:xfrm>
                    <a:prstGeom prst="rect">
                      <a:avLst/>
                    </a:prstGeom>
                    <a:ln>
                      <a:noFill/>
                    </a:ln>
                  </pic:spPr>
                </pic:pic>
              </a:graphicData>
            </a:graphic>
          </wp:inline>
        </w:drawing>
      </w:r>
    </w:p>
    <w:p>
      <w:pPr>
        <w:pStyle w:val="3"/>
        <w:rPr>
          <w:rFonts w:cs="Calibri"/>
          <w:szCs w:val="21"/>
        </w:rPr>
      </w:pPr>
      <w:bookmarkStart w:id="39" w:name="_Ref164694882"/>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7</w:t>
      </w:r>
      <w:r>
        <w:fldChar w:fldCharType="end"/>
      </w:r>
      <w:bookmarkEnd w:id="39"/>
      <w:r>
        <w:rPr>
          <w:rFonts w:hint="eastAsia" w:cs="Calibri"/>
          <w:szCs w:val="21"/>
        </w:rPr>
        <w:t xml:space="preserve"> 传统燃油车整备质量分布情况</w:t>
      </w:r>
    </w:p>
    <w:p>
      <w:pPr>
        <w:spacing w:line="240" w:lineRule="auto"/>
        <w:ind w:firstLine="0" w:firstLineChars="0"/>
        <w:jc w:val="center"/>
        <w:rPr>
          <w:rFonts w:eastAsia="黑体" w:cs="Calibri"/>
          <w:szCs w:val="21"/>
        </w:rPr>
      </w:pPr>
      <w:r>
        <w:rPr>
          <w:rFonts w:eastAsia="黑体" w:cs="Calibri"/>
          <w:szCs w:val="21"/>
        </w:rPr>
        <w:drawing>
          <wp:inline distT="0" distB="0" distL="0" distR="0">
            <wp:extent cx="3424555" cy="2174875"/>
            <wp:effectExtent l="0" t="0" r="0" b="0"/>
            <wp:docPr id="70780340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803406"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t="1776" b="4083"/>
                    <a:stretch>
                      <a:fillRect/>
                    </a:stretch>
                  </pic:blipFill>
                  <pic:spPr>
                    <a:xfrm>
                      <a:off x="0" y="0"/>
                      <a:ext cx="3431734" cy="2179664"/>
                    </a:xfrm>
                    <a:prstGeom prst="rect">
                      <a:avLst/>
                    </a:prstGeom>
                    <a:ln>
                      <a:noFill/>
                    </a:ln>
                  </pic:spPr>
                </pic:pic>
              </a:graphicData>
            </a:graphic>
          </wp:inline>
        </w:drawing>
      </w:r>
    </w:p>
    <w:p>
      <w:pPr>
        <w:pStyle w:val="3"/>
        <w:rPr>
          <w:rFonts w:cs="Calibri"/>
          <w:szCs w:val="21"/>
        </w:rPr>
      </w:pPr>
      <w:bookmarkStart w:id="40" w:name="_Ref164694887"/>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8</w:t>
      </w:r>
      <w:r>
        <w:fldChar w:fldCharType="end"/>
      </w:r>
      <w:bookmarkEnd w:id="40"/>
      <w:r>
        <w:rPr>
          <w:rFonts w:hint="eastAsia" w:cs="Calibri"/>
          <w:szCs w:val="21"/>
        </w:rPr>
        <w:t xml:space="preserve"> 新能源车整备质量分布情况</w:t>
      </w:r>
    </w:p>
    <w:p>
      <w:pPr>
        <w:spacing w:line="400" w:lineRule="exact"/>
        <w:ind w:firstLine="420"/>
      </w:pPr>
      <w:r>
        <w:rPr>
          <w:rFonts w:hint="eastAsia"/>
        </w:rPr>
        <w:t>基准质量层面，从</w:t>
      </w:r>
      <w:r>
        <w:fldChar w:fldCharType="begin"/>
      </w:r>
      <w:r>
        <w:instrText xml:space="preserve"> </w:instrText>
      </w:r>
      <w:r>
        <w:rPr>
          <w:rFonts w:hint="eastAsia"/>
        </w:rPr>
        <w:instrText xml:space="preserve">REF _Ref168044841 \h</w:instrText>
      </w:r>
      <w:r>
        <w:instrText xml:space="preserve">  \* MERGEFORMAT </w:instrText>
      </w:r>
      <w:r>
        <w:fldChar w:fldCharType="separate"/>
      </w:r>
      <w:r>
        <w:rPr>
          <w:rFonts w:hint="eastAsia"/>
        </w:rPr>
        <w:t xml:space="preserve">图 </w:t>
      </w:r>
      <w:r>
        <w:t>9</w:t>
      </w:r>
      <w:r>
        <w:fldChar w:fldCharType="end"/>
      </w:r>
      <w:r>
        <w:rPr>
          <w:rFonts w:hint="eastAsia"/>
        </w:rPr>
        <w:t>（a）所示的近年来行业趋势看，平均整备质量呈现不断增加的趋势，已超过现行标准版本的1415 kg，基于此标准研究过程中开展了</w:t>
      </w:r>
      <w:r>
        <w:fldChar w:fldCharType="begin"/>
      </w:r>
      <w:r>
        <w:instrText xml:space="preserve"> </w:instrText>
      </w:r>
      <w:r>
        <w:rPr>
          <w:rFonts w:hint="eastAsia"/>
        </w:rPr>
        <w:instrText xml:space="preserve">REF _Ref168044841 \h</w:instrText>
      </w:r>
      <w:r>
        <w:instrText xml:space="preserve">  \* MERGEFORMAT </w:instrText>
      </w:r>
      <w:r>
        <w:fldChar w:fldCharType="separate"/>
      </w:r>
      <w:r>
        <w:rPr>
          <w:rFonts w:hint="eastAsia"/>
        </w:rPr>
        <w:t xml:space="preserve">图 </w:t>
      </w:r>
      <w:r>
        <w:t>9</w:t>
      </w:r>
      <w:r>
        <w:fldChar w:fldCharType="end"/>
      </w:r>
      <w:r>
        <w:rPr>
          <w:rFonts w:hint="eastAsia"/>
        </w:rPr>
        <w:t>（b）所示的三种典型情景下的平均整备质量预期，结合数据分析及行业讨论，提出车型市场结构不变结合整备质量适当提升的场景为更为可能的场景，基于此预测得到基准质量约为1580 kg。</w:t>
      </w:r>
    </w:p>
    <w:p>
      <w:pPr>
        <w:spacing w:line="240" w:lineRule="auto"/>
        <w:ind w:firstLine="0" w:firstLineChars="0"/>
        <w:jc w:val="center"/>
        <w:rPr>
          <w:rFonts w:eastAsia="黑体" w:cs="Calibri"/>
          <w:szCs w:val="21"/>
        </w:rPr>
      </w:pPr>
      <w:r>
        <w:rPr>
          <w:rFonts w:eastAsia="黑体" w:cs="Calibri"/>
          <w:szCs w:val="21"/>
        </w:rPr>
        <w:drawing>
          <wp:inline distT="0" distB="0" distL="0" distR="0">
            <wp:extent cx="2574290" cy="1295400"/>
            <wp:effectExtent l="0" t="0" r="0" b="0"/>
            <wp:docPr id="208928337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83376"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l="1427" t="12688" r="171"/>
                    <a:stretch>
                      <a:fillRect/>
                    </a:stretch>
                  </pic:blipFill>
                  <pic:spPr>
                    <a:xfrm>
                      <a:off x="0" y="0"/>
                      <a:ext cx="2574647" cy="1296000"/>
                    </a:xfrm>
                    <a:prstGeom prst="rect">
                      <a:avLst/>
                    </a:prstGeom>
                    <a:noFill/>
                    <a:ln>
                      <a:noFill/>
                    </a:ln>
                  </pic:spPr>
                </pic:pic>
              </a:graphicData>
            </a:graphic>
          </wp:inline>
        </w:drawing>
      </w:r>
      <w:r>
        <w:rPr>
          <w:rFonts w:eastAsia="黑体" w:cs="Calibri"/>
          <w:szCs w:val="21"/>
        </w:rPr>
        <w:drawing>
          <wp:inline distT="0" distB="0" distL="0" distR="0">
            <wp:extent cx="2646680" cy="1223645"/>
            <wp:effectExtent l="0" t="0" r="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27"/>
                    <a:srcRect l="682" r="2120"/>
                    <a:stretch>
                      <a:fillRect/>
                    </a:stretch>
                  </pic:blipFill>
                  <pic:spPr>
                    <a:xfrm>
                      <a:off x="0" y="0"/>
                      <a:ext cx="2646716" cy="1224000"/>
                    </a:xfrm>
                    <a:prstGeom prst="rect">
                      <a:avLst/>
                    </a:prstGeom>
                    <a:ln>
                      <a:noFill/>
                    </a:ln>
                  </pic:spPr>
                </pic:pic>
              </a:graphicData>
            </a:graphic>
          </wp:inline>
        </w:drawing>
      </w:r>
    </w:p>
    <w:p>
      <w:pPr>
        <w:spacing w:line="400" w:lineRule="exact"/>
        <w:ind w:firstLine="360"/>
        <w:rPr>
          <w:rFonts w:eastAsia="黑体" w:cs="Calibri"/>
          <w:sz w:val="18"/>
          <w:szCs w:val="18"/>
        </w:rPr>
      </w:pPr>
      <w:r>
        <w:rPr>
          <w:rFonts w:hint="eastAsia" w:eastAsia="黑体" w:cs="Calibri"/>
          <w:sz w:val="18"/>
          <w:szCs w:val="18"/>
        </w:rPr>
        <w:t>（a）2013-2022年乘用车平均整备质量发展                       （b）不同场景下基准质量的预测</w:t>
      </w:r>
    </w:p>
    <w:p>
      <w:pPr>
        <w:pStyle w:val="3"/>
      </w:pPr>
      <w:bookmarkStart w:id="41" w:name="_Ref168044841"/>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9</w:t>
      </w:r>
      <w:r>
        <w:fldChar w:fldCharType="end"/>
      </w:r>
      <w:bookmarkEnd w:id="41"/>
      <w:r>
        <w:rPr>
          <w:rFonts w:hint="eastAsia"/>
        </w:rPr>
        <w:t xml:space="preserve"> 基准质量确定</w:t>
      </w:r>
    </w:p>
    <w:p>
      <w:pPr>
        <w:numPr>
          <w:ilvl w:val="0"/>
          <w:numId w:val="3"/>
        </w:numPr>
        <w:spacing w:line="400" w:lineRule="exact"/>
        <w:ind w:firstLine="420"/>
      </w:pPr>
      <w:r>
        <w:rPr>
          <w:rFonts w:hint="eastAsia"/>
        </w:rPr>
        <w:t>目标值斜率</w:t>
      </w:r>
    </w:p>
    <w:p>
      <w:pPr>
        <w:numPr>
          <w:ilvl w:val="255"/>
          <w:numId w:val="0"/>
        </w:numPr>
        <w:spacing w:line="400" w:lineRule="exact"/>
        <w:ind w:firstLine="420" w:firstLineChars="200"/>
      </w:pPr>
      <w:r>
        <w:rPr>
          <w:rFonts w:hint="eastAsia"/>
        </w:rPr>
        <w:t>考虑到新基准质量1580 kg下，目标值由原来的4.9 L/100km降低至3.3 L/100km，总体加严近33%，以此为基础进行同等严格程度的加严后斜率为0.0012。但在标准研究过程中结合行业数据发现，不同车重区间燃料消耗量随整备质量的变化趋势不同。由</w:t>
      </w:r>
      <w:r>
        <w:fldChar w:fldCharType="begin"/>
      </w:r>
      <w:r>
        <w:instrText xml:space="preserve"> </w:instrText>
      </w:r>
      <w:r>
        <w:rPr>
          <w:rFonts w:hint="eastAsia"/>
        </w:rPr>
        <w:instrText xml:space="preserve">REF _Ref164753134 \h</w:instrText>
      </w:r>
      <w:r>
        <w:instrText xml:space="preserve">  \* MERGEFORMAT </w:instrText>
      </w:r>
      <w:r>
        <w:fldChar w:fldCharType="separate"/>
      </w:r>
      <w:r>
        <w:rPr>
          <w:rFonts w:hint="eastAsia"/>
        </w:rPr>
        <w:t xml:space="preserve">图 </w:t>
      </w:r>
      <w:r>
        <w:t>10</w:t>
      </w:r>
      <w:r>
        <w:fldChar w:fldCharType="end"/>
      </w:r>
      <w:r>
        <w:rPr>
          <w:rFonts w:hint="eastAsia"/>
        </w:rPr>
        <w:t>可以看出，对车重在1580 kg及以下的行业数据进行线性拟合得到的斜率为0.0023，而对车重在1580 kg以上的行业数据进行线性拟合得到的斜率为0.0038，差异显著。行业讨论同样提出，车重较高的车型总体代表技术相对更先进的车型，节能潜力相对更低。因此，综合分析提出，斜率取原斜率0.0018与同等加严后斜率0.0012的中间值0.0015。</w:t>
      </w:r>
    </w:p>
    <w:p>
      <w:pPr>
        <w:spacing w:line="240" w:lineRule="auto"/>
        <w:ind w:firstLine="0" w:firstLineChars="0"/>
        <w:jc w:val="center"/>
        <w:rPr>
          <w:rFonts w:eastAsia="黑体" w:cs="Calibri"/>
          <w:szCs w:val="21"/>
        </w:rPr>
      </w:pPr>
      <w:r>
        <w:rPr>
          <w:rFonts w:eastAsia="黑体" w:cs="Calibri"/>
          <w:szCs w:val="21"/>
        </w:rPr>
        <w:drawing>
          <wp:inline distT="0" distB="0" distL="0" distR="0">
            <wp:extent cx="5140960" cy="1513840"/>
            <wp:effectExtent l="0" t="0" r="0" b="0"/>
            <wp:docPr id="10334097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409705"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5145820" cy="1515428"/>
                    </a:xfrm>
                    <a:prstGeom prst="rect">
                      <a:avLst/>
                    </a:prstGeom>
                    <a:noFill/>
                  </pic:spPr>
                </pic:pic>
              </a:graphicData>
            </a:graphic>
          </wp:inline>
        </w:drawing>
      </w:r>
    </w:p>
    <w:p>
      <w:pPr>
        <w:pStyle w:val="3"/>
      </w:pPr>
      <w:bookmarkStart w:id="42" w:name="_Ref164753134"/>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10</w:t>
      </w:r>
      <w:r>
        <w:fldChar w:fldCharType="end"/>
      </w:r>
      <w:bookmarkEnd w:id="42"/>
      <w:r>
        <w:rPr>
          <w:rFonts w:hint="eastAsia"/>
        </w:rPr>
        <w:t xml:space="preserve"> 不同车重区间燃料消耗量随整备质量变化趋势差异</w:t>
      </w:r>
    </w:p>
    <w:p>
      <w:pPr>
        <w:spacing w:line="400" w:lineRule="exact"/>
        <w:ind w:firstLine="420"/>
      </w:pPr>
      <w:r>
        <w:rPr>
          <w:rFonts w:hint="eastAsia"/>
        </w:rPr>
        <w:t>3）目标值方案</w:t>
      </w:r>
    </w:p>
    <w:p>
      <w:pPr>
        <w:spacing w:line="400" w:lineRule="exact"/>
        <w:ind w:firstLine="420"/>
      </w:pPr>
      <w:r>
        <w:rPr>
          <w:rFonts w:hint="eastAsia"/>
        </w:rPr>
        <w:t>综合各类车型的预期发展比例及相应能耗趋势、基准质量的分析、斜率的影响等研究，提出2030年乘用车燃料消耗量总体目标：</w:t>
      </w:r>
    </w:p>
    <w:p>
      <w:pPr>
        <w:spacing w:line="400" w:lineRule="exact"/>
        <w:ind w:firstLine="420"/>
      </w:pPr>
      <w:r>
        <w:rPr>
          <w:rFonts w:hint="eastAsia"/>
        </w:rPr>
        <w:t>a)</w:t>
      </w:r>
      <w:r>
        <w:rPr>
          <w:rFonts w:hint="eastAsia"/>
        </w:rPr>
        <w:tab/>
      </w:r>
      <w:r>
        <w:rPr>
          <w:rFonts w:hint="eastAsia"/>
        </w:rPr>
        <w:t>具有三排以下座椅</w:t>
      </w:r>
      <w:r>
        <w:t>的</w:t>
      </w:r>
      <w:r>
        <w:rPr>
          <w:rFonts w:hint="eastAsia"/>
        </w:rPr>
        <w:t>乘用车，车型燃料消耗量目标值应按式(1)</w:t>
      </w:r>
      <w:r>
        <w:t>~</w:t>
      </w:r>
      <w:r>
        <w:rPr>
          <w:rFonts w:hint="eastAsia"/>
        </w:rPr>
        <w:t>(3)计算，计算结果圆整（四舍五入）至小数点后两位。</w:t>
      </w:r>
    </w:p>
    <w:p>
      <w:pPr>
        <w:spacing w:line="400" w:lineRule="exact"/>
        <w:ind w:firstLine="420"/>
      </w:pPr>
      <w:r>
        <w:rPr>
          <w:rFonts w:hint="eastAsia"/>
        </w:rPr>
        <w:t>如果整车整备质量</w:t>
      </w:r>
      <w:r>
        <w:rPr>
          <w:rFonts w:hint="eastAsia"/>
          <w:i/>
          <w:iCs/>
        </w:rPr>
        <w:t>CM</w:t>
      </w:r>
      <w:r>
        <w:rPr>
          <w:rFonts w:hint="eastAsia"/>
        </w:rPr>
        <w:t>≤1090</w:t>
      </w:r>
      <w:r>
        <w:t>，</w:t>
      </w:r>
      <w:r>
        <w:rPr>
          <w:rFonts w:hint="eastAsia"/>
        </w:rPr>
        <w:t>则</w:t>
      </w:r>
    </w:p>
    <w:p>
      <w:pPr>
        <w:spacing w:line="400" w:lineRule="exact"/>
        <w:ind w:firstLine="0" w:firstLineChars="0"/>
        <w:jc w:val="right"/>
      </w:pPr>
      <w:r>
        <w:rPr>
          <w:rFonts w:hint="eastAsia"/>
          <w:i/>
          <w:iCs/>
        </w:rPr>
        <w:t>T</w:t>
      </w:r>
      <w:r>
        <w:rPr>
          <w:rFonts w:hint="eastAsia"/>
        </w:rPr>
        <w:t>=2.57</w:t>
      </w:r>
      <w:r>
        <w:t>…………………………………………</w:t>
      </w:r>
      <w:r>
        <w:rPr>
          <w:rFonts w:hint="eastAsia"/>
        </w:rPr>
        <w:t>..(1)</w:t>
      </w:r>
    </w:p>
    <w:p>
      <w:pPr>
        <w:spacing w:line="400" w:lineRule="exact"/>
        <w:ind w:firstLine="420"/>
      </w:pPr>
      <w:r>
        <w:rPr>
          <w:rFonts w:hint="eastAsia"/>
        </w:rPr>
        <w:t>如果1090＜</w:t>
      </w:r>
      <w:r>
        <w:rPr>
          <w:rFonts w:hint="eastAsia"/>
          <w:i/>
          <w:iCs/>
        </w:rPr>
        <w:t>CM</w:t>
      </w:r>
      <w:r>
        <w:rPr>
          <w:rFonts w:hint="eastAsia"/>
        </w:rPr>
        <w:t>≤2510，则</w:t>
      </w:r>
    </w:p>
    <w:p>
      <w:pPr>
        <w:spacing w:line="400" w:lineRule="exact"/>
        <w:ind w:firstLine="0" w:firstLineChars="0"/>
        <w:jc w:val="right"/>
      </w:pPr>
      <w:r>
        <w:rPr>
          <w:rFonts w:hint="eastAsia"/>
          <w:i/>
          <w:iCs/>
        </w:rPr>
        <w:t>T</w:t>
      </w:r>
      <w:r>
        <w:rPr>
          <w:rFonts w:hint="eastAsia"/>
        </w:rPr>
        <w:t>=0.0015×(</w:t>
      </w:r>
      <w:r>
        <w:rPr>
          <w:rFonts w:hint="eastAsia"/>
          <w:i/>
          <w:iCs/>
        </w:rPr>
        <w:t>CM</w:t>
      </w:r>
      <w:r>
        <w:rPr>
          <w:rFonts w:hint="eastAsia"/>
        </w:rPr>
        <w:t>-1580)+3.3</w:t>
      </w:r>
      <w:r>
        <w:t>……………………………</w:t>
      </w:r>
      <w:r>
        <w:rPr>
          <w:rFonts w:hint="eastAsia"/>
        </w:rPr>
        <w:t>....(2)</w:t>
      </w:r>
    </w:p>
    <w:p>
      <w:pPr>
        <w:spacing w:line="400" w:lineRule="exact"/>
        <w:ind w:firstLine="420"/>
      </w:pPr>
      <w:r>
        <w:t>如果</w:t>
      </w:r>
      <w:r>
        <w:rPr>
          <w:rFonts w:hint="eastAsia"/>
          <w:i/>
          <w:iCs/>
        </w:rPr>
        <w:t>CM</w:t>
      </w:r>
      <w:r>
        <w:rPr>
          <w:rFonts w:hint="eastAsia"/>
        </w:rPr>
        <w:t>＞2510，则</w:t>
      </w:r>
    </w:p>
    <w:p>
      <w:pPr>
        <w:spacing w:line="400" w:lineRule="exact"/>
        <w:ind w:firstLine="0" w:firstLineChars="0"/>
        <w:jc w:val="right"/>
      </w:pPr>
      <w:r>
        <w:rPr>
          <w:rFonts w:hint="eastAsia"/>
          <w:i/>
          <w:iCs/>
        </w:rPr>
        <w:t>T</w:t>
      </w:r>
      <w:r>
        <w:rPr>
          <w:rFonts w:hint="eastAsia"/>
        </w:rPr>
        <w:t>=4.70</w:t>
      </w:r>
      <w:r>
        <w:t>…………………………………………</w:t>
      </w:r>
      <w:r>
        <w:rPr>
          <w:rFonts w:hint="eastAsia"/>
        </w:rPr>
        <w:t>.(3)</w:t>
      </w:r>
    </w:p>
    <w:p>
      <w:pPr>
        <w:spacing w:line="400" w:lineRule="exact"/>
        <w:ind w:firstLine="420"/>
      </w:pPr>
      <w:r>
        <w:t>式中</w:t>
      </w:r>
      <w:r>
        <w:rPr>
          <w:rFonts w:hint="eastAsia"/>
        </w:rPr>
        <w:t>：</w:t>
      </w:r>
      <w:r>
        <w:rPr>
          <w:rFonts w:hint="eastAsia"/>
          <w:i/>
          <w:iCs/>
        </w:rPr>
        <w:t>CM</w:t>
      </w:r>
      <w:r>
        <w:rPr>
          <w:rFonts w:hint="eastAsia"/>
        </w:rPr>
        <w:t>为整车整备质量，单位为千克（</w:t>
      </w:r>
      <w:r>
        <w:t>kg</w:t>
      </w:r>
      <w:r>
        <w:rPr>
          <w:rFonts w:hint="eastAsia"/>
        </w:rPr>
        <w:t>）；</w:t>
      </w:r>
      <w:r>
        <w:rPr>
          <w:rFonts w:hint="eastAsia"/>
          <w:i/>
          <w:iCs/>
        </w:rPr>
        <w:t>T</w:t>
      </w:r>
      <w:r>
        <w:rPr>
          <w:rFonts w:hint="eastAsia"/>
        </w:rPr>
        <w:t>为车型燃料消耗量目标值，单位为升每百千米（</w:t>
      </w:r>
      <w:r>
        <w:t>L/100</w:t>
      </w:r>
      <w:r>
        <w:rPr>
          <w:rFonts w:hint="eastAsia"/>
        </w:rPr>
        <w:t xml:space="preserve"> </w:t>
      </w:r>
      <w:r>
        <w:t>km</w:t>
      </w:r>
      <w:r>
        <w:rPr>
          <w:rFonts w:hint="eastAsia"/>
        </w:rPr>
        <w:t>）。</w:t>
      </w:r>
    </w:p>
    <w:p>
      <w:pPr>
        <w:spacing w:line="400" w:lineRule="exact"/>
        <w:ind w:firstLine="420"/>
      </w:pPr>
      <w:r>
        <w:rPr>
          <w:rFonts w:hint="eastAsia"/>
        </w:rPr>
        <w:t>（3）节能汽车引导</w:t>
      </w:r>
    </w:p>
    <w:p>
      <w:pPr>
        <w:spacing w:line="400" w:lineRule="exact"/>
        <w:ind w:firstLine="420"/>
      </w:pPr>
      <w:r>
        <w:rPr>
          <w:rFonts w:hint="eastAsia"/>
        </w:rPr>
        <w:t>低油耗车层面，由于企业平均燃料消耗量采取的是各类车型统一核算的方式，因此发展新能源车对核算结果更具优势，新能源达到一定比例后传统车降耗动力不足。</w:t>
      </w:r>
      <w:r>
        <w:fldChar w:fldCharType="begin"/>
      </w:r>
      <w:r>
        <w:instrText xml:space="preserve"> </w:instrText>
      </w:r>
      <w:r>
        <w:rPr>
          <w:rFonts w:hint="eastAsia"/>
        </w:rPr>
        <w:instrText xml:space="preserve">REF _Ref164754540 \h</w:instrText>
      </w:r>
      <w:r>
        <w:instrText xml:space="preserve">  \* MERGEFORMAT </w:instrText>
      </w:r>
      <w:r>
        <w:fldChar w:fldCharType="separate"/>
      </w:r>
      <w:r>
        <w:rPr>
          <w:rFonts w:hint="eastAsia"/>
        </w:rPr>
        <w:t xml:space="preserve">图 </w:t>
      </w:r>
      <w:r>
        <w:t>11</w:t>
      </w:r>
      <w:r>
        <w:fldChar w:fldCharType="end"/>
      </w:r>
      <w:r>
        <w:rPr>
          <w:rFonts w:hint="eastAsia"/>
        </w:rPr>
        <w:t>给出了不同新能源比例下传统车燃料消耗量目标值的示意图，可以看出，新能源比例越高，传统车燃料消耗量相较于目标值的达标比例越大，要求越宽松。而在现行产业发展趋势下，需同步兼顾新能源的发展及传统车的节能降耗。因此，为有效促进传统燃油车先进节能技术的研发与应用，标准对油耗表现优异的车型给予一定的激励措施。现行标准提出，如车型燃料消耗量不大于</w:t>
      </w:r>
      <w:r>
        <w:t>3.</w:t>
      </w:r>
      <w:r>
        <w:rPr>
          <w:rFonts w:hint="eastAsia"/>
        </w:rPr>
        <w:t xml:space="preserve">2 </w:t>
      </w:r>
      <w:r>
        <w:t>L/100km</w:t>
      </w:r>
      <w:r>
        <w:rPr>
          <w:rFonts w:hint="eastAsia"/>
        </w:rPr>
        <w:t>，则在企业平均燃料消耗量核算中给予一定的倍率激励。从实际实施效果看，对于低油耗车的引导相对有限。为切实更大程度的发挥此项措施的引导效力，参考国际相关标准法规做法，提出低油耗车队的要求，对于企业仅核算传统燃油车下燃料消耗量满足要求的，传统车目标值放宽3%。</w:t>
      </w:r>
    </w:p>
    <w:p>
      <w:pPr>
        <w:spacing w:line="240" w:lineRule="auto"/>
        <w:ind w:firstLine="0" w:firstLineChars="0"/>
        <w:jc w:val="center"/>
        <w:rPr>
          <w:rFonts w:eastAsia="黑体" w:cs="Calibri"/>
          <w:szCs w:val="21"/>
        </w:rPr>
      </w:pPr>
      <w:r>
        <w:rPr>
          <w:rFonts w:eastAsia="黑体" w:cs="Calibri"/>
          <w:szCs w:val="21"/>
        </w:rPr>
        <w:drawing>
          <wp:inline distT="0" distB="0" distL="0" distR="0">
            <wp:extent cx="3437890" cy="2117090"/>
            <wp:effectExtent l="0" t="0" r="0" b="0"/>
            <wp:docPr id="38457834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78342" name="图片 9"/>
                    <pic:cNvPicPr>
                      <a:picLocks noChangeAspect="1" noChangeArrowheads="1"/>
                    </pic:cNvPicPr>
                  </pic:nvPicPr>
                  <pic:blipFill>
                    <a:blip r:embed="rId29" cstate="print">
                      <a:extLst>
                        <a:ext uri="{28A0092B-C50C-407E-A947-70E740481C1C}">
                          <a14:useLocalDpi xmlns:a14="http://schemas.microsoft.com/office/drawing/2010/main" val="0"/>
                        </a:ext>
                      </a:extLst>
                    </a:blip>
                    <a:srcRect b="2607"/>
                    <a:stretch>
                      <a:fillRect/>
                    </a:stretch>
                  </pic:blipFill>
                  <pic:spPr>
                    <a:xfrm>
                      <a:off x="0" y="0"/>
                      <a:ext cx="3443107" cy="2120263"/>
                    </a:xfrm>
                    <a:prstGeom prst="rect">
                      <a:avLst/>
                    </a:prstGeom>
                    <a:noFill/>
                    <a:ln>
                      <a:noFill/>
                    </a:ln>
                  </pic:spPr>
                </pic:pic>
              </a:graphicData>
            </a:graphic>
          </wp:inline>
        </w:drawing>
      </w:r>
    </w:p>
    <w:p>
      <w:pPr>
        <w:pStyle w:val="3"/>
        <w:rPr>
          <w:rFonts w:cs="Calibri"/>
          <w:szCs w:val="21"/>
        </w:rPr>
      </w:pPr>
      <w:bookmarkStart w:id="43" w:name="_Ref164754540"/>
      <w:r>
        <w:rPr>
          <w:rFonts w:hint="eastAsia"/>
        </w:rPr>
        <w:t xml:space="preserve">图 </w:t>
      </w:r>
      <w:r>
        <w:fldChar w:fldCharType="begin"/>
      </w:r>
      <w:r>
        <w:instrText xml:space="preserve"> </w:instrText>
      </w:r>
      <w:r>
        <w:rPr>
          <w:rFonts w:hint="eastAsia"/>
        </w:rPr>
        <w:instrText xml:space="preserve">SEQ 图 \* ARABIC</w:instrText>
      </w:r>
      <w:r>
        <w:instrText xml:space="preserve"> </w:instrText>
      </w:r>
      <w:r>
        <w:fldChar w:fldCharType="separate"/>
      </w:r>
      <w:r>
        <w:t>11</w:t>
      </w:r>
      <w:r>
        <w:fldChar w:fldCharType="end"/>
      </w:r>
      <w:bookmarkEnd w:id="43"/>
      <w:r>
        <w:rPr>
          <w:rFonts w:hint="eastAsia"/>
        </w:rPr>
        <w:t xml:space="preserve"> </w:t>
      </w:r>
      <w:r>
        <w:rPr>
          <w:rFonts w:hint="eastAsia" w:cs="Calibri"/>
          <w:szCs w:val="21"/>
        </w:rPr>
        <w:t>2030年不同新能源乘用车比例下传统车油耗分解目标</w:t>
      </w:r>
    </w:p>
    <w:p>
      <w:pPr>
        <w:spacing w:line="400" w:lineRule="exact"/>
        <w:ind w:firstLine="420"/>
      </w:pPr>
      <w:r>
        <w:rPr>
          <w:rFonts w:hint="eastAsia"/>
        </w:rPr>
        <w:t>另一方面，下一阶段双积分办法正在制定，将考虑在纳入低油耗车队的同时，延续现行办法中的低油耗单车的相关规定，即对于低油耗车给出了单车和车队两个层面的激励措施。标准和双积分办法各有侧重，从不同的角度给予了企业更加多元化的传统车降耗鼓励及总体目标值达标路径。</w:t>
      </w:r>
    </w:p>
    <w:p>
      <w:pPr>
        <w:spacing w:line="400" w:lineRule="exact"/>
        <w:ind w:firstLine="420"/>
      </w:pPr>
      <w:r>
        <w:rPr>
          <w:rFonts w:hint="eastAsia"/>
        </w:rPr>
        <w:t>低油耗车由单车固定目标值修改为低油耗车队要求，并对满足要求的企业传统车目标值放宽3%。</w:t>
      </w:r>
    </w:p>
    <w:p>
      <w:pPr>
        <w:spacing w:line="400" w:lineRule="exact"/>
        <w:ind w:firstLine="422"/>
        <w:rPr>
          <w:b/>
          <w:bCs/>
        </w:rPr>
      </w:pPr>
      <w:r>
        <w:rPr>
          <w:rFonts w:hint="eastAsia"/>
          <w:b/>
          <w:bCs/>
        </w:rPr>
        <w:t>（3）其他要求</w:t>
      </w:r>
    </w:p>
    <w:p>
      <w:pPr>
        <w:spacing w:line="400" w:lineRule="exact"/>
        <w:ind w:firstLine="420"/>
      </w:pPr>
      <w:r>
        <w:rPr>
          <w:rFonts w:hint="eastAsia"/>
        </w:rPr>
        <w:t>标准起草过程中，起草组就标准适用范围、指标要求、年度达标比例、三排座椅车型特殊性、低油耗车队要求等广泛征求了标准工作组成员单位意见，经讨论确定标准适用范围将纳入</w:t>
      </w:r>
      <w:r>
        <w:t>3500 kg</w:t>
      </w:r>
      <w:r>
        <w:rPr>
          <w:rFonts w:hint="eastAsia"/>
        </w:rPr>
        <w:t>以上的</w:t>
      </w:r>
      <w:r>
        <w:t>M</w:t>
      </w:r>
      <w:r>
        <w:rPr>
          <w:vertAlign w:val="subscript"/>
        </w:rPr>
        <w:t>1</w:t>
      </w:r>
      <w:r>
        <w:rPr>
          <w:rFonts w:hint="eastAsia"/>
        </w:rPr>
        <w:t>类车辆，但对于与M</w:t>
      </w:r>
      <w:r>
        <w:rPr>
          <w:rFonts w:hint="eastAsia"/>
          <w:vertAlign w:val="subscript"/>
        </w:rPr>
        <w:t>2</w:t>
      </w:r>
      <w:r>
        <w:rPr>
          <w:rFonts w:hint="eastAsia"/>
        </w:rPr>
        <w:t>类车辆属于同一型式且最大设计总质量超过3 500 kg的M</w:t>
      </w:r>
      <w:r>
        <w:rPr>
          <w:rFonts w:hint="eastAsia"/>
          <w:vertAlign w:val="subscript"/>
        </w:rPr>
        <w:t>1</w:t>
      </w:r>
      <w:r>
        <w:rPr>
          <w:rFonts w:hint="eastAsia"/>
        </w:rPr>
        <w:t>类车辆，考虑其技术特点与商用车更为接近，因此提出不适用于本标准，相应“同一型式”要求已在报批的GB 20997和GB 30510中进行规定；延续三排座椅车型的放宽要求；指标要求层面，具有三排及以上座椅的乘用车，车型燃料消耗量目标值应在式(1)</w:t>
      </w:r>
      <w:r>
        <w:t>~</w:t>
      </w:r>
      <w:r>
        <w:rPr>
          <w:rFonts w:hint="eastAsia"/>
        </w:rPr>
        <w:t>(3)计算结果的基础上增加0.14 L/100km，计算结果圆整（四舍五入）至小数点后两位。</w:t>
      </w:r>
    </w:p>
    <w:p>
      <w:pPr>
        <w:spacing w:line="400" w:lineRule="exact"/>
        <w:ind w:firstLine="420"/>
      </w:pPr>
      <w:r>
        <w:rPr>
          <w:rFonts w:hint="eastAsia"/>
        </w:rPr>
        <w:t>年度达标比例层面延续先宽松后严格的方式，同时合理考虑与上一阶段力度衔接，综合提出自2026年起，各企业平均燃料消耗量与企业平均燃料消耗量目标值的比值不应大于表3规定的数值。</w:t>
      </w:r>
    </w:p>
    <w:p>
      <w:pPr>
        <w:spacing w:line="400" w:lineRule="exact"/>
        <w:ind w:firstLine="0" w:firstLineChars="0"/>
        <w:jc w:val="center"/>
        <w:rPr>
          <w:rFonts w:eastAsia="黑体" w:cs="Calibri"/>
          <w:szCs w:val="21"/>
        </w:rPr>
      </w:pPr>
      <w:r>
        <w:rPr>
          <w:rFonts w:eastAsia="黑体" w:cs="Calibri"/>
          <w:szCs w:val="21"/>
        </w:rPr>
        <w:t>表</w:t>
      </w:r>
      <w:r>
        <w:rPr>
          <w:rFonts w:hint="eastAsia" w:eastAsia="黑体" w:cs="Calibri"/>
          <w:szCs w:val="21"/>
        </w:rPr>
        <w:t>3企业平均燃料消耗量年度要求</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ascii="黑体" w:hAnsi="黑体" w:eastAsia="黑体"/>
                <w:b/>
                <w:bCs/>
                <w:kern w:val="24"/>
                <w:szCs w:val="21"/>
              </w:rPr>
              <w:t>年</w:t>
            </w:r>
            <w:r>
              <w:rPr>
                <w:rFonts w:hint="eastAsia" w:ascii="黑体" w:hAnsi="黑体" w:eastAsia="黑体"/>
                <w:b/>
                <w:bCs/>
                <w:kern w:val="24"/>
                <w:szCs w:val="21"/>
              </w:rPr>
              <w:t>度</w:t>
            </w:r>
          </w:p>
        </w:tc>
        <w:tc>
          <w:tcPr>
            <w:tcW w:w="6095" w:type="dxa"/>
            <w:vAlign w:val="center"/>
          </w:tcPr>
          <w:p>
            <w:pPr>
              <w:spacing w:before="30" w:after="30" w:line="240" w:lineRule="auto"/>
              <w:ind w:firstLine="0" w:firstLineChars="0"/>
              <w:jc w:val="center"/>
              <w:textAlignment w:val="center"/>
              <w:rPr>
                <w:rFonts w:hint="eastAsia" w:ascii="黑体" w:hAnsi="黑体" w:eastAsia="黑体"/>
                <w:b/>
                <w:bCs/>
                <w:kern w:val="24"/>
                <w:szCs w:val="21"/>
              </w:rPr>
            </w:pPr>
            <w:r>
              <w:rPr>
                <w:rFonts w:hint="eastAsia" w:ascii="黑体" w:hAnsi="黑体" w:eastAsia="黑体"/>
                <w:b/>
                <w:bCs/>
                <w:kern w:val="24"/>
                <w:szCs w:val="21"/>
              </w:rPr>
              <w:t>企业平均燃料消耗量与企业平均燃料消耗量目标值的比值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vAlign w:val="center"/>
          </w:tcPr>
          <w:p>
            <w:pPr>
              <w:spacing w:before="30" w:after="30" w:line="240" w:lineRule="auto"/>
              <w:ind w:firstLine="0" w:firstLineChars="0"/>
              <w:jc w:val="center"/>
              <w:textAlignment w:val="center"/>
              <w:rPr>
                <w:rFonts w:hint="eastAsia" w:hAnsi="宋体"/>
                <w:kern w:val="24"/>
                <w:szCs w:val="21"/>
              </w:rPr>
            </w:pPr>
            <w:r>
              <w:rPr>
                <w:rFonts w:hAnsi="宋体"/>
                <w:kern w:val="24"/>
                <w:szCs w:val="21"/>
              </w:rPr>
              <w:t>202</w:t>
            </w:r>
            <w:r>
              <w:rPr>
                <w:rFonts w:hint="eastAsia" w:hAnsi="宋体"/>
                <w:kern w:val="24"/>
                <w:szCs w:val="21"/>
              </w:rPr>
              <w:t>6年</w:t>
            </w:r>
          </w:p>
        </w:tc>
        <w:tc>
          <w:tcPr>
            <w:tcW w:w="6095" w:type="dxa"/>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1</w:t>
            </w:r>
            <w:r>
              <w:rPr>
                <w:rFonts w:hAnsi="宋体"/>
                <w:kern w:val="24"/>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3" w:type="dxa"/>
            <w:vAlign w:val="center"/>
          </w:tcPr>
          <w:p>
            <w:pPr>
              <w:spacing w:before="30" w:after="30" w:line="240" w:lineRule="auto"/>
              <w:ind w:firstLine="0" w:firstLineChars="0"/>
              <w:jc w:val="center"/>
              <w:textAlignment w:val="center"/>
              <w:rPr>
                <w:rFonts w:hint="eastAsia" w:hAnsi="宋体"/>
                <w:kern w:val="24"/>
                <w:szCs w:val="21"/>
              </w:rPr>
            </w:pPr>
            <w:r>
              <w:rPr>
                <w:rFonts w:hAnsi="宋体"/>
                <w:kern w:val="24"/>
                <w:szCs w:val="21"/>
              </w:rPr>
              <w:t>202</w:t>
            </w:r>
            <w:r>
              <w:rPr>
                <w:rFonts w:hint="eastAsia" w:hAnsi="宋体"/>
                <w:kern w:val="24"/>
                <w:szCs w:val="21"/>
              </w:rPr>
              <w:t>7年</w:t>
            </w:r>
          </w:p>
        </w:tc>
        <w:tc>
          <w:tcPr>
            <w:tcW w:w="6095" w:type="dxa"/>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1</w:t>
            </w:r>
            <w:r>
              <w:rPr>
                <w:rFonts w:hAnsi="宋体"/>
                <w:kern w:val="24"/>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vAlign w:val="center"/>
          </w:tcPr>
          <w:p>
            <w:pPr>
              <w:spacing w:before="30" w:after="30" w:line="240" w:lineRule="auto"/>
              <w:ind w:firstLine="0" w:firstLineChars="0"/>
              <w:jc w:val="center"/>
              <w:textAlignment w:val="center"/>
              <w:rPr>
                <w:rFonts w:hint="eastAsia" w:hAnsi="宋体"/>
                <w:kern w:val="24"/>
                <w:szCs w:val="21"/>
              </w:rPr>
            </w:pPr>
            <w:r>
              <w:rPr>
                <w:rFonts w:hAnsi="宋体"/>
                <w:kern w:val="24"/>
                <w:szCs w:val="21"/>
              </w:rPr>
              <w:t>202</w:t>
            </w:r>
            <w:r>
              <w:rPr>
                <w:rFonts w:hint="eastAsia" w:hAnsi="宋体"/>
                <w:kern w:val="24"/>
                <w:szCs w:val="21"/>
              </w:rPr>
              <w:t>8年</w:t>
            </w:r>
          </w:p>
        </w:tc>
        <w:tc>
          <w:tcPr>
            <w:tcW w:w="6095" w:type="dxa"/>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11</w:t>
            </w:r>
            <w:r>
              <w:rPr>
                <w:rFonts w:hAnsi="宋体"/>
                <w:kern w:val="24"/>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63" w:type="dxa"/>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2029年</w:t>
            </w:r>
          </w:p>
        </w:tc>
        <w:tc>
          <w:tcPr>
            <w:tcW w:w="6095" w:type="dxa"/>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1</w:t>
            </w:r>
            <w:r>
              <w:rPr>
                <w:rFonts w:hAnsi="宋体"/>
                <w:kern w:val="24"/>
                <w:szCs w:val="21"/>
              </w:rPr>
              <w:t>09</w:t>
            </w:r>
            <w:r>
              <w:rPr>
                <w:rFonts w:hint="eastAsia" w:hAnsi="宋体"/>
                <w:kern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3" w:type="dxa"/>
            <w:vAlign w:val="center"/>
          </w:tcPr>
          <w:p>
            <w:pPr>
              <w:spacing w:before="30" w:after="30" w:line="240" w:lineRule="auto"/>
              <w:ind w:firstLine="0" w:firstLineChars="0"/>
              <w:jc w:val="center"/>
              <w:textAlignment w:val="center"/>
              <w:rPr>
                <w:rFonts w:hint="eastAsia" w:hAnsi="宋体"/>
                <w:kern w:val="24"/>
                <w:szCs w:val="21"/>
              </w:rPr>
            </w:pPr>
            <w:r>
              <w:rPr>
                <w:rFonts w:hAnsi="宋体"/>
                <w:kern w:val="24"/>
                <w:szCs w:val="21"/>
              </w:rPr>
              <w:t>20</w:t>
            </w:r>
            <w:r>
              <w:rPr>
                <w:rFonts w:hint="eastAsia" w:hAnsi="宋体"/>
                <w:kern w:val="24"/>
                <w:szCs w:val="21"/>
              </w:rPr>
              <w:t>30年</w:t>
            </w:r>
            <w:r>
              <w:rPr>
                <w:rFonts w:hAnsi="宋体"/>
                <w:kern w:val="24"/>
                <w:szCs w:val="21"/>
              </w:rPr>
              <w:t>及以后</w:t>
            </w:r>
          </w:p>
        </w:tc>
        <w:tc>
          <w:tcPr>
            <w:tcW w:w="6095" w:type="dxa"/>
            <w:vAlign w:val="center"/>
          </w:tcPr>
          <w:p>
            <w:pPr>
              <w:spacing w:before="30" w:after="30" w:line="240" w:lineRule="auto"/>
              <w:ind w:firstLine="0" w:firstLineChars="0"/>
              <w:jc w:val="center"/>
              <w:textAlignment w:val="center"/>
              <w:rPr>
                <w:rFonts w:hint="eastAsia" w:hAnsi="宋体"/>
                <w:kern w:val="24"/>
                <w:szCs w:val="21"/>
              </w:rPr>
            </w:pPr>
            <w:r>
              <w:rPr>
                <w:rFonts w:hint="eastAsia" w:hAnsi="宋体"/>
                <w:kern w:val="24"/>
                <w:szCs w:val="21"/>
              </w:rPr>
              <w:t>100</w:t>
            </w:r>
            <w:r>
              <w:rPr>
                <w:rFonts w:hAnsi="宋体"/>
                <w:kern w:val="24"/>
                <w:szCs w:val="21"/>
              </w:rPr>
              <w:t>%</w:t>
            </w:r>
          </w:p>
        </w:tc>
      </w:tr>
    </w:tbl>
    <w:p>
      <w:pPr>
        <w:spacing w:line="400" w:lineRule="exact"/>
        <w:ind w:firstLine="422"/>
        <w:rPr>
          <w:b/>
          <w:bCs/>
        </w:rPr>
      </w:pPr>
      <w:r>
        <w:rPr>
          <w:rFonts w:hint="eastAsia"/>
          <w:b/>
          <w:bCs/>
        </w:rPr>
        <w:t>（4）与上一版本的主要差别</w:t>
      </w:r>
    </w:p>
    <w:p>
      <w:pPr>
        <w:spacing w:line="400" w:lineRule="exact"/>
        <w:ind w:firstLine="420"/>
      </w:pPr>
      <w:r>
        <w:rPr>
          <w:rFonts w:hint="eastAsia"/>
        </w:rPr>
        <w:t>与GB 27999—2019相比，主要技术变化有：</w:t>
      </w:r>
    </w:p>
    <w:p>
      <w:pPr>
        <w:spacing w:line="400" w:lineRule="exact"/>
        <w:ind w:firstLine="420"/>
      </w:pPr>
      <w:r>
        <w:rPr>
          <w:rFonts w:hint="eastAsia"/>
        </w:rPr>
        <w:t>a)</w:t>
      </w:r>
      <w:r>
        <w:rPr>
          <w:rFonts w:hint="eastAsia"/>
        </w:rPr>
        <w:tab/>
      </w:r>
      <w:r>
        <w:rPr>
          <w:rFonts w:hint="eastAsia"/>
        </w:rPr>
        <w:t>更改了文件的适用范围；</w:t>
      </w:r>
    </w:p>
    <w:p>
      <w:pPr>
        <w:spacing w:line="400" w:lineRule="exact"/>
        <w:ind w:firstLine="420"/>
      </w:pPr>
      <w:r>
        <w:rPr>
          <w:rFonts w:hint="eastAsia"/>
        </w:rPr>
        <w:t>b)</w:t>
      </w:r>
      <w:r>
        <w:rPr>
          <w:rFonts w:hint="eastAsia"/>
        </w:rPr>
        <w:tab/>
      </w:r>
      <w:r>
        <w:rPr>
          <w:rFonts w:hint="eastAsia"/>
        </w:rPr>
        <w:t>调整了车型燃料消耗量的确定方式；</w:t>
      </w:r>
    </w:p>
    <w:p>
      <w:pPr>
        <w:spacing w:line="400" w:lineRule="exact"/>
        <w:ind w:firstLine="420"/>
      </w:pPr>
      <w:r>
        <w:rPr>
          <w:rFonts w:hint="eastAsia"/>
        </w:rPr>
        <w:t>c)</w:t>
      </w:r>
      <w:r>
        <w:rPr>
          <w:rFonts w:hint="eastAsia"/>
        </w:rPr>
        <w:tab/>
      </w:r>
      <w:r>
        <w:rPr>
          <w:rFonts w:hint="eastAsia"/>
        </w:rPr>
        <w:t>调整了车型燃料消耗量目标值；</w:t>
      </w:r>
    </w:p>
    <w:p>
      <w:pPr>
        <w:spacing w:line="400" w:lineRule="exact"/>
        <w:ind w:firstLine="420"/>
      </w:pPr>
      <w:r>
        <w:rPr>
          <w:rFonts w:hint="eastAsia"/>
        </w:rPr>
        <w:t>d)</w:t>
      </w:r>
      <w:r>
        <w:rPr>
          <w:rFonts w:hint="eastAsia"/>
        </w:rPr>
        <w:tab/>
      </w:r>
      <w:r>
        <w:rPr>
          <w:rFonts w:hint="eastAsia"/>
        </w:rPr>
        <w:t>增加了企业平均CO</w:t>
      </w:r>
      <w:r>
        <w:rPr>
          <w:vertAlign w:val="subscript"/>
        </w:rPr>
        <w:t>2</w:t>
      </w:r>
      <w:r>
        <w:rPr>
          <w:rFonts w:hint="eastAsia"/>
        </w:rPr>
        <w:t>排放量参考值的计算方法，删除了企业平均燃料消耗量核算车型倍数；</w:t>
      </w:r>
    </w:p>
    <w:p>
      <w:pPr>
        <w:spacing w:line="400" w:lineRule="exact"/>
        <w:ind w:firstLine="420"/>
      </w:pPr>
      <w:r>
        <w:rPr>
          <w:rFonts w:hint="eastAsia"/>
        </w:rPr>
        <w:t>e)</w:t>
      </w:r>
      <w:r>
        <w:rPr>
          <w:rFonts w:hint="eastAsia"/>
        </w:rPr>
        <w:tab/>
      </w:r>
      <w:r>
        <w:rPr>
          <w:rFonts w:hint="eastAsia"/>
        </w:rPr>
        <w:t>调整了企业平均燃料消耗量达标要求；</w:t>
      </w:r>
    </w:p>
    <w:p>
      <w:pPr>
        <w:spacing w:line="400" w:lineRule="exact"/>
        <w:ind w:firstLine="420"/>
      </w:pPr>
      <w:r>
        <w:rPr>
          <w:rFonts w:hint="eastAsia"/>
        </w:rPr>
        <w:t>f)</w:t>
      </w:r>
      <w:r>
        <w:rPr>
          <w:rFonts w:hint="eastAsia"/>
        </w:rPr>
        <w:tab/>
      </w:r>
      <w:r>
        <w:rPr>
          <w:rFonts w:hint="eastAsia"/>
        </w:rPr>
        <w:t>增加了企业传统能源乘用车平均燃料消耗量计算方法。</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44" w:name="_Toc64898477"/>
      <w:r>
        <w:rPr>
          <w:rFonts w:hint="eastAsia" w:ascii="黑体" w:hAnsi="黑体" w:eastAsia="黑体" w:cs="宋体"/>
          <w:bCs/>
          <w:color w:val="000000"/>
          <w:kern w:val="0"/>
          <w:sz w:val="24"/>
        </w:rPr>
        <w:t>与有关法律、行政法规和其他标准的关系</w:t>
      </w:r>
      <w:bookmarkEnd w:id="44"/>
    </w:p>
    <w:p>
      <w:pPr>
        <w:spacing w:line="400" w:lineRule="exact"/>
        <w:ind w:firstLine="420"/>
      </w:pPr>
      <w:r>
        <w:rPr>
          <w:rFonts w:hint="eastAsia"/>
        </w:rPr>
        <w:t>本标准是我国汽车节能管理的重要内容；与现行相关法律、法规、规章及相关标准没有冲突或矛盾。</w:t>
      </w:r>
    </w:p>
    <w:p>
      <w:pPr>
        <w:spacing w:line="400" w:lineRule="exact"/>
        <w:ind w:firstLine="420"/>
      </w:pPr>
      <w:r>
        <w:rPr>
          <w:rFonts w:hint="eastAsia"/>
        </w:rPr>
        <w:t>对于乘用车燃料消耗量，我国主要采用“单车限值+企业平均”的管理方式，其中单车限值主要依托GB 19578《乘用车燃料消耗量限值》，通过公告准入为车型燃料消耗量提出底线要求；企业平均则依托GB 27999《乘用车燃料消耗量评价方法及指标》，与双积分办法配合促使汽车整体燃料消耗量下降。两个标准互相补充、共同形成我国乘用车燃料消耗量管理体系。</w:t>
      </w:r>
    </w:p>
    <w:p>
      <w:pPr>
        <w:spacing w:line="400" w:lineRule="exact"/>
        <w:ind w:firstLine="420"/>
      </w:pPr>
      <w:r>
        <w:rPr>
          <w:rFonts w:hint="eastAsia"/>
        </w:rPr>
        <w:t>配套推标方面，本标准指标要求主要依据GB/T 19233—2020《轻型汽车燃料消耗量试验方法》、GB/T 19753—2021《轻型混合动力电动汽车能量消耗量试验方法》和GB/T 18386.1—2021《电动汽车能量消耗量和续驶里程试验方法 第1部分：轻型汽车》测试得到的能量料消耗量结果，结合行业意见及技术发展预期制定，三项配套标准内容上参考联合国法规要求，同时充分考虑了与我国其他相关标准的协调，在国际层面具有一定的先进性。另一方面，对于燃料电池电动汽车、天然气车、甲醇汽车等，我国也制定发布了相应标准：GB/T 43252—2023《燃料电池电动汽车能量消耗量及续驶里程试验方法》、GB/T 29125—201《压缩天然气汽车燃料消耗量试验方法》和QC/T 1130—2021《甲醇燃料汽车燃料消耗量试验方法》。综上，本标准配套推标体系健全，能够支撑本标准的顺利实施。</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45" w:name="_Toc64898478"/>
      <w:r>
        <w:rPr>
          <w:rFonts w:hint="eastAsia" w:ascii="黑体" w:hAnsi="黑体" w:eastAsia="黑体" w:cs="宋体"/>
          <w:bCs/>
          <w:color w:val="000000"/>
          <w:kern w:val="0"/>
          <w:sz w:val="24"/>
        </w:rPr>
        <w:t>与国际标准化组织、其他国家或者地区有关法律法规和标准的比对分析</w:t>
      </w:r>
      <w:bookmarkEnd w:id="45"/>
    </w:p>
    <w:p>
      <w:pPr>
        <w:spacing w:line="400" w:lineRule="exact"/>
        <w:ind w:firstLine="420"/>
      </w:pPr>
      <w:r>
        <w:rPr>
          <w:rFonts w:hint="eastAsia"/>
        </w:rPr>
        <w:t>乘用车燃料消耗量/CO</w:t>
      </w:r>
      <w:r>
        <w:rPr>
          <w:rFonts w:hint="eastAsia"/>
          <w:vertAlign w:val="subscript"/>
        </w:rPr>
        <w:t>2</w:t>
      </w:r>
      <w:r>
        <w:rPr>
          <w:rFonts w:hint="eastAsia"/>
        </w:rPr>
        <w:t>限值及指标标准属于产品管理类标准法规，国际标准化组织并不涉及相应标准。为降低乘用车燃料消耗量/CO</w:t>
      </w:r>
      <w:r>
        <w:rPr>
          <w:rFonts w:hint="eastAsia"/>
          <w:vertAlign w:val="subscript"/>
        </w:rPr>
        <w:t>2</w:t>
      </w:r>
      <w:r>
        <w:rPr>
          <w:rFonts w:hint="eastAsia"/>
        </w:rPr>
        <w:t>排放，欧盟、美国、日本等汽车工业发达区域或国家均制定了符合自身国情的乘用车燃料消耗量或CO</w:t>
      </w:r>
      <w:r>
        <w:rPr>
          <w:rFonts w:hint="eastAsia"/>
          <w:vertAlign w:val="subscript"/>
        </w:rPr>
        <w:t>2</w:t>
      </w:r>
      <w:r>
        <w:rPr>
          <w:rFonts w:hint="eastAsia"/>
        </w:rPr>
        <w:t>排放标准法规。与我国乘用车燃料消耗量标准相似，国外发达国家也在对其标准法规不断更新，目前欧盟、日本等已经发布了面向</w:t>
      </w:r>
      <w:r>
        <w:t>2030</w:t>
      </w:r>
      <w:r>
        <w:rPr>
          <w:rFonts w:hint="eastAsia"/>
        </w:rPr>
        <w:t>年及更远期的标准法规。主要如下：</w:t>
      </w:r>
    </w:p>
    <w:p>
      <w:pPr>
        <w:spacing w:line="400" w:lineRule="exact"/>
        <w:ind w:firstLine="420"/>
      </w:pPr>
      <w:r>
        <w:rPr>
          <w:rFonts w:hint="eastAsia"/>
        </w:rPr>
        <w:t>欧盟情况：欧盟于</w:t>
      </w:r>
      <w:r>
        <w:t>2009</w:t>
      </w:r>
      <w:r>
        <w:rPr>
          <w:rFonts w:hint="eastAsia"/>
        </w:rPr>
        <w:t>年通过强制性的法律手段取代自愿性</w:t>
      </w:r>
      <w:r>
        <w:t>CO</w:t>
      </w:r>
      <w:r>
        <w:rPr>
          <w:vertAlign w:val="subscript"/>
        </w:rPr>
        <w:t>2</w:t>
      </w:r>
      <w:r>
        <w:rPr>
          <w:rFonts w:hint="eastAsia"/>
        </w:rPr>
        <w:t>减排协议，在欧盟范围内推行汽车燃料消耗量</w:t>
      </w:r>
      <w:r>
        <w:t>/CO</w:t>
      </w:r>
      <w:r>
        <w:rPr>
          <w:vertAlign w:val="subscript"/>
        </w:rPr>
        <w:t>2</w:t>
      </w:r>
      <w:r>
        <w:rPr>
          <w:rFonts w:hint="eastAsia"/>
        </w:rPr>
        <w:t>限值要求和标示制度。</w:t>
      </w:r>
      <w:r>
        <w:t>2009</w:t>
      </w:r>
      <w:r>
        <w:rPr>
          <w:rFonts w:hint="eastAsia"/>
        </w:rPr>
        <w:t>年</w:t>
      </w:r>
      <w:r>
        <w:t>4</w:t>
      </w:r>
      <w:r>
        <w:rPr>
          <w:rFonts w:hint="eastAsia"/>
        </w:rPr>
        <w:t>月，欧盟发布</w:t>
      </w:r>
      <w:r>
        <w:t>EU 443/2009</w:t>
      </w:r>
      <w:r>
        <w:rPr>
          <w:rFonts w:hint="eastAsia"/>
        </w:rPr>
        <w:t>法规，要求乘用车</w:t>
      </w:r>
      <w:r>
        <w:t>CO</w:t>
      </w:r>
      <w:r>
        <w:rPr>
          <w:vertAlign w:val="subscript"/>
        </w:rPr>
        <w:t>2</w:t>
      </w:r>
      <w:r>
        <w:rPr>
          <w:rFonts w:hint="eastAsia"/>
        </w:rPr>
        <w:t>排放在</w:t>
      </w:r>
      <w:r>
        <w:t>2015</w:t>
      </w:r>
      <w:r>
        <w:rPr>
          <w:rFonts w:hint="eastAsia"/>
        </w:rPr>
        <w:t>年达到</w:t>
      </w:r>
      <w:r>
        <w:t>130</w:t>
      </w:r>
      <w:r>
        <w:rPr>
          <w:rFonts w:hint="eastAsia"/>
        </w:rPr>
        <w:t xml:space="preserve"> </w:t>
      </w:r>
      <w:r>
        <w:t>g/km</w:t>
      </w:r>
      <w:r>
        <w:rPr>
          <w:rFonts w:hint="eastAsia"/>
        </w:rPr>
        <w:t>、</w:t>
      </w:r>
      <w:r>
        <w:t>2020</w:t>
      </w:r>
      <w:r>
        <w:rPr>
          <w:rFonts w:hint="eastAsia"/>
        </w:rPr>
        <w:t>年达到</w:t>
      </w:r>
      <w:r>
        <w:t>95</w:t>
      </w:r>
      <w:r>
        <w:rPr>
          <w:rFonts w:hint="eastAsia"/>
        </w:rPr>
        <w:t xml:space="preserve"> </w:t>
      </w:r>
      <w:r>
        <w:t>g/km</w:t>
      </w:r>
      <w:r>
        <w:rPr>
          <w:rFonts w:hint="eastAsia"/>
        </w:rPr>
        <w:t xml:space="preserve">（约4.1 </w:t>
      </w:r>
      <w:r>
        <w:t>L/100</w:t>
      </w:r>
      <w:r>
        <w:rPr>
          <w:rFonts w:hint="eastAsia"/>
        </w:rPr>
        <w:t xml:space="preserve"> </w:t>
      </w:r>
      <w:r>
        <w:t>km</w:t>
      </w:r>
      <w:r>
        <w:rPr>
          <w:rFonts w:hint="eastAsia"/>
        </w:rPr>
        <w:t>，</w:t>
      </w:r>
      <w:r>
        <w:t>NEDC</w:t>
      </w:r>
      <w:r>
        <w:rPr>
          <w:rFonts w:hint="eastAsia"/>
        </w:rPr>
        <w:t>工况）的目标。</w:t>
      </w:r>
      <w:r>
        <w:t>2019</w:t>
      </w:r>
      <w:r>
        <w:rPr>
          <w:rFonts w:hint="eastAsia"/>
        </w:rPr>
        <w:t>年</w:t>
      </w:r>
      <w:r>
        <w:t>4</w:t>
      </w:r>
      <w:r>
        <w:rPr>
          <w:rFonts w:hint="eastAsia"/>
        </w:rPr>
        <w:t>月，欧盟发布</w:t>
      </w:r>
      <w:r>
        <w:t>EU 2019/631</w:t>
      </w:r>
      <w:r>
        <w:rPr>
          <w:rFonts w:hint="eastAsia"/>
        </w:rPr>
        <w:t>法规，进一步提出</w:t>
      </w:r>
      <w:r>
        <w:t>2025</w:t>
      </w:r>
      <w:r>
        <w:rPr>
          <w:rFonts w:hint="eastAsia"/>
        </w:rPr>
        <w:t>、</w:t>
      </w:r>
      <w:r>
        <w:t>2030</w:t>
      </w:r>
      <w:r>
        <w:rPr>
          <w:rFonts w:hint="eastAsia"/>
        </w:rPr>
        <w:t>年</w:t>
      </w:r>
      <w:r>
        <w:t>CO</w:t>
      </w:r>
      <w:r>
        <w:rPr>
          <w:vertAlign w:val="subscript"/>
        </w:rPr>
        <w:t>2</w:t>
      </w:r>
      <w:r>
        <w:rPr>
          <w:rFonts w:hint="eastAsia"/>
        </w:rPr>
        <w:t>排放目标。由于</w:t>
      </w:r>
      <w:r>
        <w:t>2021</w:t>
      </w:r>
      <w:r>
        <w:rPr>
          <w:rFonts w:hint="eastAsia"/>
        </w:rPr>
        <w:t>年开始实施</w:t>
      </w:r>
      <w:r>
        <w:t>WLTC</w:t>
      </w:r>
      <w:r>
        <w:rPr>
          <w:rFonts w:hint="eastAsia"/>
        </w:rPr>
        <w:t>测试规程，法规并未提出具体的</w:t>
      </w:r>
      <w:r>
        <w:t>CO</w:t>
      </w:r>
      <w:r>
        <w:rPr>
          <w:vertAlign w:val="subscript"/>
        </w:rPr>
        <w:t>2</w:t>
      </w:r>
      <w:r>
        <w:rPr>
          <w:rFonts w:hint="eastAsia"/>
        </w:rPr>
        <w:t>排放目标，而是提出</w:t>
      </w:r>
      <w:r>
        <w:t>2025</w:t>
      </w:r>
      <w:r>
        <w:rPr>
          <w:rFonts w:hint="eastAsia"/>
        </w:rPr>
        <w:t>、</w:t>
      </w:r>
      <w:r>
        <w:t>2030</w:t>
      </w:r>
      <w:r>
        <w:rPr>
          <w:rFonts w:hint="eastAsia"/>
        </w:rPr>
        <w:t>年乘用车</w:t>
      </w:r>
      <w:r>
        <w:t>CO</w:t>
      </w:r>
      <w:r>
        <w:rPr>
          <w:vertAlign w:val="subscript"/>
        </w:rPr>
        <w:t>2</w:t>
      </w:r>
      <w:r>
        <w:rPr>
          <w:rFonts w:hint="eastAsia"/>
        </w:rPr>
        <w:t>排放量较</w:t>
      </w:r>
      <w:r>
        <w:t>2021</w:t>
      </w:r>
      <w:r>
        <w:rPr>
          <w:rFonts w:hint="eastAsia"/>
        </w:rPr>
        <w:t>年</w:t>
      </w:r>
      <w:r>
        <w:t>CO</w:t>
      </w:r>
      <w:r>
        <w:rPr>
          <w:vertAlign w:val="subscript"/>
        </w:rPr>
        <w:t>2</w:t>
      </w:r>
      <w:r>
        <w:rPr>
          <w:rFonts w:hint="eastAsia"/>
        </w:rPr>
        <w:t>排放量减少</w:t>
      </w:r>
      <w:r>
        <w:t>15%</w:t>
      </w:r>
      <w:r>
        <w:rPr>
          <w:rFonts w:hint="eastAsia"/>
        </w:rPr>
        <w:t>和</w:t>
      </w:r>
      <w:r>
        <w:t>37.5%</w:t>
      </w:r>
      <w:r>
        <w:rPr>
          <w:rFonts w:hint="eastAsia"/>
        </w:rPr>
        <w:t>要求。在2023年4月，欧盟正式发布了EU 2023/851法规，其中更新了2030年的指标，将在2021年基础上进一步加严至降低55%，同时提出2035年将实现0排放。</w:t>
      </w:r>
    </w:p>
    <w:p>
      <w:pPr>
        <w:spacing w:line="400" w:lineRule="exact"/>
        <w:ind w:firstLine="420"/>
      </w:pPr>
      <w:r>
        <w:rPr>
          <w:rFonts w:hint="eastAsia"/>
        </w:rPr>
        <w:t>日本情况：</w:t>
      </w:r>
      <w:r>
        <w:t>2020年3月，日本发布了2030年</w:t>
      </w:r>
      <w:r>
        <w:rPr>
          <w:rFonts w:hint="eastAsia"/>
        </w:rPr>
        <w:t>及以后</w:t>
      </w:r>
      <w:r>
        <w:t>的乘用车燃料经济性标准</w:t>
      </w:r>
      <w:r>
        <w:rPr>
          <w:rFonts w:hint="eastAsia"/>
        </w:rPr>
        <w:t>，</w:t>
      </w:r>
      <w:r>
        <w:t>按照</w:t>
      </w:r>
      <w:r>
        <w:rPr>
          <w:rFonts w:hint="eastAsia"/>
        </w:rPr>
        <w:t>该标准要求</w:t>
      </w:r>
      <w:r>
        <w:t>，日本将</w:t>
      </w:r>
      <w:r>
        <w:rPr>
          <w:rFonts w:hint="eastAsia"/>
        </w:rPr>
        <w:t>继续</w:t>
      </w:r>
      <w:r>
        <w:t>采用全球轻型汽车测试循环（WLTC</w:t>
      </w:r>
      <w:r>
        <w:rPr>
          <w:rFonts w:hint="eastAsia"/>
        </w:rPr>
        <w:t>，但仅进行前三个速度段</w:t>
      </w:r>
      <w:r>
        <w:t>），并</w:t>
      </w:r>
      <w:r>
        <w:rPr>
          <w:rFonts w:hint="eastAsia"/>
        </w:rPr>
        <w:t>正式</w:t>
      </w:r>
      <w:r>
        <w:t>将</w:t>
      </w:r>
      <w:r>
        <w:rPr>
          <w:rFonts w:hint="eastAsia"/>
        </w:rPr>
        <w:t>纯电动汽车、插电式混合动力汽车</w:t>
      </w:r>
      <w:r>
        <w:t>纳入</w:t>
      </w:r>
      <w:r>
        <w:rPr>
          <w:rFonts w:hint="eastAsia"/>
        </w:rPr>
        <w:t>核算</w:t>
      </w:r>
      <w:r>
        <w:t>范围</w:t>
      </w:r>
      <w:r>
        <w:rPr>
          <w:rFonts w:hint="eastAsia"/>
        </w:rPr>
        <w:t>，其中电量消耗量按照考虑上游的热值法进行核算</w:t>
      </w:r>
      <w:r>
        <w:t>。</w:t>
      </w:r>
      <w:r>
        <w:rPr>
          <w:rFonts w:hint="eastAsia"/>
        </w:rPr>
        <w:t>指标层面，新标准要求</w:t>
      </w:r>
      <w:r>
        <w:t>2030年</w:t>
      </w:r>
      <w:r>
        <w:rPr>
          <w:rFonts w:hint="eastAsia"/>
        </w:rPr>
        <w:t>及以后</w:t>
      </w:r>
      <w:r>
        <w:t>，乘用车平均燃料</w:t>
      </w:r>
      <w:r>
        <w:rPr>
          <w:rFonts w:hint="eastAsia"/>
        </w:rPr>
        <w:t>消耗量</w:t>
      </w:r>
      <w:r>
        <w:t>水平达到25.4</w:t>
      </w:r>
      <w:r>
        <w:rPr>
          <w:rFonts w:hint="eastAsia"/>
        </w:rPr>
        <w:t xml:space="preserve"> </w:t>
      </w:r>
      <w:r>
        <w:t>km/L(约3.9 L/100km）</w:t>
      </w:r>
      <w:r>
        <w:rPr>
          <w:rFonts w:hint="eastAsia"/>
        </w:rPr>
        <w:t>。目前，日本正在执行的</w:t>
      </w:r>
      <w:r>
        <w:t>2020</w:t>
      </w:r>
      <w:r>
        <w:rPr>
          <w:rFonts w:hint="eastAsia"/>
        </w:rPr>
        <w:t>~2029</w:t>
      </w:r>
      <w:r>
        <w:t>年</w:t>
      </w:r>
      <w:r>
        <w:rPr>
          <w:rFonts w:hint="eastAsia"/>
        </w:rPr>
        <w:t>标准指标为</w:t>
      </w:r>
      <w:r>
        <w:t>20.1 km/L（约</w:t>
      </w:r>
      <w:r>
        <w:rPr>
          <w:rFonts w:hint="eastAsia"/>
        </w:rPr>
        <w:t>5.0</w:t>
      </w:r>
      <w:r>
        <w:t xml:space="preserve"> L/100km）</w:t>
      </w:r>
      <w:r>
        <w:rPr>
          <w:rFonts w:hint="eastAsia"/>
        </w:rPr>
        <w:t>，该指标仅为传统燃油车的要求，对于纯电动汽车、插电式混合动力汽车，相关结果可参与核算（电量消耗量按照热值法折算），但鉴于总体销量有限，参与核算前后对结果影响不大。总体而已，2030年后日本开始执行的标准较现阶段加严了20.41</w:t>
      </w:r>
      <w:r>
        <w:t>%。</w:t>
      </w:r>
    </w:p>
    <w:p>
      <w:pPr>
        <w:spacing w:line="400" w:lineRule="exact"/>
        <w:ind w:firstLine="420"/>
      </w:pPr>
      <w:r>
        <w:rPr>
          <w:rFonts w:hint="eastAsia"/>
        </w:rPr>
        <w:t>美国情况：美国政府针对轻型汽车燃料经济性及温室气体排放分别制定发布</w:t>
      </w:r>
      <w:r>
        <w:t>CAFÉ</w:t>
      </w:r>
      <w:r>
        <w:rPr>
          <w:rFonts w:hint="eastAsia"/>
        </w:rPr>
        <w:t>与GHG法规，前期，两项法规同时发布，对燃油经济性要求一致，目前两项法规分别单独发布，具体要求有所区别。</w:t>
      </w:r>
      <w:r>
        <w:t>2010</w:t>
      </w:r>
      <w:r>
        <w:rPr>
          <w:rFonts w:hint="eastAsia"/>
        </w:rPr>
        <w:t>年</w:t>
      </w:r>
      <w:r>
        <w:t>4</w:t>
      </w:r>
      <w:r>
        <w:rPr>
          <w:rFonts w:hint="eastAsia"/>
        </w:rPr>
        <w:t>月和</w:t>
      </w:r>
      <w:r>
        <w:t>2012</w:t>
      </w:r>
      <w:r>
        <w:rPr>
          <w:rFonts w:hint="eastAsia"/>
        </w:rPr>
        <w:t>年</w:t>
      </w:r>
      <w:r>
        <w:t>8</w:t>
      </w:r>
      <w:r>
        <w:rPr>
          <w:rFonts w:hint="eastAsia"/>
        </w:rPr>
        <w:t>月同时发布了针对</w:t>
      </w:r>
      <w:r>
        <w:t>2012-2016</w:t>
      </w:r>
      <w:r>
        <w:rPr>
          <w:rFonts w:hint="eastAsia"/>
        </w:rPr>
        <w:t>车型年（第一阶段）和</w:t>
      </w:r>
      <w:r>
        <w:t>2017-2025</w:t>
      </w:r>
      <w:r>
        <w:rPr>
          <w:rFonts w:hint="eastAsia"/>
        </w:rPr>
        <w:t>车型年（第二阶段）严格程度一致的轻型汽车</w:t>
      </w:r>
      <w:r>
        <w:t>CAFÉ</w:t>
      </w:r>
      <w:r>
        <w:rPr>
          <w:rFonts w:hint="eastAsia"/>
        </w:rPr>
        <w:t>与GHG法规，提出</w:t>
      </w:r>
      <w:r>
        <w:t>2025</w:t>
      </w:r>
      <w:r>
        <w:rPr>
          <w:rFonts w:hint="eastAsia"/>
        </w:rPr>
        <w:t>年乘用车新车平均达到</w:t>
      </w:r>
      <w:r>
        <w:t>55.3</w:t>
      </w:r>
      <w:r>
        <w:rPr>
          <w:rFonts w:hint="eastAsia"/>
        </w:rPr>
        <w:t>-</w:t>
      </w:r>
      <w:r>
        <w:t>56.2</w:t>
      </w:r>
      <w:r>
        <w:rPr>
          <w:rFonts w:hint="eastAsia"/>
        </w:rPr>
        <w:t xml:space="preserve"> </w:t>
      </w:r>
      <w:r>
        <w:t>mpg</w:t>
      </w:r>
      <w:r>
        <w:rPr>
          <w:rFonts w:hint="eastAsia"/>
        </w:rPr>
        <w:t>，约合</w:t>
      </w:r>
      <w:r>
        <w:t>4.</w:t>
      </w:r>
      <w:r>
        <w:rPr>
          <w:rFonts w:hint="eastAsia"/>
        </w:rPr>
        <w:t>3</w:t>
      </w:r>
      <w:r>
        <w:t>L/100km</w:t>
      </w:r>
      <w:r>
        <w:rPr>
          <w:rFonts w:hint="eastAsia"/>
        </w:rPr>
        <w:t>左右。</w:t>
      </w:r>
      <w:r>
        <w:t>2020</w:t>
      </w:r>
      <w:r>
        <w:rPr>
          <w:rFonts w:hint="eastAsia"/>
        </w:rPr>
        <w:t>年</w:t>
      </w:r>
      <w:r>
        <w:t>4</w:t>
      </w:r>
      <w:r>
        <w:rPr>
          <w:rFonts w:hint="eastAsia"/>
        </w:rPr>
        <w:t>月，美国政府对</w:t>
      </w:r>
      <w:r>
        <w:t>CAFÉ</w:t>
      </w:r>
      <w:r>
        <w:rPr>
          <w:rFonts w:hint="eastAsia"/>
        </w:rPr>
        <w:t>法规进行修订，整体放宽了燃油经济性目标要求，提出</w:t>
      </w:r>
      <w:r>
        <w:t>2026</w:t>
      </w:r>
      <w:r>
        <w:rPr>
          <w:rFonts w:hint="eastAsia"/>
        </w:rPr>
        <w:t>年乘用车平均达到</w:t>
      </w:r>
      <w:r>
        <w:t>47.7</w:t>
      </w:r>
      <w:r>
        <w:rPr>
          <w:rFonts w:hint="eastAsia"/>
        </w:rPr>
        <w:t xml:space="preserve"> </w:t>
      </w:r>
      <w:r>
        <w:t>mpg</w:t>
      </w:r>
      <w:r>
        <w:rPr>
          <w:rFonts w:hint="eastAsia"/>
        </w:rPr>
        <w:t xml:space="preserve">，约合4.9 </w:t>
      </w:r>
      <w:r>
        <w:t>L/100km</w:t>
      </w:r>
      <w:r>
        <w:rPr>
          <w:rFonts w:hint="eastAsia"/>
        </w:rPr>
        <w:t>左右。2024年3月，美国政府更新发布了针对2027-2032车型年的轻型汽车GHG法规，提出2032年乘用车新车行业平均CO</w:t>
      </w:r>
      <w:r>
        <w:rPr>
          <w:rFonts w:hint="eastAsia"/>
          <w:vertAlign w:val="subscript"/>
        </w:rPr>
        <w:t>2</w:t>
      </w:r>
      <w:r>
        <w:rPr>
          <w:rFonts w:hint="eastAsia"/>
        </w:rPr>
        <w:t>排放水平达到73 g/mi，约合1.9 L/100km（其中，2030年为92 g/mi，约合2.4L/100km），相较于2026年</w:t>
      </w:r>
      <w:r>
        <w:t>CAFÉ</w:t>
      </w:r>
      <w:r>
        <w:rPr>
          <w:rFonts w:hint="eastAsia"/>
        </w:rPr>
        <w:t>法规加严超60%。</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46" w:name="_Toc64898479"/>
      <w:r>
        <w:rPr>
          <w:rFonts w:hint="eastAsia" w:ascii="黑体" w:hAnsi="黑体" w:eastAsia="黑体" w:cs="宋体"/>
          <w:bCs/>
          <w:color w:val="000000"/>
          <w:kern w:val="0"/>
          <w:sz w:val="24"/>
        </w:rPr>
        <w:t>重大分歧意见的处理过程、处理意见及其依据</w:t>
      </w:r>
      <w:bookmarkEnd w:id="46"/>
    </w:p>
    <w:p>
      <w:pPr>
        <w:spacing w:line="400" w:lineRule="exact"/>
        <w:ind w:firstLine="420"/>
      </w:pPr>
      <w:r>
        <w:rPr>
          <w:rFonts w:hint="eastAsia"/>
        </w:rPr>
        <w:t>本标准修订过程中无重大分歧。</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47" w:name="_Toc64898480"/>
      <w:r>
        <w:rPr>
          <w:rFonts w:hint="eastAsia" w:ascii="黑体" w:hAnsi="黑体" w:eastAsia="黑体" w:cs="宋体"/>
          <w:bCs/>
          <w:color w:val="000000"/>
          <w:kern w:val="0"/>
          <w:sz w:val="24"/>
        </w:rPr>
        <w:t>对强制性国家标准自发布日期至实施日期之间的过渡期的建议及理由</w:t>
      </w:r>
      <w:bookmarkEnd w:id="47"/>
    </w:p>
    <w:p>
      <w:pPr>
        <w:spacing w:line="400" w:lineRule="exact"/>
        <w:ind w:firstLine="420"/>
      </w:pPr>
      <w:r>
        <w:rPr>
          <w:rFonts w:hint="eastAsia"/>
        </w:rPr>
        <w:t>考虑</w:t>
      </w:r>
      <w:r>
        <w:t>到</w:t>
      </w:r>
      <w:r>
        <w:rPr>
          <w:rFonts w:hint="eastAsia"/>
        </w:rPr>
        <w:t>燃料</w:t>
      </w:r>
      <w:r>
        <w:t>消耗量</w:t>
      </w:r>
      <w:r>
        <w:rPr>
          <w:rFonts w:hint="eastAsia"/>
        </w:rPr>
        <w:t>指标</w:t>
      </w:r>
      <w:r>
        <w:t>加严后，</w:t>
      </w:r>
      <w:r>
        <w:rPr>
          <w:rFonts w:hint="eastAsia"/>
        </w:rPr>
        <w:t>乘用车</w:t>
      </w:r>
      <w:r>
        <w:t>节能技术研发</w:t>
      </w:r>
      <w:r>
        <w:rPr>
          <w:rFonts w:hint="eastAsia"/>
        </w:rPr>
        <w:t>、新能源占比等需要</w:t>
      </w:r>
      <w:r>
        <w:t>一定</w:t>
      </w:r>
      <w:r>
        <w:rPr>
          <w:rFonts w:hint="eastAsia"/>
        </w:rPr>
        <w:t>发展</w:t>
      </w:r>
      <w:r>
        <w:t>周期，因此</w:t>
      </w:r>
      <w:r>
        <w:rPr>
          <w:rFonts w:hint="eastAsia"/>
        </w:rPr>
        <w:t>标准发布后</w:t>
      </w:r>
      <w:r>
        <w:t>设定</w:t>
      </w:r>
      <w:r>
        <w:rPr>
          <w:rFonts w:hint="eastAsia"/>
        </w:rPr>
        <w:t>半年以上</w:t>
      </w:r>
      <w:r>
        <w:t>实施过渡期</w:t>
      </w:r>
      <w:r>
        <w:rPr>
          <w:rFonts w:hint="eastAsia"/>
        </w:rPr>
        <w:t>。考虑到现行标准规定了2025年及以前的指标要求，因此建议本标准能够尽快发布，并建议自202</w:t>
      </w:r>
      <w:r>
        <w:t>6</w:t>
      </w:r>
      <w:r>
        <w:rPr>
          <w:rFonts w:hint="eastAsia"/>
        </w:rPr>
        <w:t>年</w:t>
      </w:r>
      <w:r>
        <w:t>1</w:t>
      </w:r>
      <w:r>
        <w:rPr>
          <w:rFonts w:hint="eastAsia"/>
        </w:rPr>
        <w:t>月1日起实施。</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48" w:name="_Toc64898481"/>
      <w:r>
        <w:rPr>
          <w:rFonts w:hint="eastAsia" w:ascii="黑体" w:hAnsi="黑体" w:eastAsia="黑体" w:cs="宋体"/>
          <w:bCs/>
          <w:color w:val="000000"/>
          <w:kern w:val="0"/>
          <w:sz w:val="24"/>
        </w:rPr>
        <w:t>与实施强制性国家标准有关的政策措施</w:t>
      </w:r>
      <w:bookmarkEnd w:id="48"/>
    </w:p>
    <w:p>
      <w:pPr>
        <w:spacing w:line="400" w:lineRule="exact"/>
        <w:ind w:firstLine="420"/>
      </w:pPr>
      <w:r>
        <w:rPr>
          <w:rFonts w:hint="eastAsia"/>
        </w:rPr>
        <w:t>本标准的实施监督管理部门是工业和信息化部</w:t>
      </w:r>
      <w:r>
        <w:rPr>
          <w:rFonts w:hint="eastAsia"/>
          <w:lang w:val="en-US" w:eastAsia="zh-CN"/>
        </w:rPr>
        <w:t>和市场监督管理总局</w:t>
      </w:r>
      <w:r>
        <w:rPr>
          <w:rFonts w:hint="eastAsia"/>
        </w:rPr>
        <w:t>。根据《乘用车企业平均燃料消耗量与新能源汽车积分并行管理办法》（工信部等五部门2020年第53号令），工信部负责乘用车企业燃料消耗量的核算和监督管理。主要法规依据是：</w:t>
      </w:r>
    </w:p>
    <w:p>
      <w:pPr>
        <w:spacing w:line="400" w:lineRule="exact"/>
        <w:ind w:firstLine="420"/>
      </w:pPr>
      <w:r>
        <w:rPr>
          <w:rFonts w:hint="eastAsia"/>
        </w:rPr>
        <w:t>1.《中华人民共和国标准化法(2017修订)》第二十五条规定：不符合强制性标准的产品、服务，不得生产、销售、进口或者提供。</w:t>
      </w:r>
    </w:p>
    <w:p>
      <w:pPr>
        <w:spacing w:line="400" w:lineRule="exact"/>
        <w:ind w:firstLine="420"/>
      </w:pPr>
      <w:r>
        <w:rPr>
          <w:rFonts w:hint="eastAsia"/>
        </w:rPr>
        <w:t>2.《乘用车企业平均燃料消耗量与新能源汽车积分并行管理办法》（工信部等五部门2020年第53号令）。</w:t>
      </w:r>
    </w:p>
    <w:p>
      <w:pPr>
        <w:spacing w:line="400" w:lineRule="exact"/>
        <w:ind w:firstLine="420"/>
      </w:pPr>
      <w:r>
        <w:rPr>
          <w:rFonts w:hint="eastAsia"/>
        </w:rPr>
        <w:t>第十条规定：乘用车企业平均燃料消耗量实际值，按照《乘用车燃料消耗量评价方法及指标》第5.1款计算（计算结果按四舍五入原则保留两位小数）。同一车型在核算年度有多个不同的燃料消耗量的，按照不同的燃料消耗量分开计算。</w:t>
      </w:r>
    </w:p>
    <w:p>
      <w:pPr>
        <w:spacing w:line="400" w:lineRule="exact"/>
        <w:ind w:firstLine="420"/>
      </w:pPr>
      <w:r>
        <w:rPr>
          <w:rFonts w:hint="eastAsia"/>
        </w:rPr>
        <w:t>第三十六条规定：乘用车企业平均燃料消耗量与新能源汽车积分管理要求，纳入乘用车生产企业及产品准入条件。乘用车企业有下列情形之一的，在其负积分抵偿归零前，对其燃料消耗量达不到《乘用车燃料消耗量评价方法及指标》车型燃料消耗量目标值的新产品，不予列入《道路机动车辆生产企业及产品公告》或者不予核发强制性产品认证证书，并可以依照《汽车产业发展政策》《强制性产品认证管理规定》等有关规定处罚。</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49" w:name="_Toc64898482"/>
      <w:r>
        <w:rPr>
          <w:rFonts w:hint="eastAsia" w:ascii="黑体" w:hAnsi="黑体" w:eastAsia="黑体" w:cs="宋体"/>
          <w:bCs/>
          <w:color w:val="000000"/>
          <w:kern w:val="0"/>
          <w:sz w:val="24"/>
        </w:rPr>
        <w:t>是否需要对外通报的建议及理由</w:t>
      </w:r>
      <w:bookmarkEnd w:id="49"/>
    </w:p>
    <w:p>
      <w:pPr>
        <w:spacing w:line="400" w:lineRule="exact"/>
        <w:ind w:firstLine="420"/>
      </w:pPr>
      <w:r>
        <w:rPr>
          <w:rFonts w:hint="eastAsia"/>
        </w:rPr>
        <w:t>本标准为强制性国家标准，不符合标准的新产品不予列入公告或停发强制性产品认证证书，对企业车型技术研发及产品布局有较大影响，建议对外通报。</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50" w:name="_Toc64898483"/>
      <w:r>
        <w:rPr>
          <w:rFonts w:hint="eastAsia" w:ascii="黑体" w:hAnsi="黑体" w:eastAsia="黑体" w:cs="宋体"/>
          <w:bCs/>
          <w:color w:val="000000"/>
          <w:kern w:val="0"/>
          <w:sz w:val="24"/>
        </w:rPr>
        <w:t>废止现行有关标准的建议</w:t>
      </w:r>
      <w:bookmarkEnd w:id="50"/>
    </w:p>
    <w:p>
      <w:pPr>
        <w:spacing w:line="400" w:lineRule="exact"/>
        <w:ind w:firstLine="420"/>
      </w:pPr>
      <w:r>
        <w:rPr>
          <w:rFonts w:hint="eastAsia"/>
        </w:rPr>
        <w:t>自本标准实施之日起废止GB 27999—2019。</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51" w:name="_Toc64898484"/>
      <w:r>
        <w:rPr>
          <w:rFonts w:hint="eastAsia" w:ascii="黑体" w:hAnsi="黑体" w:eastAsia="黑体" w:cs="宋体"/>
          <w:bCs/>
          <w:color w:val="000000"/>
          <w:kern w:val="0"/>
          <w:sz w:val="24"/>
        </w:rPr>
        <w:t>涉及专利的有关说明</w:t>
      </w:r>
      <w:bookmarkEnd w:id="51"/>
    </w:p>
    <w:p>
      <w:pPr>
        <w:spacing w:line="400" w:lineRule="exact"/>
        <w:ind w:firstLine="420"/>
      </w:pPr>
      <w:r>
        <w:rPr>
          <w:rFonts w:hint="eastAsia"/>
        </w:rPr>
        <w:t>本标准不涉及专利。</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52" w:name="_Toc64898485"/>
      <w:r>
        <w:rPr>
          <w:rFonts w:hint="eastAsia" w:ascii="黑体" w:hAnsi="黑体" w:eastAsia="黑体" w:cs="宋体"/>
          <w:bCs/>
          <w:color w:val="000000"/>
          <w:kern w:val="0"/>
          <w:sz w:val="24"/>
        </w:rPr>
        <w:t>强制性国家标准所涉及的产品、过程或者服务目录</w:t>
      </w:r>
      <w:bookmarkEnd w:id="52"/>
    </w:p>
    <w:p>
      <w:pPr>
        <w:spacing w:line="400" w:lineRule="exact"/>
        <w:ind w:firstLine="420"/>
      </w:pPr>
      <w:r>
        <w:rPr>
          <w:rFonts w:hint="eastAsia"/>
        </w:rPr>
        <w:t>本文件适用于M</w:t>
      </w:r>
      <w:r>
        <w:rPr>
          <w:rFonts w:hint="eastAsia"/>
          <w:vertAlign w:val="subscript"/>
        </w:rPr>
        <w:t>1</w:t>
      </w:r>
      <w:r>
        <w:rPr>
          <w:rFonts w:hint="eastAsia"/>
        </w:rPr>
        <w:t>类车辆，包括能够燃用汽油或柴油燃料的车辆、纯电动车辆、燃料电池车辆以及燃用气体燃料和醇醚类燃料的车辆。</w:t>
      </w:r>
    </w:p>
    <w:p>
      <w:pPr>
        <w:numPr>
          <w:ilvl w:val="0"/>
          <w:numId w:val="1"/>
        </w:numPr>
        <w:autoSpaceDE w:val="0"/>
        <w:autoSpaceDN w:val="0"/>
        <w:adjustRightInd w:val="0"/>
        <w:spacing w:before="156" w:beforeLines="50" w:after="156" w:afterLines="50" w:line="400" w:lineRule="exact"/>
        <w:ind w:left="567" w:hanging="567" w:firstLineChars="0"/>
        <w:jc w:val="left"/>
        <w:outlineLvl w:val="0"/>
        <w:rPr>
          <w:rFonts w:hint="eastAsia" w:ascii="黑体" w:hAnsi="黑体" w:eastAsia="黑体" w:cs="宋体"/>
          <w:bCs/>
          <w:color w:val="000000"/>
          <w:kern w:val="0"/>
          <w:sz w:val="24"/>
        </w:rPr>
      </w:pPr>
      <w:bookmarkStart w:id="53" w:name="_Toc64898486"/>
      <w:r>
        <w:rPr>
          <w:rFonts w:hint="eastAsia" w:ascii="黑体" w:hAnsi="黑体" w:eastAsia="黑体" w:cs="宋体"/>
          <w:bCs/>
          <w:color w:val="000000"/>
          <w:kern w:val="0"/>
          <w:sz w:val="24"/>
        </w:rPr>
        <w:t>其他应当予以说明的事项</w:t>
      </w:r>
      <w:bookmarkEnd w:id="31"/>
      <w:bookmarkEnd w:id="53"/>
    </w:p>
    <w:p>
      <w:pPr>
        <w:spacing w:line="400" w:lineRule="exact"/>
        <w:ind w:firstLine="420"/>
      </w:pPr>
      <w:r>
        <w:rPr>
          <w:rFonts w:hint="eastAsia"/>
        </w:rPr>
        <w:t>无。</w:t>
      </w:r>
    </w:p>
    <w:sectPr>
      <w:headerReference r:id="rId12" w:type="first"/>
      <w:footerReference r:id="rId14" w:type="first"/>
      <w:headerReference r:id="rId11" w:type="default"/>
      <w:footerReference r:id="rId13" w:type="default"/>
      <w:pgSz w:w="11906" w:h="16838"/>
      <w:pgMar w:top="1440" w:right="1800" w:bottom="1440" w:left="1800" w:header="851" w:footer="992"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266888"/>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4259378"/>
    </w:sdtPr>
    <w:sdtContent>
      <w:p>
        <w:pPr>
          <w:pStyle w:val="5"/>
          <w:ind w:firstLine="360"/>
          <w:jc w:val="center"/>
        </w:pPr>
        <w:r>
          <w:fldChar w:fldCharType="begin"/>
        </w:r>
        <w:r>
          <w:instrText xml:space="preserve">PAGE   \* MERGEFORMAT</w:instrText>
        </w:r>
        <w:r>
          <w:fldChar w:fldCharType="separate"/>
        </w:r>
        <w:r>
          <w:rPr>
            <w:lang w:val="zh-CN"/>
          </w:rPr>
          <w:t>2</w:t>
        </w:r>
        <w:r>
          <w:fldChar w:fldCharType="end"/>
        </w:r>
      </w:p>
    </w:sdtContent>
  </w:sdt>
  <w:p>
    <w:pPr>
      <w:pStyle w:val="5"/>
      <w:ind w:firstLine="0" w:firstLineChars="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《乘用车燃料消耗量评价方法及指标》（征求意见稿）编制说明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《乘用车燃料消耗量评价方法及指标》（征求意见稿）编制说明</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rFonts w:hint="eastAsia"/>
      </w:rPr>
      <w:t>《乘用车燃料消耗量评价方法及指标》（征求意见稿）编制说明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C2B30"/>
    <w:multiLevelType w:val="singleLevel"/>
    <w:tmpl w:val="890C2B30"/>
    <w:lvl w:ilvl="0" w:tentative="0">
      <w:start w:val="3"/>
      <w:numFmt w:val="decimal"/>
      <w:suff w:val="nothing"/>
      <w:lvlText w:val="%1）"/>
      <w:lvlJc w:val="left"/>
    </w:lvl>
  </w:abstractNum>
  <w:abstractNum w:abstractNumId="1">
    <w:nsid w:val="23E2C970"/>
    <w:multiLevelType w:val="singleLevel"/>
    <w:tmpl w:val="23E2C970"/>
    <w:lvl w:ilvl="0" w:tentative="0">
      <w:start w:val="2"/>
      <w:numFmt w:val="decimal"/>
      <w:suff w:val="nothing"/>
      <w:lvlText w:val="%1）"/>
      <w:lvlJc w:val="left"/>
    </w:lvl>
  </w:abstractNum>
  <w:abstractNum w:abstractNumId="2">
    <w:nsid w:val="28C957A9"/>
    <w:multiLevelType w:val="multilevel"/>
    <w:tmpl w:val="28C957A9"/>
    <w:lvl w:ilvl="0" w:tentative="0">
      <w:start w:val="1"/>
      <w:numFmt w:val="japaneseCounting"/>
      <w:lvlText w:val="%1、"/>
      <w:lvlJc w:val="left"/>
      <w:pPr>
        <w:ind w:left="900" w:hanging="9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892845"/>
    <w:rsid w:val="000032A1"/>
    <w:rsid w:val="000109A1"/>
    <w:rsid w:val="000127B2"/>
    <w:rsid w:val="0001532A"/>
    <w:rsid w:val="000233D0"/>
    <w:rsid w:val="00027059"/>
    <w:rsid w:val="0005337E"/>
    <w:rsid w:val="000618C2"/>
    <w:rsid w:val="00067460"/>
    <w:rsid w:val="000722E5"/>
    <w:rsid w:val="000746C6"/>
    <w:rsid w:val="0008099F"/>
    <w:rsid w:val="000A4848"/>
    <w:rsid w:val="000A53B9"/>
    <w:rsid w:val="000B23A7"/>
    <w:rsid w:val="000B4E26"/>
    <w:rsid w:val="000B53C9"/>
    <w:rsid w:val="000C01EC"/>
    <w:rsid w:val="000C749C"/>
    <w:rsid w:val="000D345B"/>
    <w:rsid w:val="000F7883"/>
    <w:rsid w:val="0010304D"/>
    <w:rsid w:val="00114B25"/>
    <w:rsid w:val="0011589D"/>
    <w:rsid w:val="00117652"/>
    <w:rsid w:val="0013253D"/>
    <w:rsid w:val="0013321A"/>
    <w:rsid w:val="00142D2A"/>
    <w:rsid w:val="00161BA4"/>
    <w:rsid w:val="00167B0A"/>
    <w:rsid w:val="001838E4"/>
    <w:rsid w:val="001A7B5E"/>
    <w:rsid w:val="001C6ACD"/>
    <w:rsid w:val="001D4DD6"/>
    <w:rsid w:val="00216FC3"/>
    <w:rsid w:val="0022485D"/>
    <w:rsid w:val="002600E7"/>
    <w:rsid w:val="00260138"/>
    <w:rsid w:val="00266160"/>
    <w:rsid w:val="00267253"/>
    <w:rsid w:val="00280CC2"/>
    <w:rsid w:val="00286680"/>
    <w:rsid w:val="002A1A9F"/>
    <w:rsid w:val="002A1B41"/>
    <w:rsid w:val="002A4AD3"/>
    <w:rsid w:val="002A65E3"/>
    <w:rsid w:val="002B1DE6"/>
    <w:rsid w:val="002C3F5C"/>
    <w:rsid w:val="002F2D31"/>
    <w:rsid w:val="00305F1E"/>
    <w:rsid w:val="00312323"/>
    <w:rsid w:val="003210E5"/>
    <w:rsid w:val="0032444D"/>
    <w:rsid w:val="00327F6F"/>
    <w:rsid w:val="003530CE"/>
    <w:rsid w:val="003551FE"/>
    <w:rsid w:val="00361410"/>
    <w:rsid w:val="00380A54"/>
    <w:rsid w:val="0038380F"/>
    <w:rsid w:val="003D59BC"/>
    <w:rsid w:val="003E1C2B"/>
    <w:rsid w:val="00416AAC"/>
    <w:rsid w:val="00417D70"/>
    <w:rsid w:val="0043365F"/>
    <w:rsid w:val="00442580"/>
    <w:rsid w:val="00445C83"/>
    <w:rsid w:val="00452704"/>
    <w:rsid w:val="004603C7"/>
    <w:rsid w:val="00460E68"/>
    <w:rsid w:val="00487B7C"/>
    <w:rsid w:val="00491213"/>
    <w:rsid w:val="004A3224"/>
    <w:rsid w:val="004A7542"/>
    <w:rsid w:val="004B2A87"/>
    <w:rsid w:val="004D25D7"/>
    <w:rsid w:val="004D4A38"/>
    <w:rsid w:val="004E1A32"/>
    <w:rsid w:val="004E656C"/>
    <w:rsid w:val="004F243D"/>
    <w:rsid w:val="00513AA9"/>
    <w:rsid w:val="0054434D"/>
    <w:rsid w:val="005510BC"/>
    <w:rsid w:val="00552A94"/>
    <w:rsid w:val="00552ED7"/>
    <w:rsid w:val="005773CE"/>
    <w:rsid w:val="005A6B95"/>
    <w:rsid w:val="005B19DC"/>
    <w:rsid w:val="005B693D"/>
    <w:rsid w:val="005B6F69"/>
    <w:rsid w:val="005D62E0"/>
    <w:rsid w:val="005D6483"/>
    <w:rsid w:val="005E5508"/>
    <w:rsid w:val="00621F14"/>
    <w:rsid w:val="00630B17"/>
    <w:rsid w:val="00630DDB"/>
    <w:rsid w:val="00637AA3"/>
    <w:rsid w:val="00640EBE"/>
    <w:rsid w:val="00661024"/>
    <w:rsid w:val="006646E8"/>
    <w:rsid w:val="00671738"/>
    <w:rsid w:val="0068575E"/>
    <w:rsid w:val="006951A8"/>
    <w:rsid w:val="006C3EAC"/>
    <w:rsid w:val="006C5B85"/>
    <w:rsid w:val="006C7CE0"/>
    <w:rsid w:val="006D1E5B"/>
    <w:rsid w:val="006D2A33"/>
    <w:rsid w:val="006D2E03"/>
    <w:rsid w:val="006E4053"/>
    <w:rsid w:val="0070512C"/>
    <w:rsid w:val="00705B04"/>
    <w:rsid w:val="00722A21"/>
    <w:rsid w:val="007327DB"/>
    <w:rsid w:val="00776C0C"/>
    <w:rsid w:val="007A3045"/>
    <w:rsid w:val="007A53D6"/>
    <w:rsid w:val="007B53D6"/>
    <w:rsid w:val="007C129F"/>
    <w:rsid w:val="007C1F78"/>
    <w:rsid w:val="007D4CF7"/>
    <w:rsid w:val="007D6B28"/>
    <w:rsid w:val="007D7397"/>
    <w:rsid w:val="007E39B4"/>
    <w:rsid w:val="007E6AE4"/>
    <w:rsid w:val="008045A0"/>
    <w:rsid w:val="0080675B"/>
    <w:rsid w:val="00807701"/>
    <w:rsid w:val="00813626"/>
    <w:rsid w:val="00814265"/>
    <w:rsid w:val="008142A4"/>
    <w:rsid w:val="00820218"/>
    <w:rsid w:val="00831781"/>
    <w:rsid w:val="00841A6D"/>
    <w:rsid w:val="00842829"/>
    <w:rsid w:val="00843E5B"/>
    <w:rsid w:val="0084530B"/>
    <w:rsid w:val="00853419"/>
    <w:rsid w:val="00874C2F"/>
    <w:rsid w:val="00877CC9"/>
    <w:rsid w:val="00892845"/>
    <w:rsid w:val="008C09FD"/>
    <w:rsid w:val="008D3B86"/>
    <w:rsid w:val="008F16B2"/>
    <w:rsid w:val="008F76B3"/>
    <w:rsid w:val="00901275"/>
    <w:rsid w:val="0090244F"/>
    <w:rsid w:val="009046F1"/>
    <w:rsid w:val="009439BD"/>
    <w:rsid w:val="00945B03"/>
    <w:rsid w:val="0094734C"/>
    <w:rsid w:val="009535F8"/>
    <w:rsid w:val="0095555A"/>
    <w:rsid w:val="00957F79"/>
    <w:rsid w:val="009656D2"/>
    <w:rsid w:val="009734D0"/>
    <w:rsid w:val="009805E5"/>
    <w:rsid w:val="00990748"/>
    <w:rsid w:val="00996A14"/>
    <w:rsid w:val="009B0BEC"/>
    <w:rsid w:val="009D21EA"/>
    <w:rsid w:val="009D4CD2"/>
    <w:rsid w:val="009E4F0E"/>
    <w:rsid w:val="009F389D"/>
    <w:rsid w:val="009F3EFF"/>
    <w:rsid w:val="00A2748A"/>
    <w:rsid w:val="00A27A90"/>
    <w:rsid w:val="00A45C2C"/>
    <w:rsid w:val="00A73FA4"/>
    <w:rsid w:val="00A759A0"/>
    <w:rsid w:val="00A81080"/>
    <w:rsid w:val="00AD44BD"/>
    <w:rsid w:val="00AE09E8"/>
    <w:rsid w:val="00AE11E0"/>
    <w:rsid w:val="00AF6A7B"/>
    <w:rsid w:val="00B032FC"/>
    <w:rsid w:val="00B1292A"/>
    <w:rsid w:val="00B32C8D"/>
    <w:rsid w:val="00B36A4A"/>
    <w:rsid w:val="00B379EC"/>
    <w:rsid w:val="00B47F10"/>
    <w:rsid w:val="00B501A7"/>
    <w:rsid w:val="00B624AF"/>
    <w:rsid w:val="00B668CC"/>
    <w:rsid w:val="00B835FC"/>
    <w:rsid w:val="00B85290"/>
    <w:rsid w:val="00B93CF6"/>
    <w:rsid w:val="00BA59D8"/>
    <w:rsid w:val="00BB727F"/>
    <w:rsid w:val="00BD1907"/>
    <w:rsid w:val="00BF396A"/>
    <w:rsid w:val="00BF67BD"/>
    <w:rsid w:val="00C06247"/>
    <w:rsid w:val="00C0796B"/>
    <w:rsid w:val="00C1365A"/>
    <w:rsid w:val="00C51059"/>
    <w:rsid w:val="00C75369"/>
    <w:rsid w:val="00C81D29"/>
    <w:rsid w:val="00CA192B"/>
    <w:rsid w:val="00CA5096"/>
    <w:rsid w:val="00CB3DC2"/>
    <w:rsid w:val="00CC7734"/>
    <w:rsid w:val="00CD1D3B"/>
    <w:rsid w:val="00CF44F2"/>
    <w:rsid w:val="00D0445A"/>
    <w:rsid w:val="00D06F08"/>
    <w:rsid w:val="00D177C6"/>
    <w:rsid w:val="00D2752D"/>
    <w:rsid w:val="00D333CD"/>
    <w:rsid w:val="00D52E92"/>
    <w:rsid w:val="00D66BF3"/>
    <w:rsid w:val="00D801C0"/>
    <w:rsid w:val="00D826B5"/>
    <w:rsid w:val="00DA1F4B"/>
    <w:rsid w:val="00DA6348"/>
    <w:rsid w:val="00DB55F7"/>
    <w:rsid w:val="00DB7620"/>
    <w:rsid w:val="00DC6409"/>
    <w:rsid w:val="00E11920"/>
    <w:rsid w:val="00E11C59"/>
    <w:rsid w:val="00E12DC6"/>
    <w:rsid w:val="00E25643"/>
    <w:rsid w:val="00E34DAD"/>
    <w:rsid w:val="00E50BFA"/>
    <w:rsid w:val="00E554DC"/>
    <w:rsid w:val="00E90367"/>
    <w:rsid w:val="00E93711"/>
    <w:rsid w:val="00EA1B7B"/>
    <w:rsid w:val="00EA36BD"/>
    <w:rsid w:val="00EB3970"/>
    <w:rsid w:val="00EB70F3"/>
    <w:rsid w:val="00EF2906"/>
    <w:rsid w:val="00EF600F"/>
    <w:rsid w:val="00F145A3"/>
    <w:rsid w:val="00F1714C"/>
    <w:rsid w:val="00F6014B"/>
    <w:rsid w:val="00F7564D"/>
    <w:rsid w:val="00F9609C"/>
    <w:rsid w:val="00FA344C"/>
    <w:rsid w:val="00FA5895"/>
    <w:rsid w:val="00FB15FF"/>
    <w:rsid w:val="00FB180E"/>
    <w:rsid w:val="00FB6D5C"/>
    <w:rsid w:val="00FC641E"/>
    <w:rsid w:val="00FD20D0"/>
    <w:rsid w:val="00FE5921"/>
    <w:rsid w:val="028E2DA3"/>
    <w:rsid w:val="03AD011C"/>
    <w:rsid w:val="271C2582"/>
    <w:rsid w:val="4C722E8B"/>
    <w:rsid w:val="55C8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pPr>
      <w:ind w:firstLine="0" w:firstLineChars="0"/>
      <w:jc w:val="center"/>
    </w:pPr>
    <w:rPr>
      <w:rFonts w:eastAsia="黑体" w:cstheme="majorBidi"/>
      <w:szCs w:val="20"/>
    </w:rPr>
  </w:style>
  <w:style w:type="paragraph" w:styleId="4">
    <w:name w:val="annotation text"/>
    <w:basedOn w:val="1"/>
    <w:semiHidden/>
    <w:unhideWhenUsed/>
    <w:qFormat/>
    <w:uiPriority w:val="99"/>
    <w:pPr>
      <w:jc w:val="left"/>
    </w:p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paragraph" w:styleId="8">
    <w:name w:val="footnote text"/>
    <w:basedOn w:val="1"/>
    <w:link w:val="21"/>
    <w:semiHidden/>
    <w:unhideWhenUsed/>
    <w:qFormat/>
    <w:uiPriority w:val="99"/>
    <w:pPr>
      <w:snapToGrid w:val="0"/>
      <w:jc w:val="left"/>
    </w:pPr>
    <w:rPr>
      <w:sz w:val="18"/>
      <w:szCs w:val="18"/>
    </w:rPr>
  </w:style>
  <w:style w:type="paragraph" w:styleId="9">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rPr>
  </w:style>
  <w:style w:type="character" w:styleId="14">
    <w:name w:val="annotation reference"/>
    <w:basedOn w:val="12"/>
    <w:semiHidden/>
    <w:unhideWhenUsed/>
    <w:qFormat/>
    <w:uiPriority w:val="99"/>
    <w:rPr>
      <w:sz w:val="21"/>
      <w:szCs w:val="21"/>
    </w:rPr>
  </w:style>
  <w:style w:type="character" w:customStyle="1" w:styleId="15">
    <w:name w:val="页眉 字符"/>
    <w:basedOn w:val="12"/>
    <w:link w:val="6"/>
    <w:qFormat/>
    <w:uiPriority w:val="99"/>
    <w:rPr>
      <w:sz w:val="18"/>
      <w:szCs w:val="18"/>
    </w:rPr>
  </w:style>
  <w:style w:type="character" w:customStyle="1" w:styleId="16">
    <w:name w:val="页脚 字符"/>
    <w:basedOn w:val="12"/>
    <w:link w:val="5"/>
    <w:qFormat/>
    <w:uiPriority w:val="99"/>
    <w:rPr>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8">
    <w:name w:val="标题 1 字符"/>
    <w:basedOn w:val="12"/>
    <w:link w:val="2"/>
    <w:qFormat/>
    <w:uiPriority w:val="9"/>
    <w:rPr>
      <w:rFonts w:ascii="Times New Roman" w:hAnsi="Times New Roman" w:eastAsia="宋体" w:cs="Times New Roman"/>
      <w:b/>
      <w:bCs/>
      <w:kern w:val="44"/>
      <w:sz w:val="44"/>
      <w:szCs w:val="44"/>
    </w:rPr>
  </w:style>
  <w:style w:type="paragraph" w:customStyle="1" w:styleId="19">
    <w:name w:val="TOC 标题1"/>
    <w:basedOn w:val="2"/>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496" w:themeColor="accent1" w:themeShade="BF"/>
      <w:kern w:val="0"/>
      <w:sz w:val="32"/>
      <w:szCs w:val="32"/>
    </w:rPr>
  </w:style>
  <w:style w:type="paragraph" w:styleId="20">
    <w:name w:val="List Paragraph"/>
    <w:basedOn w:val="1"/>
    <w:qFormat/>
    <w:uiPriority w:val="34"/>
    <w:pPr>
      <w:ind w:firstLine="420"/>
    </w:pPr>
  </w:style>
  <w:style w:type="character" w:customStyle="1" w:styleId="21">
    <w:name w:val="脚注文本 字符"/>
    <w:basedOn w:val="12"/>
    <w:link w:val="8"/>
    <w:semiHidden/>
    <w:qFormat/>
    <w:uiPriority w:val="99"/>
    <w:rPr>
      <w:rFonts w:ascii="Times New Roman" w:hAnsi="Times New Roman" w:eastAsia="宋体" w:cs="Times New Roman"/>
      <w:sz w:val="18"/>
      <w:szCs w:val="18"/>
    </w:rPr>
  </w:style>
  <w:style w:type="paragraph" w:customStyle="1" w:styleId="22">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png"/><Relationship Id="rId23" Type="http://schemas.openxmlformats.org/officeDocument/2006/relationships/image" Target="media/image7.png"/><Relationship Id="rId22" Type="http://schemas.openxmlformats.org/officeDocument/2006/relationships/image" Target="media/image6.emf"/><Relationship Id="rId21" Type="http://schemas.openxmlformats.org/officeDocument/2006/relationships/oleObject" Target="embeddings/oleObject1.bin"/><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19EF-BF13-446F-96C6-7778512F1934}">
  <ds:schemaRefs/>
</ds:datastoreItem>
</file>

<file path=docProps/app.xml><?xml version="1.0" encoding="utf-8"?>
<Properties xmlns="http://schemas.openxmlformats.org/officeDocument/2006/extended-properties" xmlns:vt="http://schemas.openxmlformats.org/officeDocument/2006/docPropsVTypes">
  <Template>Normal.dotm</Template>
  <Pages>18</Pages>
  <Words>2424</Words>
  <Characters>13821</Characters>
  <Lines>115</Lines>
  <Paragraphs>32</Paragraphs>
  <TotalTime>107</TotalTime>
  <ScaleCrop>false</ScaleCrop>
  <LinksUpToDate>false</LinksUpToDate>
  <CharactersWithSpaces>16213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2021-02-22T05:52:00Z</dcterms:created>
  <dc:creator>李云伟</dc:creator>
  <cp:lastModifiedBy>李云伟</cp:lastModifiedBy>
  <dcterms:modified xsi:type="dcterms:W3CDTF">2024-08-02T02:51:09Z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4F85FD6F028A4EB1AAD08C71947D4A47</vt:lpwstr>
  </property>
</Properties>
</file>