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93" w:rsidRDefault="002338D6">
      <w:pPr>
        <w:rPr>
          <w:b/>
          <w:sz w:val="28"/>
        </w:rPr>
      </w:pPr>
      <w:r w:rsidRPr="002338D6">
        <w:rPr>
          <w:rFonts w:hint="eastAsia"/>
          <w:b/>
          <w:sz w:val="28"/>
        </w:rPr>
        <w:t>第</w:t>
      </w:r>
      <w:r w:rsidRPr="002338D6">
        <w:rPr>
          <w:b/>
          <w:sz w:val="28"/>
        </w:rPr>
        <w:t>3.1.3.6.1(c)</w:t>
      </w:r>
      <w:r w:rsidR="00E91981">
        <w:rPr>
          <w:rFonts w:hint="eastAsia"/>
          <w:b/>
          <w:sz w:val="28"/>
        </w:rPr>
        <w:t>段</w:t>
      </w:r>
      <w:r w:rsidR="00EB648C" w:rsidRPr="002338D6">
        <w:rPr>
          <w:b/>
          <w:sz w:val="28"/>
        </w:rPr>
        <w:t>标准</w:t>
      </w:r>
      <w:r w:rsidR="00EB648C">
        <w:rPr>
          <w:rFonts w:hint="eastAsia"/>
          <w:b/>
          <w:sz w:val="28"/>
        </w:rPr>
        <w:t>的应用</w:t>
      </w:r>
    </w:p>
    <w:p w:rsidR="002338D6" w:rsidRPr="002338D6" w:rsidRDefault="002338D6" w:rsidP="002338D6">
      <w:pPr>
        <w:rPr>
          <w:rFonts w:ascii="宋体" w:eastAsia="宋体" w:hAnsi="宋体"/>
          <w:b/>
        </w:rPr>
      </w:pPr>
      <w:r w:rsidRPr="002338D6">
        <w:rPr>
          <w:rFonts w:ascii="宋体" w:eastAsia="宋体" w:hAnsi="宋体" w:hint="eastAsia"/>
          <w:b/>
        </w:rPr>
        <w:t>急性毒性</w:t>
      </w:r>
      <w:r w:rsidRPr="002338D6">
        <w:rPr>
          <w:rFonts w:ascii="宋体" w:eastAsia="宋体" w:hAnsi="宋体"/>
          <w:b/>
        </w:rPr>
        <w:t>-</w:t>
      </w:r>
      <w:r w:rsidR="00C22443">
        <w:rPr>
          <w:rFonts w:ascii="宋体" w:eastAsia="宋体" w:hAnsi="宋体" w:hint="eastAsia"/>
          <w:b/>
        </w:rPr>
        <w:t>经口</w:t>
      </w:r>
    </w:p>
    <w:p w:rsidR="002338D6" w:rsidRDefault="002338D6" w:rsidP="002338D6">
      <w:pPr>
        <w:rPr>
          <w:rFonts w:ascii="宋体" w:eastAsia="宋体" w:hAnsi="宋体"/>
          <w:u w:val="single"/>
        </w:rPr>
      </w:pPr>
      <w:r w:rsidRPr="002338D6">
        <w:rPr>
          <w:rFonts w:ascii="宋体" w:eastAsia="宋体" w:hAnsi="宋体" w:hint="eastAsia"/>
          <w:u w:val="single"/>
        </w:rPr>
        <w:t>成分信息：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3969"/>
      </w:tblGrid>
      <w:tr w:rsidR="002338D6" w:rsidTr="002338D6">
        <w:tc>
          <w:tcPr>
            <w:tcW w:w="112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  <w:b/>
              </w:rPr>
            </w:pPr>
            <w:r w:rsidRPr="002D4020">
              <w:rPr>
                <w:rFonts w:ascii="Times New Roman" w:eastAsia="宋体" w:hAnsi="Times New Roman" w:cs="Times New Roman"/>
                <w:b/>
              </w:rPr>
              <w:t>成分</w:t>
            </w:r>
          </w:p>
        </w:tc>
        <w:tc>
          <w:tcPr>
            <w:tcW w:w="1276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  <w:b/>
              </w:rPr>
            </w:pPr>
            <w:r w:rsidRPr="002D4020">
              <w:rPr>
                <w:rFonts w:ascii="Times New Roman" w:eastAsia="宋体" w:hAnsi="Times New Roman" w:cs="Times New Roman"/>
                <w:b/>
              </w:rPr>
              <w:t>占比（</w:t>
            </w:r>
            <w:r w:rsidRPr="002D4020">
              <w:rPr>
                <w:rFonts w:ascii="Times New Roman" w:eastAsia="宋体" w:hAnsi="Times New Roman" w:cs="Times New Roman"/>
                <w:b/>
              </w:rPr>
              <w:t>%</w:t>
            </w:r>
            <w:r w:rsidRPr="002D4020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  <w:tc>
          <w:tcPr>
            <w:tcW w:w="1701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  <w:b/>
              </w:rPr>
            </w:pPr>
            <w:r w:rsidRPr="002D4020">
              <w:rPr>
                <w:rFonts w:ascii="Times New Roman" w:eastAsia="宋体" w:hAnsi="Times New Roman" w:cs="Times New Roman"/>
                <w:b/>
              </w:rPr>
              <w:t>分类</w:t>
            </w:r>
          </w:p>
        </w:tc>
        <w:tc>
          <w:tcPr>
            <w:tcW w:w="396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  <w:b/>
              </w:rPr>
            </w:pPr>
            <w:r w:rsidRPr="002D4020">
              <w:rPr>
                <w:rFonts w:ascii="Times New Roman" w:eastAsia="宋体" w:hAnsi="Times New Roman" w:cs="Times New Roman"/>
                <w:b/>
              </w:rPr>
              <w:t>测试数据</w:t>
            </w:r>
          </w:p>
        </w:tc>
      </w:tr>
      <w:tr w:rsidR="002338D6" w:rsidTr="002338D6">
        <w:tc>
          <w:tcPr>
            <w:tcW w:w="112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成分</w:t>
            </w:r>
            <w:r w:rsidRPr="002D4020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338D6" w:rsidRPr="002D4020" w:rsidRDefault="00C22443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经口</w:t>
            </w:r>
            <w:r w:rsidR="002338D6" w:rsidRPr="002D4020">
              <w:rPr>
                <w:rFonts w:ascii="Times New Roman" w:eastAsia="宋体" w:hAnsi="Times New Roman" w:cs="Times New Roman"/>
              </w:rPr>
              <w:t xml:space="preserve"> </w:t>
            </w:r>
            <w:r w:rsidR="002338D6" w:rsidRPr="002D4020">
              <w:rPr>
                <w:rFonts w:ascii="Times New Roman" w:eastAsia="宋体" w:hAnsi="Times New Roman" w:cs="Times New Roman"/>
              </w:rPr>
              <w:t>类别</w:t>
            </w:r>
            <w:r w:rsidR="002338D6" w:rsidRPr="002D4020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LD50:1737mg/kg</w:t>
            </w:r>
          </w:p>
        </w:tc>
      </w:tr>
      <w:tr w:rsidR="002338D6" w:rsidTr="002338D6">
        <w:tc>
          <w:tcPr>
            <w:tcW w:w="112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成分</w:t>
            </w:r>
            <w:r w:rsidRPr="002D4020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LD50&gt;5000mg/kg</w:t>
            </w:r>
          </w:p>
        </w:tc>
      </w:tr>
      <w:tr w:rsidR="002338D6" w:rsidTr="002338D6">
        <w:tc>
          <w:tcPr>
            <w:tcW w:w="112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成分</w:t>
            </w:r>
            <w:r w:rsidRPr="002D4020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LD50:5400mg/kg</w:t>
            </w:r>
          </w:p>
        </w:tc>
      </w:tr>
      <w:tr w:rsidR="002338D6" w:rsidTr="002338D6">
        <w:tc>
          <w:tcPr>
            <w:tcW w:w="1129" w:type="dxa"/>
          </w:tcPr>
          <w:p w:rsidR="002338D6" w:rsidRPr="002D4020" w:rsidRDefault="002338D6" w:rsidP="002338D6">
            <w:pPr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成分</w:t>
            </w:r>
            <w:r w:rsidRPr="002D4020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2338D6" w:rsidRPr="002D4020" w:rsidRDefault="002338D6" w:rsidP="002338D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4020">
              <w:rPr>
                <w:rFonts w:ascii="Times New Roman" w:eastAsia="宋体" w:hAnsi="Times New Roman" w:cs="Times New Roman"/>
              </w:rPr>
              <w:t>口服极限剂量</w:t>
            </w:r>
            <w:r w:rsidRPr="002D4020">
              <w:rPr>
                <w:rFonts w:ascii="Times New Roman" w:eastAsia="宋体" w:hAnsi="Times New Roman" w:cs="Times New Roman"/>
              </w:rPr>
              <w:t>&gt; 2000mg/kg(</w:t>
            </w:r>
            <w:r w:rsidRPr="002D4020">
              <w:rPr>
                <w:rFonts w:ascii="Times New Roman" w:eastAsia="宋体" w:hAnsi="Times New Roman" w:cs="Times New Roman"/>
              </w:rPr>
              <w:t>无毒性迹象</w:t>
            </w:r>
            <w:r w:rsidRPr="002D4020">
              <w:rPr>
                <w:rFonts w:ascii="Times New Roman" w:eastAsia="宋体" w:hAnsi="Times New Roman" w:cs="Times New Roman"/>
              </w:rPr>
              <w:t>)</w:t>
            </w:r>
          </w:p>
        </w:tc>
      </w:tr>
    </w:tbl>
    <w:p w:rsidR="002338D6" w:rsidRDefault="002338D6" w:rsidP="002338D6">
      <w:pPr>
        <w:rPr>
          <w:rFonts w:ascii="宋体" w:eastAsia="宋体" w:hAnsi="宋体"/>
          <w:u w:val="single"/>
        </w:rPr>
      </w:pPr>
      <w:r w:rsidRPr="002338D6">
        <w:rPr>
          <w:rFonts w:ascii="宋体" w:eastAsia="宋体" w:hAnsi="宋体" w:hint="eastAsia"/>
          <w:u w:val="single"/>
        </w:rPr>
        <w:t>解答：</w:t>
      </w:r>
    </w:p>
    <w:p w:rsidR="002338D6" w:rsidRDefault="002338D6" w:rsidP="002338D6">
      <w:pPr>
        <w:rPr>
          <w:rFonts w:ascii="宋体" w:eastAsia="宋体" w:hAnsi="宋体"/>
        </w:rPr>
      </w:pPr>
      <w:r w:rsidRPr="002338D6">
        <w:rPr>
          <w:rFonts w:ascii="宋体" w:eastAsia="宋体" w:hAnsi="宋体" w:hint="eastAsia"/>
        </w:rPr>
        <w:t>应用第</w:t>
      </w:r>
      <w:r w:rsidRPr="002338D6">
        <w:rPr>
          <w:rFonts w:ascii="宋体" w:eastAsia="宋体" w:hAnsi="宋体"/>
        </w:rPr>
        <w:t>3.1.3.6.1</w:t>
      </w:r>
      <w:r>
        <w:rPr>
          <w:rFonts w:ascii="宋体" w:eastAsia="宋体" w:hAnsi="宋体" w:hint="eastAsia"/>
        </w:rPr>
        <w:t>节</w:t>
      </w:r>
      <w:r>
        <w:rPr>
          <w:rFonts w:ascii="宋体" w:eastAsia="宋体" w:hAnsi="宋体"/>
        </w:rPr>
        <w:t>的公式</w:t>
      </w:r>
      <w:r>
        <w:rPr>
          <w:rFonts w:ascii="宋体" w:eastAsia="宋体" w:hAnsi="宋体" w:hint="eastAsia"/>
        </w:rPr>
        <w:t>：</w:t>
      </w:r>
    </w:p>
    <w:p w:rsidR="002338D6" w:rsidRPr="002338D6" w:rsidRDefault="002E497E" w:rsidP="002338D6">
      <w:pPr>
        <w:rPr>
          <w:rFonts w:ascii="宋体" w:eastAsia="宋体" w:hAnsi="宋体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ATE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mixture</m:t>
                  </m:r>
                </m:sub>
              </m:sSub>
            </m:den>
          </m:f>
          <m:r>
            <w:rPr>
              <w:rFonts w:ascii="Cambria Math" w:eastAsia="宋体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宋体" w:hAnsi="Cambria Math"/>
                  <w:i/>
                </w:rPr>
              </m:ctrlPr>
            </m:naryPr>
            <m:sub>
              <m:r>
                <w:rPr>
                  <w:rFonts w:ascii="Cambria Math" w:eastAsia="宋体" w:hAnsi="Cambria Math" w:hint="eastAsia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eastAsia="宋体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宋体" w:hAnsi="Cambria Math"/>
                    </w:rPr>
                    <m:t>C</m:t>
                  </m:r>
                  <m:r>
                    <w:rPr>
                      <w:rFonts w:ascii="Cambria Math" w:eastAsia="宋体" w:hAnsi="Cambria Math" w:hint="eastAsia"/>
                    </w:rPr>
                    <m:t>i</m:t>
                  </m:r>
                </m:num>
                <m:den>
                  <m:r>
                    <w:rPr>
                      <w:rFonts w:ascii="Cambria Math" w:eastAsia="宋体" w:hAnsi="Cambria Math"/>
                    </w:rPr>
                    <m:t>ATE</m:t>
                  </m:r>
                  <m:r>
                    <w:rPr>
                      <w:rFonts w:ascii="Cambria Math" w:eastAsia="宋体" w:hAnsi="Cambria Math" w:hint="eastAsia"/>
                    </w:rPr>
                    <m:t>i</m:t>
                  </m:r>
                </m:den>
              </m:f>
            </m:e>
          </m:nary>
        </m:oMath>
      </m:oMathPara>
    </w:p>
    <w:p w:rsidR="002338D6" w:rsidRPr="002338D6" w:rsidRDefault="002E497E" w:rsidP="002338D6">
      <w:pPr>
        <w:rPr>
          <w:rFonts w:ascii="宋体" w:eastAsia="宋体" w:hAnsi="宋体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ATE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mixture</m:t>
                  </m:r>
                </m:sub>
              </m:sSub>
            </m:den>
          </m:f>
          <m:r>
            <w:rPr>
              <w:rFonts w:ascii="Cambria Math" w:eastAsia="宋体" w:hAnsi="Cambria Math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r>
                <w:rPr>
                  <w:rFonts w:ascii="Cambria Math" w:eastAsia="宋体" w:hAnsi="Cambria Math"/>
                </w:rPr>
                <m:t>4</m:t>
              </m:r>
            </m:num>
            <m:den>
              <m:r>
                <w:rPr>
                  <w:rFonts w:ascii="Cambria Math" w:eastAsia="宋体" w:hAnsi="Cambria Math"/>
                </w:rPr>
                <m:t>1737</m:t>
              </m:r>
            </m:den>
          </m:f>
        </m:oMath>
      </m:oMathPara>
    </w:p>
    <w:p w:rsidR="002338D6" w:rsidRDefault="002338D6" w:rsidP="002338D6">
      <w:pPr>
        <w:rPr>
          <w:rFonts w:ascii="宋体" w:eastAsia="宋体" w:hAnsi="宋体" w:cs="Times New Roman"/>
        </w:rPr>
      </w:pPr>
      <w:r>
        <w:rPr>
          <w:rFonts w:ascii="宋体" w:eastAsia="宋体" w:hAnsi="宋体" w:hint="eastAsia"/>
        </w:rPr>
        <w:t>因此：</w:t>
      </w:r>
      <w:r w:rsidRPr="002D4020">
        <w:rPr>
          <w:rFonts w:ascii="Times New Roman" w:eastAsiaTheme="majorHAnsi" w:hAnsi="Times New Roman" w:cs="Times New Roman"/>
          <w:i/>
        </w:rPr>
        <w:t>ATE</w:t>
      </w:r>
      <w:r w:rsidR="002D4020" w:rsidRPr="002D4020">
        <w:rPr>
          <w:rFonts w:ascii="Times New Roman" w:eastAsiaTheme="majorHAnsi" w:hAnsi="Times New Roman" w:cs="Times New Roman"/>
          <w:i/>
          <w:vertAlign w:val="subscript"/>
        </w:rPr>
        <w:t>mixture</w:t>
      </w:r>
      <w:r w:rsidR="002D4020" w:rsidRPr="002D4020">
        <w:rPr>
          <w:rFonts w:ascii="Times New Roman" w:eastAsiaTheme="majorHAnsi" w:hAnsi="Times New Roman" w:cs="Times New Roman"/>
          <w:b/>
        </w:rPr>
        <w:t>=</w:t>
      </w:r>
      <w:r w:rsidR="002D4020" w:rsidRPr="002D4020">
        <w:rPr>
          <w:rFonts w:ascii="Times New Roman" w:eastAsiaTheme="majorHAnsi" w:hAnsi="Times New Roman" w:cs="Times New Roman"/>
        </w:rPr>
        <w:t>43245</w:t>
      </w:r>
      <w:r w:rsidR="002D4020" w:rsidRPr="002D4020">
        <w:rPr>
          <w:rFonts w:ascii="Times New Roman" w:eastAsiaTheme="majorHAnsi" w:hAnsi="Times New Roman" w:cs="Times New Roman"/>
          <w:i/>
        </w:rPr>
        <w:t>mg/kg</w:t>
      </w:r>
      <w:r w:rsidR="002D4020">
        <w:rPr>
          <w:rFonts w:ascii="Times New Roman" w:eastAsiaTheme="majorHAnsi" w:hAnsi="Times New Roman" w:cs="Times New Roman" w:hint="eastAsia"/>
        </w:rPr>
        <w:t>，</w:t>
      </w:r>
      <w:r w:rsidR="002D4020" w:rsidRPr="002D4020">
        <w:rPr>
          <w:rFonts w:ascii="宋体" w:eastAsia="宋体" w:hAnsi="宋体" w:cs="Times New Roman" w:hint="eastAsia"/>
        </w:rPr>
        <w:t>不分类</w:t>
      </w:r>
    </w:p>
    <w:p w:rsidR="002D4020" w:rsidRPr="002D4020" w:rsidRDefault="002306D7" w:rsidP="002338D6">
      <w:pPr>
        <w:rPr>
          <w:rFonts w:ascii="宋体" w:eastAsia="宋体" w:hAnsi="宋体" w:cs="Times New Roman"/>
          <w:u w:val="single"/>
        </w:rPr>
      </w:pPr>
      <w:r>
        <w:rPr>
          <w:rFonts w:ascii="宋体" w:eastAsia="宋体" w:hAnsi="宋体" w:cs="Times New Roman" w:hint="eastAsia"/>
          <w:u w:val="single"/>
        </w:rPr>
        <w:t>逻辑依据</w:t>
      </w:r>
      <w:r w:rsidR="002D4020" w:rsidRPr="002D4020">
        <w:rPr>
          <w:rFonts w:ascii="宋体" w:eastAsia="宋体" w:hAnsi="宋体" w:cs="Times New Roman" w:hint="eastAsia"/>
          <w:u w:val="single"/>
        </w:rPr>
        <w:t>：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由于没有提供该混合物的急性毒性试验数据，因此</w:t>
      </w:r>
      <w:r w:rsidRPr="002D4020">
        <w:rPr>
          <w:rFonts w:ascii="宋体" w:eastAsia="宋体" w:hAnsi="宋体" w:hint="eastAsia"/>
        </w:rPr>
        <w:t>无法通过应用物质标准进行分类（第</w:t>
      </w:r>
      <w:r w:rsidRPr="002D4020">
        <w:rPr>
          <w:rFonts w:ascii="宋体" w:eastAsia="宋体" w:hAnsi="宋体"/>
        </w:rPr>
        <w:t>3.1.3.4</w:t>
      </w:r>
      <w:r>
        <w:rPr>
          <w:rFonts w:ascii="宋体" w:eastAsia="宋体" w:hAnsi="宋体" w:hint="eastAsia"/>
        </w:rPr>
        <w:t>节</w:t>
      </w:r>
      <w:r w:rsidRPr="002D4020">
        <w:rPr>
          <w:rFonts w:ascii="宋体" w:eastAsia="宋体" w:hAnsi="宋体"/>
        </w:rPr>
        <w:t>）。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D4020">
        <w:rPr>
          <w:rFonts w:ascii="宋体" w:eastAsia="宋体" w:hAnsi="宋体" w:hint="eastAsia"/>
        </w:rPr>
        <w:t>由于没有提供类似混合物</w:t>
      </w:r>
      <w:r>
        <w:rPr>
          <w:rFonts w:ascii="宋体" w:eastAsia="宋体" w:hAnsi="宋体"/>
        </w:rPr>
        <w:t>的数据，因此不能应用</w:t>
      </w:r>
      <w:r>
        <w:rPr>
          <w:rFonts w:ascii="宋体" w:eastAsia="宋体" w:hAnsi="宋体" w:hint="eastAsia"/>
        </w:rPr>
        <w:t>架桥</w:t>
      </w:r>
      <w:r w:rsidRPr="002D4020">
        <w:rPr>
          <w:rFonts w:ascii="宋体" w:eastAsia="宋体" w:hAnsi="宋体"/>
        </w:rPr>
        <w:t>原则进行分类(第3.1.3.5.1段)。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D4020">
        <w:rPr>
          <w:rFonts w:ascii="宋体" w:eastAsia="宋体" w:hAnsi="宋体" w:hint="eastAsia"/>
        </w:rPr>
        <w:t>可以考虑根据成分数据对混合物进行分类（第</w:t>
      </w:r>
      <w:r w:rsidRPr="002D4020">
        <w:rPr>
          <w:rFonts w:ascii="宋体" w:eastAsia="宋体" w:hAnsi="宋体"/>
        </w:rPr>
        <w:t>3.1.3.6</w:t>
      </w:r>
      <w:r>
        <w:rPr>
          <w:rFonts w:ascii="宋体" w:eastAsia="宋体" w:hAnsi="宋体" w:hint="eastAsia"/>
        </w:rPr>
        <w:t>节</w:t>
      </w:r>
      <w:r w:rsidRPr="002D4020">
        <w:rPr>
          <w:rFonts w:ascii="宋体" w:eastAsia="宋体" w:hAnsi="宋体"/>
        </w:rPr>
        <w:t>）。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D4020">
        <w:rPr>
          <w:rFonts w:ascii="宋体" w:eastAsia="宋体" w:hAnsi="宋体" w:hint="eastAsia"/>
        </w:rPr>
        <w:t>应用第</w:t>
      </w:r>
      <w:r w:rsidRPr="002D4020">
        <w:rPr>
          <w:rFonts w:ascii="宋体" w:eastAsia="宋体" w:hAnsi="宋体"/>
        </w:rPr>
        <w:t>3.1.3.3(a)</w:t>
      </w:r>
      <w:r>
        <w:rPr>
          <w:rFonts w:ascii="宋体" w:eastAsia="宋体" w:hAnsi="宋体" w:hint="eastAsia"/>
        </w:rPr>
        <w:t>节</w:t>
      </w:r>
      <w:r w:rsidRPr="002D4020">
        <w:rPr>
          <w:rFonts w:ascii="宋体" w:eastAsia="宋体" w:hAnsi="宋体"/>
        </w:rPr>
        <w:t>的“相关成分”概念意味着在应用第3.1.3.6</w:t>
      </w:r>
      <w:r>
        <w:rPr>
          <w:rFonts w:ascii="宋体" w:eastAsia="宋体" w:hAnsi="宋体" w:hint="eastAsia"/>
        </w:rPr>
        <w:t>节</w:t>
      </w:r>
      <w:r w:rsidRPr="002D4020">
        <w:rPr>
          <w:rFonts w:ascii="宋体" w:eastAsia="宋体" w:hAnsi="宋体"/>
        </w:rPr>
        <w:t>的标准时将考虑所有成分。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D4020">
        <w:rPr>
          <w:rFonts w:ascii="宋体" w:eastAsia="宋体" w:hAnsi="宋体" w:hint="eastAsia"/>
        </w:rPr>
        <w:t>所有成分都有数据，因此适用第</w:t>
      </w:r>
      <w:r w:rsidRPr="002D4020">
        <w:rPr>
          <w:rFonts w:ascii="宋体" w:eastAsia="宋体" w:hAnsi="宋体"/>
        </w:rPr>
        <w:t>3.1.3.6.1</w:t>
      </w:r>
      <w:r>
        <w:rPr>
          <w:rFonts w:ascii="宋体" w:eastAsia="宋体" w:hAnsi="宋体" w:hint="eastAsia"/>
        </w:rPr>
        <w:t>节</w:t>
      </w:r>
      <w:r w:rsidRPr="002D4020">
        <w:rPr>
          <w:rFonts w:ascii="宋体" w:eastAsia="宋体" w:hAnsi="宋体"/>
        </w:rPr>
        <w:t>中的标准。</w:t>
      </w:r>
    </w:p>
    <w:p w:rsidR="002D4020" w:rsidRPr="002D4020" w:rsidRDefault="002D4020" w:rsidP="002D402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D4020">
        <w:rPr>
          <w:rFonts w:ascii="宋体" w:eastAsia="宋体" w:hAnsi="宋体" w:hint="eastAsia"/>
        </w:rPr>
        <w:t>适用第</w:t>
      </w:r>
      <w:r w:rsidRPr="002D4020">
        <w:rPr>
          <w:rFonts w:ascii="宋体" w:eastAsia="宋体" w:hAnsi="宋体"/>
        </w:rPr>
        <w:t>3.1.3.6.1 (a)项:</w:t>
      </w:r>
    </w:p>
    <w:p w:rsidR="002D4020" w:rsidRPr="00C22443" w:rsidRDefault="00C22443" w:rsidP="00C22443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C22443">
        <w:rPr>
          <w:rFonts w:ascii="宋体" w:eastAsia="宋体" w:hAnsi="宋体"/>
        </w:rPr>
        <w:t>在ATE</w:t>
      </w:r>
      <w:r w:rsidRPr="00C22443">
        <w:rPr>
          <w:rFonts w:ascii="宋体" w:eastAsia="宋体" w:hAnsi="宋体"/>
          <w:vertAlign w:val="subscript"/>
        </w:rPr>
        <w:t>mixture</w:t>
      </w:r>
      <w:r w:rsidRPr="00C22443">
        <w:rPr>
          <w:rFonts w:ascii="宋体" w:eastAsia="宋体" w:hAnsi="宋体"/>
        </w:rPr>
        <w:t>的计算中</w:t>
      </w:r>
      <w:r>
        <w:rPr>
          <w:rFonts w:ascii="宋体" w:eastAsia="宋体" w:hAnsi="宋体" w:hint="eastAsia"/>
        </w:rPr>
        <w:t>要包含</w:t>
      </w:r>
      <w:r w:rsidRPr="00C22443">
        <w:rPr>
          <w:rFonts w:ascii="宋体" w:eastAsia="宋体" w:hAnsi="宋体" w:hint="eastAsia"/>
        </w:rPr>
        <w:t>成分</w:t>
      </w:r>
      <w:r w:rsidRPr="00C22443">
        <w:rPr>
          <w:rFonts w:ascii="宋体" w:eastAsia="宋体" w:hAnsi="宋体"/>
        </w:rPr>
        <w:t>1，因为它属于GHS的急性毒性类别。</w:t>
      </w:r>
    </w:p>
    <w:p w:rsidR="00C22443" w:rsidRPr="00C22443" w:rsidRDefault="00C22443" w:rsidP="00C22443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C22443">
        <w:rPr>
          <w:rFonts w:ascii="宋体" w:eastAsia="宋体" w:hAnsi="宋体" w:hint="eastAsia"/>
        </w:rPr>
        <w:t>在</w:t>
      </w:r>
      <w:r w:rsidRPr="00C22443">
        <w:rPr>
          <w:rFonts w:ascii="宋体" w:eastAsia="宋体" w:hAnsi="宋体"/>
        </w:rPr>
        <w:t>ATE</w:t>
      </w:r>
      <w:r w:rsidRPr="00C22443">
        <w:rPr>
          <w:rFonts w:ascii="宋体" w:eastAsia="宋体" w:hAnsi="宋体"/>
          <w:vertAlign w:val="subscript"/>
        </w:rPr>
        <w:t>mixture</w:t>
      </w:r>
      <w:r w:rsidRPr="00C22443">
        <w:rPr>
          <w:rFonts w:ascii="宋体" w:eastAsia="宋体" w:hAnsi="宋体"/>
        </w:rPr>
        <w:t>计算中可以忽略成分2和3，因为它们不属于GHS</w:t>
      </w:r>
      <w:r w:rsidRPr="00C22443">
        <w:rPr>
          <w:rFonts w:ascii="宋体" w:eastAsia="宋体" w:hAnsi="宋体" w:hint="eastAsia"/>
        </w:rPr>
        <w:t>急性毒性类别。</w:t>
      </w:r>
    </w:p>
    <w:p w:rsidR="002D4020" w:rsidRPr="00C22443" w:rsidRDefault="00C22443" w:rsidP="00C22443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22443">
        <w:rPr>
          <w:rFonts w:ascii="宋体" w:eastAsia="宋体" w:hAnsi="宋体" w:hint="eastAsia"/>
        </w:rPr>
        <w:t>适用第</w:t>
      </w:r>
      <w:r w:rsidRPr="00C22443">
        <w:rPr>
          <w:rFonts w:ascii="宋体" w:eastAsia="宋体" w:hAnsi="宋体"/>
        </w:rPr>
        <w:t>3.1.3.6.1 (c)</w:t>
      </w:r>
      <w:r>
        <w:rPr>
          <w:rFonts w:ascii="宋体" w:eastAsia="宋体" w:hAnsi="宋体" w:hint="eastAsia"/>
        </w:rPr>
        <w:t>项：</w:t>
      </w:r>
    </w:p>
    <w:p w:rsidR="00C22443" w:rsidRDefault="00C22443" w:rsidP="00C22443">
      <w:pPr>
        <w:pStyle w:val="a9"/>
        <w:ind w:left="420" w:firstLineChars="0" w:firstLine="0"/>
        <w:rPr>
          <w:rFonts w:ascii="宋体" w:eastAsia="宋体" w:hAnsi="宋体"/>
        </w:rPr>
      </w:pPr>
      <w:r w:rsidRPr="00C22443">
        <w:rPr>
          <w:rFonts w:ascii="宋体" w:eastAsia="宋体" w:hAnsi="宋体"/>
        </w:rPr>
        <w:t>在ATE</w:t>
      </w:r>
      <w:r w:rsidRPr="00C22443">
        <w:rPr>
          <w:rFonts w:ascii="宋体" w:eastAsia="宋体" w:hAnsi="宋体"/>
          <w:vertAlign w:val="subscript"/>
        </w:rPr>
        <w:t>mixture</w:t>
      </w:r>
      <w:r w:rsidRPr="00C22443">
        <w:rPr>
          <w:rFonts w:ascii="宋体" w:eastAsia="宋体" w:hAnsi="宋体"/>
        </w:rPr>
        <w:t>的计算中</w:t>
      </w:r>
      <w:r w:rsidRPr="00C22443">
        <w:rPr>
          <w:rFonts w:ascii="宋体" w:eastAsia="宋体" w:hAnsi="宋体" w:hint="eastAsia"/>
        </w:rPr>
        <w:t>成分</w:t>
      </w:r>
      <w:r w:rsidRPr="00C22443">
        <w:rPr>
          <w:rFonts w:ascii="宋体" w:eastAsia="宋体" w:hAnsi="宋体"/>
        </w:rPr>
        <w:t>4可以忽略不计，因为它有口服极限剂量试验数据，在2000mg /kg时没有显示急性毒性。</w:t>
      </w:r>
    </w:p>
    <w:p w:rsidR="00C22443" w:rsidRDefault="00C22443" w:rsidP="00C22443">
      <w:pPr>
        <w:pStyle w:val="a9"/>
        <w:ind w:left="420" w:firstLineChars="0" w:firstLine="0"/>
        <w:rPr>
          <w:rFonts w:ascii="宋体" w:eastAsia="宋体" w:hAnsi="宋体"/>
        </w:rPr>
      </w:pPr>
    </w:p>
    <w:p w:rsidR="00C22443" w:rsidRDefault="00C22443" w:rsidP="00C22443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</w:t>
      </w:r>
    </w:p>
    <w:p w:rsidR="00C22443" w:rsidRDefault="00C22443" w:rsidP="00C22443">
      <w:pPr>
        <w:rPr>
          <w:rFonts w:ascii="宋体" w:eastAsia="宋体" w:hAnsi="宋体"/>
        </w:rPr>
      </w:pPr>
    </w:p>
    <w:p w:rsidR="002D4020" w:rsidRPr="002D4020" w:rsidRDefault="00E91981" w:rsidP="00E91981">
      <w:pPr>
        <w:rPr>
          <w:rFonts w:ascii="宋体" w:eastAsia="宋体" w:hAnsi="宋体"/>
        </w:rPr>
      </w:pPr>
      <w:r>
        <w:rPr>
          <w:rStyle w:val="fontstyle01"/>
        </w:rPr>
        <w:t xml:space="preserve">(Ref Doc: ST/SG/AC.10/C.4/2008/23, Annex </w:t>
      </w:r>
      <w:bookmarkStart w:id="0" w:name="_GoBack"/>
      <w:bookmarkEnd w:id="0"/>
      <w:r>
        <w:rPr>
          <w:rStyle w:val="fontstyle01"/>
        </w:rPr>
        <w:t>2, Example 3)</w:t>
      </w:r>
    </w:p>
    <w:sectPr w:rsidR="002D4020" w:rsidRPr="002D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7E" w:rsidRDefault="002E497E" w:rsidP="002338D6">
      <w:r>
        <w:separator/>
      </w:r>
    </w:p>
  </w:endnote>
  <w:endnote w:type="continuationSeparator" w:id="0">
    <w:p w:rsidR="002E497E" w:rsidRDefault="002E497E" w:rsidP="002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7E" w:rsidRDefault="002E497E" w:rsidP="002338D6">
      <w:r>
        <w:separator/>
      </w:r>
    </w:p>
  </w:footnote>
  <w:footnote w:type="continuationSeparator" w:id="0">
    <w:p w:rsidR="002E497E" w:rsidRDefault="002E497E" w:rsidP="0023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63E1"/>
    <w:multiLevelType w:val="hybridMultilevel"/>
    <w:tmpl w:val="040A72C6"/>
    <w:lvl w:ilvl="0" w:tplc="78920EA6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hint="default"/>
        <w:color w:val="181616"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29268E"/>
    <w:multiLevelType w:val="hybridMultilevel"/>
    <w:tmpl w:val="83C491FC"/>
    <w:lvl w:ilvl="0" w:tplc="C75A7FC4">
      <w:start w:val="1"/>
      <w:numFmt w:val="lowerRoman"/>
      <w:lvlText w:val="(%1)"/>
      <w:lvlJc w:val="left"/>
      <w:pPr>
        <w:ind w:left="840" w:hanging="420"/>
      </w:pPr>
      <w:rPr>
        <w:rFonts w:ascii="Times New Roman" w:eastAsia="Times New Roman" w:hAnsi="Times New Roman" w:hint="default"/>
        <w:color w:val="181616"/>
        <w:w w:val="104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42"/>
    <w:rsid w:val="001B4965"/>
    <w:rsid w:val="002306D7"/>
    <w:rsid w:val="002338D6"/>
    <w:rsid w:val="002D4020"/>
    <w:rsid w:val="002E497E"/>
    <w:rsid w:val="004A2B95"/>
    <w:rsid w:val="005D56FB"/>
    <w:rsid w:val="00667477"/>
    <w:rsid w:val="00813291"/>
    <w:rsid w:val="00C22443"/>
    <w:rsid w:val="00CB3C3F"/>
    <w:rsid w:val="00D95622"/>
    <w:rsid w:val="00E33C42"/>
    <w:rsid w:val="00E91981"/>
    <w:rsid w:val="00EA6C42"/>
    <w:rsid w:val="00EB5B93"/>
    <w:rsid w:val="00EB648C"/>
    <w:rsid w:val="00E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C07E6-254B-4EF3-9DB5-C099BAB9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8D6"/>
    <w:rPr>
      <w:sz w:val="18"/>
      <w:szCs w:val="18"/>
    </w:rPr>
  </w:style>
  <w:style w:type="table" w:styleId="a7">
    <w:name w:val="Table Grid"/>
    <w:basedOn w:val="a1"/>
    <w:uiPriority w:val="39"/>
    <w:rsid w:val="0023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8D6"/>
    <w:rPr>
      <w:color w:val="808080"/>
    </w:rPr>
  </w:style>
  <w:style w:type="paragraph" w:styleId="a9">
    <w:name w:val="List Paragraph"/>
    <w:basedOn w:val="a"/>
    <w:uiPriority w:val="34"/>
    <w:qFormat/>
    <w:rsid w:val="002D4020"/>
    <w:pPr>
      <w:ind w:firstLineChars="200" w:firstLine="420"/>
    </w:pPr>
  </w:style>
  <w:style w:type="character" w:customStyle="1" w:styleId="fontstyle01">
    <w:name w:val="fontstyle01"/>
    <w:basedOn w:val="a0"/>
    <w:rsid w:val="00E9198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刘嘉伟</dc:creator>
  <cp:keywords/>
  <dc:description/>
  <cp:lastModifiedBy>刘婉卿</cp:lastModifiedBy>
  <cp:revision>11</cp:revision>
  <dcterms:created xsi:type="dcterms:W3CDTF">2023-06-12T06:32:00Z</dcterms:created>
  <dcterms:modified xsi:type="dcterms:W3CDTF">2023-12-12T06:38:00Z</dcterms:modified>
</cp:coreProperties>
</file>