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6F" w:rsidRDefault="00D6536F" w:rsidP="002818EE">
      <w:pPr>
        <w:pStyle w:val="1"/>
        <w:spacing w:line="360" w:lineRule="auto"/>
        <w:ind w:left="0"/>
        <w:jc w:val="center"/>
        <w:rPr>
          <w:rFonts w:eastAsia="宋体" w:cs="Times New Roman"/>
          <w:sz w:val="28"/>
          <w:szCs w:val="20"/>
          <w:lang w:eastAsia="zh-CN"/>
        </w:rPr>
      </w:pPr>
      <w:r w:rsidRPr="008579E8">
        <w:rPr>
          <w:rFonts w:eastAsia="宋体" w:cs="Times New Roman" w:hint="eastAsia"/>
          <w:sz w:val="28"/>
          <w:szCs w:val="20"/>
          <w:lang w:eastAsia="zh-CN"/>
        </w:rPr>
        <w:t>未知毒性数据混合物</w:t>
      </w:r>
      <w:r>
        <w:rPr>
          <w:rFonts w:eastAsia="宋体" w:cs="Times New Roman" w:hint="eastAsia"/>
          <w:sz w:val="28"/>
          <w:szCs w:val="20"/>
          <w:lang w:eastAsia="zh-CN"/>
        </w:rPr>
        <w:t>的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长期（慢性）水生</w:t>
      </w:r>
      <w:r>
        <w:rPr>
          <w:rFonts w:eastAsia="宋体" w:cs="Times New Roman" w:hint="eastAsia"/>
          <w:sz w:val="28"/>
          <w:szCs w:val="20"/>
          <w:lang w:eastAsia="zh-CN"/>
        </w:rPr>
        <w:t>危害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分类</w:t>
      </w:r>
    </w:p>
    <w:p w:rsidR="00AB00F3" w:rsidRPr="002818EE" w:rsidRDefault="00D6536F" w:rsidP="002818EE">
      <w:pPr>
        <w:pStyle w:val="1"/>
        <w:spacing w:line="360" w:lineRule="auto"/>
        <w:ind w:left="0"/>
        <w:jc w:val="center"/>
        <w:rPr>
          <w:rFonts w:eastAsia="宋体" w:cs="Times New Roman"/>
          <w:sz w:val="28"/>
          <w:szCs w:val="20"/>
          <w:lang w:eastAsia="zh-CN"/>
        </w:rPr>
      </w:pPr>
      <w:r>
        <w:rPr>
          <w:rFonts w:eastAsia="宋体" w:cs="Times New Roman" w:hint="eastAsia"/>
          <w:sz w:val="28"/>
          <w:szCs w:val="20"/>
          <w:lang w:eastAsia="zh-CN"/>
        </w:rPr>
        <w:t>——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采用分步法，</w:t>
      </w:r>
      <w:r w:rsidR="005C3C53">
        <w:rPr>
          <w:rFonts w:eastAsia="宋体" w:cs="Times New Roman" w:hint="eastAsia"/>
          <w:sz w:val="28"/>
          <w:szCs w:val="20"/>
          <w:lang w:eastAsia="zh-CN"/>
        </w:rPr>
        <w:t>对</w:t>
      </w:r>
      <w:r w:rsidR="005C3C53" w:rsidRPr="002818EE">
        <w:rPr>
          <w:rFonts w:eastAsia="宋体" w:cs="Times New Roman" w:hint="eastAsia"/>
          <w:sz w:val="28"/>
          <w:szCs w:val="20"/>
          <w:lang w:eastAsia="zh-CN"/>
        </w:rPr>
        <w:t>混合物</w:t>
      </w:r>
      <w:r w:rsidR="005C3C53">
        <w:rPr>
          <w:rFonts w:eastAsia="宋体" w:cs="Times New Roman" w:hint="eastAsia"/>
          <w:sz w:val="28"/>
          <w:szCs w:val="20"/>
          <w:lang w:eastAsia="zh-CN"/>
        </w:rPr>
        <w:t>中</w:t>
      </w:r>
      <w:r w:rsidR="005C3C53" w:rsidRPr="002818EE">
        <w:rPr>
          <w:rFonts w:eastAsia="宋体" w:cs="Times New Roman" w:hint="eastAsia"/>
          <w:sz w:val="28"/>
          <w:szCs w:val="20"/>
          <w:lang w:eastAsia="zh-CN"/>
        </w:rPr>
        <w:t>已知慢性毒性数据的部分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使用</w:t>
      </w:r>
      <w:r w:rsidR="00CB2BCF">
        <w:rPr>
          <w:rFonts w:eastAsia="宋体" w:cs="Times New Roman" w:hint="eastAsia"/>
          <w:sz w:val="28"/>
          <w:szCs w:val="20"/>
          <w:lang w:eastAsia="zh-CN"/>
        </w:rPr>
        <w:t>加和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公式，并将结果应用到</w:t>
      </w:r>
      <w:r w:rsidR="00A00B6C">
        <w:rPr>
          <w:rFonts w:eastAsia="宋体" w:cs="Times New Roman" w:hint="eastAsia"/>
          <w:sz w:val="28"/>
          <w:szCs w:val="20"/>
          <w:lang w:eastAsia="zh-CN"/>
        </w:rPr>
        <w:t>求</w:t>
      </w:r>
      <w:r w:rsidR="00CB2BCF">
        <w:rPr>
          <w:rFonts w:eastAsia="宋体" w:cs="Times New Roman" w:hint="eastAsia"/>
          <w:sz w:val="28"/>
          <w:szCs w:val="20"/>
          <w:lang w:eastAsia="zh-CN"/>
        </w:rPr>
        <w:t>和</w:t>
      </w:r>
      <w:r w:rsidR="00AB00F3" w:rsidRPr="002818EE">
        <w:rPr>
          <w:rFonts w:eastAsia="宋体" w:cs="Times New Roman" w:hint="eastAsia"/>
          <w:sz w:val="28"/>
          <w:szCs w:val="20"/>
          <w:lang w:eastAsia="zh-CN"/>
        </w:rPr>
        <w:t>法中</w:t>
      </w:r>
    </w:p>
    <w:p w:rsidR="009233B2" w:rsidRPr="00DB63D6" w:rsidRDefault="009233B2">
      <w:pPr>
        <w:spacing w:before="11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962C8A" w:rsidRPr="001155AA" w:rsidRDefault="00962C8A" w:rsidP="002818EE">
      <w:pPr>
        <w:pStyle w:val="a3"/>
        <w:spacing w:line="360" w:lineRule="auto"/>
        <w:ind w:left="0"/>
        <w:jc w:val="both"/>
        <w:rPr>
          <w:rFonts w:eastAsia="宋体"/>
          <w:b/>
          <w:sz w:val="24"/>
          <w:szCs w:val="20"/>
          <w:lang w:eastAsia="zh-CN"/>
        </w:rPr>
      </w:pPr>
      <w:r w:rsidRPr="001155AA">
        <w:rPr>
          <w:rFonts w:eastAsia="宋体" w:hint="eastAsia"/>
          <w:b/>
          <w:sz w:val="24"/>
          <w:szCs w:val="20"/>
          <w:lang w:eastAsia="zh-CN"/>
        </w:rPr>
        <w:t>组分信息</w:t>
      </w:r>
    </w:p>
    <w:p w:rsidR="009233B2" w:rsidRDefault="009233B2">
      <w:pPr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8485" w:type="dxa"/>
        <w:jc w:val="center"/>
        <w:tblLayout w:type="fixed"/>
        <w:tblLook w:val="01E0" w:firstRow="1" w:lastRow="1" w:firstColumn="1" w:lastColumn="1" w:noHBand="0" w:noVBand="0"/>
      </w:tblPr>
      <w:tblGrid>
        <w:gridCol w:w="1394"/>
        <w:gridCol w:w="1020"/>
        <w:gridCol w:w="2602"/>
        <w:gridCol w:w="802"/>
        <w:gridCol w:w="1198"/>
        <w:gridCol w:w="1469"/>
      </w:tblGrid>
      <w:tr w:rsidR="00962C8A" w:rsidRPr="002818EE" w:rsidTr="002818EE">
        <w:trPr>
          <w:trHeight w:val="737"/>
          <w:jc w:val="center"/>
        </w:trPr>
        <w:tc>
          <w:tcPr>
            <w:tcW w:w="1394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eastAsiaTheme="minorEastAsia" w:cs="Times New Roman"/>
                <w:b/>
                <w:bCs w:val="0"/>
                <w:sz w:val="22"/>
                <w:szCs w:val="22"/>
              </w:rPr>
            </w:pPr>
            <w:r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成分</w:t>
            </w:r>
          </w:p>
        </w:tc>
        <w:tc>
          <w:tcPr>
            <w:tcW w:w="1020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eastAsiaTheme="minorEastAsia" w:cs="Times New Roman"/>
                <w:b/>
                <w:bCs w:val="0"/>
                <w:sz w:val="22"/>
                <w:szCs w:val="22"/>
              </w:rPr>
            </w:pPr>
            <w:r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浓度</w:t>
            </w:r>
            <w:r w:rsidR="002818EE"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%</w:t>
            </w:r>
          </w:p>
        </w:tc>
        <w:tc>
          <w:tcPr>
            <w:tcW w:w="2602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慢性毒性数据</w:t>
            </w:r>
          </w:p>
        </w:tc>
        <w:tc>
          <w:tcPr>
            <w:tcW w:w="802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2818EE" w:rsidP="002818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NOEC</w:t>
            </w:r>
          </w:p>
          <w:p w:rsidR="00962C8A" w:rsidRPr="002818EE" w:rsidRDefault="00962C8A" w:rsidP="002818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或</w:t>
            </w:r>
            <w:r w:rsidRPr="002818EE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2818EE">
              <w:rPr>
                <w:rFonts w:ascii="Times New Roman" w:hAnsi="Times New Roman" w:cs="Times New Roman"/>
                <w:b/>
                <w:lang w:eastAsia="zh-CN"/>
              </w:rPr>
              <w:t>ECx</w:t>
            </w:r>
            <w:proofErr w:type="spellEnd"/>
          </w:p>
        </w:tc>
        <w:tc>
          <w:tcPr>
            <w:tcW w:w="1198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是否可以快速降解</w:t>
            </w:r>
          </w:p>
        </w:tc>
        <w:tc>
          <w:tcPr>
            <w:tcW w:w="1469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长期（慢性）水生危害分类</w:t>
            </w:r>
          </w:p>
        </w:tc>
      </w:tr>
      <w:tr w:rsidR="009233B2" w:rsidRPr="002818EE" w:rsidTr="002818EE">
        <w:trPr>
          <w:trHeight w:val="757"/>
          <w:jc w:val="center"/>
        </w:trPr>
        <w:tc>
          <w:tcPr>
            <w:tcW w:w="1394" w:type="dxa"/>
            <w:vMerge w:val="restart"/>
            <w:tcBorders>
              <w:top w:val="single" w:sz="4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9233B2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成分</w:t>
            </w:r>
            <w:r w:rsidRPr="002818EE">
              <w:rPr>
                <w:rFonts w:cs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9233B2" w:rsidRPr="002818EE" w:rsidRDefault="000910B6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15</w:t>
            </w:r>
          </w:p>
        </w:tc>
        <w:tc>
          <w:tcPr>
            <w:tcW w:w="2602" w:type="dxa"/>
            <w:tcBorders>
              <w:top w:val="single" w:sz="4" w:space="0" w:color="080303"/>
              <w:left w:val="single" w:sz="6" w:space="0" w:color="080303"/>
              <w:bottom w:val="single" w:sz="4" w:space="0" w:color="181818"/>
              <w:right w:val="single" w:sz="6" w:space="0" w:color="080303"/>
            </w:tcBorders>
            <w:vAlign w:val="center"/>
          </w:tcPr>
          <w:p w:rsidR="009233B2" w:rsidRPr="002818EE" w:rsidRDefault="000910B6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NOEC</w:t>
            </w:r>
            <w:r w:rsidR="002818EE" w:rsidRPr="002818EE">
              <w:rPr>
                <w:rFonts w:cs="Times New Roman"/>
              </w:rPr>
              <w:t>（</w:t>
            </w:r>
            <w:r w:rsidR="00962C8A" w:rsidRPr="002818EE">
              <w:rPr>
                <w:rFonts w:cs="Times New Roman"/>
              </w:rPr>
              <w:t>28</w:t>
            </w:r>
            <w:r w:rsidR="00962C8A" w:rsidRPr="002818EE">
              <w:rPr>
                <w:rFonts w:cs="Times New Roman"/>
              </w:rPr>
              <w:t>天，对鱼类</w:t>
            </w:r>
            <w:r w:rsidR="002818EE" w:rsidRPr="002818EE">
              <w:rPr>
                <w:rFonts w:cs="Times New Roman"/>
              </w:rPr>
              <w:t>）</w:t>
            </w:r>
          </w:p>
        </w:tc>
        <w:tc>
          <w:tcPr>
            <w:tcW w:w="802" w:type="dxa"/>
            <w:tcBorders>
              <w:top w:val="single" w:sz="4" w:space="0" w:color="080303"/>
              <w:left w:val="single" w:sz="6" w:space="0" w:color="080303"/>
              <w:bottom w:val="single" w:sz="4" w:space="0" w:color="181818"/>
              <w:right w:val="single" w:sz="6" w:space="0" w:color="080303"/>
            </w:tcBorders>
            <w:vAlign w:val="center"/>
          </w:tcPr>
          <w:p w:rsidR="009233B2" w:rsidRPr="002818EE" w:rsidRDefault="000910B6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4.1</w:t>
            </w:r>
          </w:p>
        </w:tc>
        <w:tc>
          <w:tcPr>
            <w:tcW w:w="1198" w:type="dxa"/>
            <w:vMerge w:val="restart"/>
            <w:tcBorders>
              <w:top w:val="single" w:sz="4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9233B2" w:rsidRPr="002818EE" w:rsidRDefault="002818EE" w:rsidP="002818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是</w:t>
            </w:r>
          </w:p>
        </w:tc>
        <w:tc>
          <w:tcPr>
            <w:tcW w:w="1469" w:type="dxa"/>
            <w:vMerge w:val="restart"/>
            <w:tcBorders>
              <w:top w:val="single" w:sz="4" w:space="0" w:color="080303"/>
              <w:left w:val="single" w:sz="4" w:space="0" w:color="080303"/>
              <w:right w:val="single" w:sz="4" w:space="0" w:color="080303"/>
            </w:tcBorders>
            <w:vAlign w:val="center"/>
          </w:tcPr>
          <w:p w:rsidR="009233B2" w:rsidRPr="002818EE" w:rsidRDefault="002818EE" w:rsidP="002818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</w:p>
        </w:tc>
      </w:tr>
      <w:tr w:rsidR="009233B2" w:rsidRPr="002818EE" w:rsidTr="002818EE">
        <w:trPr>
          <w:trHeight w:val="757"/>
          <w:jc w:val="center"/>
        </w:trPr>
        <w:tc>
          <w:tcPr>
            <w:tcW w:w="1394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33B2" w:rsidRPr="002818EE" w:rsidRDefault="009233B2" w:rsidP="002818EE">
            <w:pPr>
              <w:pStyle w:val="ac"/>
              <w:rPr>
                <w:rFonts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33B2" w:rsidRPr="002818EE" w:rsidRDefault="009233B2" w:rsidP="002818EE">
            <w:pPr>
              <w:pStyle w:val="ac"/>
              <w:rPr>
                <w:rFonts w:cs="Times New Roman"/>
              </w:rPr>
            </w:pPr>
          </w:p>
        </w:tc>
        <w:tc>
          <w:tcPr>
            <w:tcW w:w="2602" w:type="dxa"/>
            <w:tcBorders>
              <w:top w:val="single" w:sz="4" w:space="0" w:color="181818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33B2" w:rsidRPr="002818EE" w:rsidRDefault="000910B6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NOEC</w:t>
            </w:r>
            <w:r w:rsidR="002818EE" w:rsidRPr="002818EE">
              <w:rPr>
                <w:rFonts w:cs="Times New Roman"/>
              </w:rPr>
              <w:t>（</w:t>
            </w:r>
            <w:r w:rsidR="00962C8A" w:rsidRPr="002818EE">
              <w:rPr>
                <w:rFonts w:cs="Times New Roman"/>
              </w:rPr>
              <w:t>21</w:t>
            </w:r>
            <w:r w:rsidR="00962C8A" w:rsidRPr="002818EE">
              <w:rPr>
                <w:rFonts w:cs="Times New Roman"/>
              </w:rPr>
              <w:t>天，对甲壳</w:t>
            </w:r>
            <w:proofErr w:type="gramStart"/>
            <w:r w:rsidR="00962C8A" w:rsidRPr="002818EE">
              <w:rPr>
                <w:rFonts w:cs="Times New Roman"/>
              </w:rPr>
              <w:t>纲</w:t>
            </w:r>
            <w:proofErr w:type="gramEnd"/>
            <w:r w:rsidR="00962C8A" w:rsidRPr="002818EE">
              <w:rPr>
                <w:rFonts w:cs="Times New Roman"/>
              </w:rPr>
              <w:t>动物</w:t>
            </w:r>
            <w:r w:rsidR="002818EE" w:rsidRPr="002818EE">
              <w:rPr>
                <w:rFonts w:cs="Times New Roman"/>
              </w:rPr>
              <w:t>）</w:t>
            </w:r>
          </w:p>
        </w:tc>
        <w:tc>
          <w:tcPr>
            <w:tcW w:w="802" w:type="dxa"/>
            <w:tcBorders>
              <w:top w:val="single" w:sz="4" w:space="0" w:color="181818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33B2" w:rsidRPr="002818EE" w:rsidRDefault="000910B6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0.13</w:t>
            </w:r>
          </w:p>
        </w:tc>
        <w:tc>
          <w:tcPr>
            <w:tcW w:w="1198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33B2" w:rsidRPr="002818EE" w:rsidRDefault="009233B2" w:rsidP="002818EE">
            <w:pPr>
              <w:pStyle w:val="ac"/>
              <w:rPr>
                <w:rFonts w:cs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33B2" w:rsidRPr="002818EE" w:rsidRDefault="009233B2" w:rsidP="002818EE">
            <w:pPr>
              <w:pStyle w:val="ac"/>
              <w:rPr>
                <w:rFonts w:cs="Times New Roman"/>
              </w:rPr>
            </w:pPr>
          </w:p>
        </w:tc>
      </w:tr>
      <w:tr w:rsidR="00962C8A" w:rsidRPr="002818EE" w:rsidTr="002818EE">
        <w:trPr>
          <w:trHeight w:val="757"/>
          <w:jc w:val="center"/>
        </w:trPr>
        <w:tc>
          <w:tcPr>
            <w:tcW w:w="1394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成分</w:t>
            </w:r>
            <w:r w:rsidRPr="002818EE">
              <w:rPr>
                <w:rFonts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5</w:t>
            </w:r>
          </w:p>
        </w:tc>
        <w:tc>
          <w:tcPr>
            <w:tcW w:w="260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NOEC</w:t>
            </w:r>
            <w:r w:rsidR="002818EE" w:rsidRPr="002818EE">
              <w:rPr>
                <w:rFonts w:cs="Times New Roman"/>
              </w:rPr>
              <w:t>（对藻类）</w:t>
            </w:r>
          </w:p>
        </w:tc>
        <w:tc>
          <w:tcPr>
            <w:tcW w:w="80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0.8</w:t>
            </w:r>
          </w:p>
        </w:tc>
        <w:tc>
          <w:tcPr>
            <w:tcW w:w="1198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2818EE" w:rsidP="002818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否</w:t>
            </w:r>
          </w:p>
        </w:tc>
        <w:tc>
          <w:tcPr>
            <w:tcW w:w="1469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962C8A" w:rsidRPr="002818EE" w:rsidRDefault="002818EE" w:rsidP="002818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</w:p>
        </w:tc>
      </w:tr>
      <w:tr w:rsidR="00962C8A" w:rsidRPr="002818EE" w:rsidTr="002818EE">
        <w:trPr>
          <w:trHeight w:val="757"/>
          <w:jc w:val="center"/>
        </w:trPr>
        <w:tc>
          <w:tcPr>
            <w:tcW w:w="1394" w:type="dxa"/>
            <w:tcBorders>
              <w:top w:val="single" w:sz="4" w:space="0" w:color="080303"/>
              <w:left w:val="single" w:sz="6" w:space="0" w:color="080303"/>
              <w:bottom w:val="single" w:sz="2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成分</w:t>
            </w:r>
            <w:r w:rsidRPr="002818EE">
              <w:rPr>
                <w:rFonts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80303"/>
              <w:left w:val="single" w:sz="4" w:space="0" w:color="080303"/>
              <w:bottom w:val="single" w:sz="2" w:space="0" w:color="080303"/>
              <w:right w:val="single" w:sz="6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80</w:t>
            </w:r>
          </w:p>
        </w:tc>
        <w:tc>
          <w:tcPr>
            <w:tcW w:w="4602" w:type="dxa"/>
            <w:gridSpan w:val="3"/>
            <w:tcBorders>
              <w:top w:val="single" w:sz="4" w:space="0" w:color="080303"/>
              <w:left w:val="single" w:sz="6" w:space="0" w:color="080303"/>
              <w:bottom w:val="single" w:sz="2" w:space="0" w:color="080303"/>
              <w:right w:val="single" w:sz="4" w:space="0" w:color="080303"/>
            </w:tcBorders>
            <w:vAlign w:val="center"/>
          </w:tcPr>
          <w:p w:rsidR="00962C8A" w:rsidRPr="002818EE" w:rsidRDefault="00962C8A" w:rsidP="002818EE">
            <w:pPr>
              <w:pStyle w:val="ac"/>
              <w:rPr>
                <w:rFonts w:cs="Times New Roman"/>
              </w:rPr>
            </w:pPr>
            <w:r w:rsidRPr="002818EE">
              <w:rPr>
                <w:rFonts w:cs="Times New Roman"/>
              </w:rPr>
              <w:t>-</w:t>
            </w:r>
          </w:p>
        </w:tc>
        <w:tc>
          <w:tcPr>
            <w:tcW w:w="1469" w:type="dxa"/>
            <w:tcBorders>
              <w:top w:val="single" w:sz="4" w:space="0" w:color="080303"/>
              <w:left w:val="single" w:sz="4" w:space="0" w:color="080303"/>
              <w:bottom w:val="single" w:sz="2" w:space="0" w:color="080303"/>
              <w:right w:val="single" w:sz="4" w:space="0" w:color="080303"/>
            </w:tcBorders>
            <w:vAlign w:val="center"/>
          </w:tcPr>
          <w:p w:rsidR="00962C8A" w:rsidRPr="002818EE" w:rsidRDefault="002818EE" w:rsidP="002818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类别</w:t>
            </w:r>
            <w:r>
              <w:rPr>
                <w:rFonts w:cs="Times New Roman" w:hint="eastAsia"/>
              </w:rPr>
              <w:t>3</w:t>
            </w:r>
          </w:p>
        </w:tc>
      </w:tr>
    </w:tbl>
    <w:p w:rsidR="009233B2" w:rsidRDefault="009233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9233B2" w:rsidRPr="002818EE" w:rsidRDefault="008365D0" w:rsidP="002818EE">
      <w:pPr>
        <w:pStyle w:val="a3"/>
        <w:spacing w:before="0" w:line="360" w:lineRule="auto"/>
        <w:ind w:left="0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答：</w:t>
      </w:r>
    </w:p>
    <w:p w:rsidR="002818EE" w:rsidRPr="00B04562" w:rsidRDefault="002818EE" w:rsidP="002818EE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长期（慢性）水生危害</w:t>
      </w:r>
      <w:r w:rsidRPr="00B04562">
        <w:rPr>
          <w:rFonts w:eastAsia="宋体" w:cs="Times New Roman"/>
          <w:sz w:val="24"/>
          <w:szCs w:val="20"/>
          <w:lang w:eastAsia="zh-CN"/>
        </w:rPr>
        <w:t>-</w:t>
      </w:r>
      <w:r w:rsidRPr="00B04562">
        <w:rPr>
          <w:rFonts w:eastAsia="宋体" w:cs="Times New Roman"/>
          <w:sz w:val="24"/>
          <w:szCs w:val="20"/>
          <w:lang w:eastAsia="zh-CN"/>
        </w:rPr>
        <w:t>慢性类别</w:t>
      </w:r>
      <w:r w:rsidRPr="00B04562">
        <w:rPr>
          <w:rFonts w:eastAsia="宋体" w:cs="Times New Roman"/>
          <w:sz w:val="24"/>
          <w:szCs w:val="20"/>
          <w:lang w:eastAsia="zh-CN"/>
        </w:rPr>
        <w:t>4</w:t>
      </w:r>
      <w:r w:rsidRPr="00B04562">
        <w:rPr>
          <w:rFonts w:eastAsia="宋体" w:cs="Times New Roman"/>
          <w:sz w:val="24"/>
          <w:szCs w:val="20"/>
          <w:lang w:eastAsia="zh-CN"/>
        </w:rPr>
        <w:t>，根据：</w:t>
      </w:r>
    </w:p>
    <w:p w:rsidR="009233B2" w:rsidRPr="002818EE" w:rsidRDefault="002818EE" w:rsidP="00624C9D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r w:rsidRPr="002818EE">
        <w:rPr>
          <w:rFonts w:eastAsia="宋体" w:cs="Times New Roman" w:hint="eastAsia"/>
          <w:sz w:val="24"/>
          <w:szCs w:val="20"/>
          <w:lang w:eastAsia="zh-CN"/>
        </w:rPr>
        <w:t>第一步：</w:t>
      </w:r>
    </w:p>
    <w:p w:rsidR="002818EE" w:rsidRPr="002818EE" w:rsidRDefault="002818EE" w:rsidP="000429FB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2818EE">
        <w:rPr>
          <w:rFonts w:eastAsia="宋体" w:cs="Times New Roman" w:hint="eastAsia"/>
          <w:sz w:val="24"/>
          <w:szCs w:val="20"/>
          <w:lang w:eastAsia="zh-CN"/>
        </w:rPr>
        <w:t>应用</w:t>
      </w:r>
      <w:r>
        <w:rPr>
          <w:rFonts w:eastAsia="宋体" w:cs="Times New Roman" w:hint="eastAsia"/>
          <w:sz w:val="24"/>
          <w:szCs w:val="20"/>
          <w:lang w:eastAsia="zh-CN"/>
        </w:rPr>
        <w:t>标准</w:t>
      </w:r>
      <w:r w:rsidRPr="002818EE">
        <w:rPr>
          <w:rFonts w:eastAsia="宋体" w:cs="Times New Roman" w:hint="eastAsia"/>
          <w:sz w:val="24"/>
          <w:szCs w:val="20"/>
          <w:lang w:eastAsia="zh-CN"/>
        </w:rPr>
        <w:t>4.1.3.5.2(b)</w:t>
      </w:r>
      <w:r w:rsidRPr="002818EE">
        <w:rPr>
          <w:rFonts w:eastAsia="宋体" w:cs="Times New Roman" w:hint="eastAsia"/>
          <w:sz w:val="24"/>
          <w:szCs w:val="20"/>
          <w:lang w:eastAsia="zh-CN"/>
        </w:rPr>
        <w:t>中慢性水生</w:t>
      </w:r>
      <w:r>
        <w:rPr>
          <w:rFonts w:eastAsia="宋体" w:cs="Times New Roman" w:hint="eastAsia"/>
          <w:sz w:val="24"/>
          <w:szCs w:val="20"/>
          <w:lang w:eastAsia="zh-CN"/>
        </w:rPr>
        <w:t>毒性的加和公式：</w:t>
      </w:r>
    </w:p>
    <w:p w:rsidR="002818EE" w:rsidRDefault="005A60C4" w:rsidP="002818EE">
      <w:pPr>
        <w:pStyle w:val="a3"/>
        <w:spacing w:before="0" w:line="360" w:lineRule="auto"/>
        <w:ind w:left="0"/>
        <w:rPr>
          <w:color w:val="1C1A1A"/>
        </w:rPr>
      </w:pPr>
      <m:oMathPara>
        <m:oMath>
          <m:f>
            <m:fPr>
              <m:ctrlPr>
                <w:rPr>
                  <w:rFonts w:ascii="Cambria Math" w:hAnsi="Cambria Math"/>
                  <w:color w:val="1C1A1A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1C1A1A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color w:val="1C1A1A"/>
                    </w:rPr>
                    <m:t>C</m:t>
                  </m:r>
                  <m:r>
                    <w:rPr>
                      <w:rFonts w:ascii="Cambria Math" w:eastAsiaTheme="minorEastAsia" w:hAnsi="Cambria Math" w:hint="eastAsia"/>
                      <w:color w:val="1C1A1A"/>
                      <w:lang w:eastAsia="zh-CN"/>
                    </w:rPr>
                    <m:t>i</m:t>
                  </m:r>
                </m:e>
              </m:nary>
              <m:r>
                <w:rPr>
                  <w:rFonts w:ascii="Cambria Math" w:eastAsiaTheme="minorEastAsia" w:hAnsi="Cambria Math" w:hint="eastAsia"/>
                  <w:color w:val="1C1A1A"/>
                  <w:lang w:eastAsia="zh-CN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1C1A1A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color w:val="1C1A1A"/>
                    </w:rPr>
                    <m:t>Cj</m:t>
                  </m:r>
                </m:e>
              </m:nary>
            </m:num>
            <m:den>
              <m:r>
                <w:rPr>
                  <w:rFonts w:ascii="Cambria Math" w:hAnsi="Cambria Math"/>
                  <w:color w:val="1C1A1A"/>
                </w:rPr>
                <m:t>EqNOE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1C1A1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C1A1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1C1A1A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 w:hint="eastAsia"/>
              <w:color w:val="1C1A1A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color w:val="1C1A1A"/>
                </w:rPr>
              </m:ctrlPr>
            </m:naryPr>
            <m:sub>
              <m:r>
                <w:rPr>
                  <w:rFonts w:ascii="Cambria Math" w:hAnsi="Cambria Math"/>
                  <w:color w:val="1C1A1A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color w:val="1C1A1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C1A1A"/>
                    </w:rPr>
                    <m:t>Ci</m:t>
                  </m:r>
                </m:num>
                <m:den>
                  <m:r>
                    <w:rPr>
                      <w:rFonts w:ascii="Cambria Math" w:hAnsi="Cambria Math"/>
                      <w:color w:val="1C1A1A"/>
                    </w:rPr>
                    <m:t>NOECi</m:t>
                  </m:r>
                </m:den>
              </m:f>
            </m:e>
          </m:nary>
          <m:r>
            <w:rPr>
              <w:rFonts w:ascii="Cambria Math" w:hAnsi="Cambria Math"/>
              <w:color w:val="1C1A1A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color w:val="1C1A1A"/>
                </w:rPr>
              </m:ctrlPr>
            </m:naryPr>
            <m:sub>
              <m:r>
                <w:rPr>
                  <w:rFonts w:ascii="Cambria Math" w:hAnsi="Cambria Math"/>
                  <w:color w:val="1C1A1A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color w:val="1C1A1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C1A1A"/>
                    </w:rPr>
                    <m:t>Cj</m:t>
                  </m:r>
                </m:num>
                <m:den>
                  <m:r>
                    <w:rPr>
                      <w:rFonts w:ascii="Cambria Math" w:hAnsi="Cambria Math"/>
                      <w:color w:val="1C1A1A"/>
                    </w:rPr>
                    <m:t>0.1×NOECj</m:t>
                  </m:r>
                </m:den>
              </m:f>
            </m:e>
          </m:nary>
        </m:oMath>
      </m:oMathPara>
    </w:p>
    <w:p w:rsidR="009233B2" w:rsidRPr="005A7A55" w:rsidRDefault="005A7A55" w:rsidP="000429FB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其中</w:t>
      </w:r>
      <w:r w:rsidR="000429FB">
        <w:rPr>
          <w:rFonts w:eastAsia="宋体" w:cs="Times New Roman" w:hint="eastAsia"/>
          <w:sz w:val="24"/>
          <w:szCs w:val="20"/>
          <w:lang w:eastAsia="zh-CN"/>
        </w:rPr>
        <w:t>：</w:t>
      </w:r>
    </w:p>
    <w:p w:rsidR="005A7A55" w:rsidRPr="005A7A55" w:rsidRDefault="005A7A55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C</w:t>
      </w:r>
      <w:r w:rsidRPr="005A7A55">
        <w:rPr>
          <w:rFonts w:eastAsia="宋体" w:cs="Times New Roman" w:hint="eastAsia"/>
          <w:sz w:val="24"/>
          <w:szCs w:val="20"/>
          <w:vertAlign w:val="subscript"/>
          <w:lang w:eastAsia="zh-CN"/>
        </w:rPr>
        <w:t>i</w:t>
      </w:r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 w:rsidRPr="005A7A55">
        <w:rPr>
          <w:rFonts w:eastAsia="宋体" w:cs="Times New Roman"/>
          <w:sz w:val="24"/>
          <w:szCs w:val="20"/>
          <w:lang w:eastAsia="zh-CN"/>
        </w:rPr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的浓度（质量百分比），包括可快速降解的成分；</w:t>
      </w:r>
    </w:p>
    <w:p w:rsidR="005A7A55" w:rsidRPr="005A7A55" w:rsidRDefault="005A7A55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C</w:t>
      </w:r>
      <w:r w:rsidRPr="005A7A55">
        <w:rPr>
          <w:rFonts w:eastAsia="宋体" w:cs="Times New Roman"/>
          <w:sz w:val="24"/>
          <w:szCs w:val="20"/>
          <w:vertAlign w:val="subscript"/>
          <w:lang w:eastAsia="zh-CN"/>
        </w:rPr>
        <w:t>j</w:t>
      </w:r>
      <w:proofErr w:type="spellEnd"/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 w:rsidRPr="005A7A55">
        <w:rPr>
          <w:rFonts w:eastAsia="宋体" w:cs="Times New Roman"/>
          <w:sz w:val="24"/>
          <w:szCs w:val="20"/>
          <w:lang w:eastAsia="zh-CN"/>
        </w:rPr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r>
        <w:rPr>
          <w:rFonts w:eastAsia="宋体" w:cs="Times New Roman" w:hint="eastAsia"/>
          <w:sz w:val="24"/>
          <w:szCs w:val="20"/>
          <w:lang w:eastAsia="zh-CN"/>
        </w:rPr>
        <w:t>j</w:t>
      </w:r>
      <w:r>
        <w:rPr>
          <w:rFonts w:eastAsia="宋体" w:cs="Times New Roman" w:hint="eastAsia"/>
          <w:sz w:val="24"/>
          <w:szCs w:val="20"/>
          <w:lang w:eastAsia="zh-CN"/>
        </w:rPr>
        <w:t>的浓度（质量百分比），包括不可快速降解的成分；</w:t>
      </w:r>
    </w:p>
    <w:p w:rsidR="005A7A55" w:rsidRPr="005A7A55" w:rsidRDefault="005A7A55" w:rsidP="00E23F43">
      <w:pPr>
        <w:pStyle w:val="a3"/>
        <w:spacing w:before="0" w:line="360" w:lineRule="auto"/>
        <w:ind w:left="1440" w:hangingChars="600" w:hanging="1440"/>
        <w:rPr>
          <w:rFonts w:eastAsia="宋体" w:cs="Times New Roman"/>
          <w:sz w:val="24"/>
          <w:szCs w:val="20"/>
          <w:lang w:eastAsia="zh-CN"/>
        </w:rPr>
      </w:pP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>OEC</w:t>
      </w:r>
      <w:r w:rsidRPr="005A7A55">
        <w:rPr>
          <w:rFonts w:eastAsia="宋体" w:cs="Times New Roman"/>
          <w:sz w:val="24"/>
          <w:szCs w:val="20"/>
          <w:vertAlign w:val="subscript"/>
          <w:lang w:eastAsia="zh-CN"/>
        </w:rPr>
        <w:t>i</w:t>
      </w:r>
      <w:proofErr w:type="spellEnd"/>
      <w:r>
        <w:rPr>
          <w:rFonts w:eastAsia="宋体" w:cs="Times New Roman"/>
          <w:sz w:val="24"/>
          <w:szCs w:val="20"/>
          <w:lang w:eastAsia="zh-CN"/>
        </w:rPr>
        <w:tab/>
      </w:r>
      <w:r w:rsidRPr="005A7A55">
        <w:rPr>
          <w:rFonts w:eastAsia="宋体" w:cs="Times New Roman"/>
          <w:sz w:val="24"/>
          <w:szCs w:val="20"/>
          <w:lang w:eastAsia="zh-CN"/>
        </w:rPr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，包括可快速降解的成分的</w:t>
      </w:r>
      <w:r>
        <w:rPr>
          <w:rFonts w:eastAsia="宋体" w:cs="Times New Roman" w:hint="eastAsia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>OEC</w:t>
      </w:r>
      <w:r>
        <w:rPr>
          <w:rFonts w:eastAsia="宋体" w:cs="Times New Roman" w:hint="eastAsia"/>
          <w:sz w:val="24"/>
          <w:szCs w:val="20"/>
          <w:lang w:eastAsia="zh-CN"/>
        </w:rPr>
        <w:t>（或其他承认的慢性毒性测量标准），单位为</w:t>
      </w:r>
      <w:r>
        <w:rPr>
          <w:rFonts w:eastAsia="宋体" w:cs="Times New Roman" w:hint="eastAsia"/>
          <w:sz w:val="24"/>
          <w:szCs w:val="20"/>
          <w:lang w:eastAsia="zh-CN"/>
        </w:rPr>
        <w:t>mg</w:t>
      </w:r>
      <w:r>
        <w:rPr>
          <w:rFonts w:eastAsia="宋体" w:cs="Times New Roman"/>
          <w:sz w:val="24"/>
          <w:szCs w:val="20"/>
          <w:lang w:eastAsia="zh-CN"/>
        </w:rPr>
        <w:t>/</w:t>
      </w:r>
      <w:r>
        <w:rPr>
          <w:rFonts w:eastAsia="宋体" w:cs="Times New Roman" w:hint="eastAsia"/>
          <w:sz w:val="24"/>
          <w:szCs w:val="20"/>
          <w:lang w:eastAsia="zh-CN"/>
        </w:rPr>
        <w:t>l</w:t>
      </w:r>
      <w:r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5A7A55" w:rsidRPr="005A7A55" w:rsidRDefault="005A7A55" w:rsidP="00E23F43">
      <w:pPr>
        <w:pStyle w:val="a3"/>
        <w:spacing w:before="0" w:line="360" w:lineRule="auto"/>
        <w:ind w:left="1440" w:hangingChars="600" w:hanging="1440"/>
        <w:rPr>
          <w:rFonts w:eastAsia="宋体" w:cs="Times New Roman"/>
          <w:sz w:val="24"/>
          <w:szCs w:val="20"/>
          <w:lang w:eastAsia="zh-CN"/>
        </w:rPr>
      </w:pP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>OEC</w:t>
      </w:r>
      <w:r w:rsidRPr="005A7A55">
        <w:rPr>
          <w:rFonts w:eastAsia="宋体" w:cs="Times New Roman"/>
          <w:sz w:val="24"/>
          <w:szCs w:val="20"/>
          <w:vertAlign w:val="subscript"/>
          <w:lang w:eastAsia="zh-CN"/>
        </w:rPr>
        <w:t>j</w:t>
      </w:r>
      <w:proofErr w:type="spellEnd"/>
      <w:r>
        <w:rPr>
          <w:rFonts w:eastAsia="宋体" w:cs="Times New Roman"/>
          <w:sz w:val="24"/>
          <w:szCs w:val="20"/>
          <w:lang w:eastAsia="zh-CN"/>
        </w:rPr>
        <w:tab/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r>
        <w:rPr>
          <w:rFonts w:eastAsia="宋体" w:cs="Times New Roman" w:hint="eastAsia"/>
          <w:sz w:val="24"/>
          <w:szCs w:val="20"/>
          <w:lang w:eastAsia="zh-CN"/>
        </w:rPr>
        <w:t>j</w:t>
      </w:r>
      <w:r>
        <w:rPr>
          <w:rFonts w:eastAsia="宋体" w:cs="Times New Roman" w:hint="eastAsia"/>
          <w:sz w:val="24"/>
          <w:szCs w:val="20"/>
          <w:lang w:eastAsia="zh-CN"/>
        </w:rPr>
        <w:t>，包括不可快速降解的成分的</w:t>
      </w:r>
      <w:r>
        <w:rPr>
          <w:rFonts w:eastAsia="宋体" w:cs="Times New Roman" w:hint="eastAsia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>OEC</w:t>
      </w:r>
      <w:r>
        <w:rPr>
          <w:rFonts w:eastAsia="宋体" w:cs="Times New Roman" w:hint="eastAsia"/>
          <w:sz w:val="24"/>
          <w:szCs w:val="20"/>
          <w:lang w:eastAsia="zh-CN"/>
        </w:rPr>
        <w:t>（或其他承认的慢性毒性测量标准），单位为</w:t>
      </w:r>
      <w:r>
        <w:rPr>
          <w:rFonts w:eastAsia="宋体" w:cs="Times New Roman" w:hint="eastAsia"/>
          <w:sz w:val="24"/>
          <w:szCs w:val="20"/>
          <w:lang w:eastAsia="zh-CN"/>
        </w:rPr>
        <w:t>mg</w:t>
      </w:r>
      <w:r>
        <w:rPr>
          <w:rFonts w:eastAsia="宋体" w:cs="Times New Roman"/>
          <w:sz w:val="24"/>
          <w:szCs w:val="20"/>
          <w:lang w:eastAsia="zh-CN"/>
        </w:rPr>
        <w:t>/</w:t>
      </w:r>
      <w:r>
        <w:rPr>
          <w:rFonts w:eastAsia="宋体" w:cs="Times New Roman" w:hint="eastAsia"/>
          <w:sz w:val="24"/>
          <w:szCs w:val="20"/>
          <w:lang w:eastAsia="zh-CN"/>
        </w:rPr>
        <w:t>l</w:t>
      </w:r>
      <w:r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5A7A55" w:rsidRPr="005A7A55" w:rsidRDefault="005A7A55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ab/>
      </w:r>
      <w:r>
        <w:rPr>
          <w:rFonts w:eastAsia="宋体" w:cs="Times New Roman"/>
          <w:sz w:val="24"/>
          <w:szCs w:val="20"/>
          <w:lang w:eastAsia="zh-CN"/>
        </w:rPr>
        <w:tab/>
        <w:t>=</w:t>
      </w:r>
      <w:r>
        <w:rPr>
          <w:rFonts w:eastAsia="宋体" w:cs="Times New Roman" w:hint="eastAsia"/>
          <w:sz w:val="24"/>
          <w:szCs w:val="20"/>
          <w:lang w:eastAsia="zh-CN"/>
        </w:rPr>
        <w:t>所有成分数量，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和</w:t>
      </w:r>
      <w:r>
        <w:rPr>
          <w:rFonts w:eastAsia="宋体" w:cs="Times New Roman" w:hint="eastAsia"/>
          <w:sz w:val="24"/>
          <w:szCs w:val="20"/>
          <w:lang w:eastAsia="zh-CN"/>
        </w:rPr>
        <w:t>j</w:t>
      </w:r>
      <w:r>
        <w:rPr>
          <w:rFonts w:eastAsia="宋体" w:cs="Times New Roman" w:hint="eastAsia"/>
          <w:sz w:val="24"/>
          <w:szCs w:val="20"/>
          <w:lang w:eastAsia="zh-CN"/>
        </w:rPr>
        <w:t>从</w:t>
      </w:r>
      <w:r w:rsidR="001439CC">
        <w:rPr>
          <w:rFonts w:eastAsia="宋体" w:cs="Times New Roman" w:hint="eastAsia"/>
          <w:sz w:val="24"/>
          <w:szCs w:val="20"/>
          <w:lang w:eastAsia="zh-CN"/>
        </w:rPr>
        <w:t>1</w:t>
      </w:r>
      <w:r w:rsidR="001439CC">
        <w:rPr>
          <w:rFonts w:eastAsia="宋体" w:cs="Times New Roman" w:hint="eastAsia"/>
          <w:sz w:val="24"/>
          <w:szCs w:val="20"/>
          <w:lang w:eastAsia="zh-CN"/>
        </w:rPr>
        <w:t>到</w:t>
      </w:r>
      <w:r w:rsidR="001439CC">
        <w:rPr>
          <w:rFonts w:eastAsia="宋体" w:cs="Times New Roman" w:hint="eastAsia"/>
          <w:sz w:val="24"/>
          <w:szCs w:val="20"/>
          <w:lang w:eastAsia="zh-CN"/>
        </w:rPr>
        <w:t>n</w:t>
      </w:r>
      <w:r w:rsidR="004B2D17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5A7A55" w:rsidRDefault="005A7A55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E</w:t>
      </w:r>
      <w:r>
        <w:rPr>
          <w:rFonts w:eastAsia="宋体" w:cs="Times New Roman"/>
          <w:sz w:val="24"/>
          <w:szCs w:val="20"/>
          <w:lang w:eastAsia="zh-CN"/>
        </w:rPr>
        <w:t>qNOEC</w:t>
      </w:r>
      <w:r w:rsidRPr="005A7A55">
        <w:rPr>
          <w:rFonts w:eastAsia="宋体" w:cs="Times New Roman"/>
          <w:sz w:val="24"/>
          <w:szCs w:val="20"/>
          <w:vertAlign w:val="subscript"/>
          <w:lang w:eastAsia="zh-CN"/>
        </w:rPr>
        <w:t>m</w:t>
      </w:r>
      <w:proofErr w:type="spellEnd"/>
      <w:r>
        <w:rPr>
          <w:rFonts w:eastAsia="宋体" w:cs="Times New Roman"/>
          <w:sz w:val="24"/>
          <w:szCs w:val="20"/>
          <w:lang w:eastAsia="zh-CN"/>
        </w:rPr>
        <w:tab/>
        <w:t>=</w:t>
      </w:r>
      <w:r w:rsidR="00E23F43">
        <w:rPr>
          <w:rFonts w:eastAsia="宋体" w:cs="Times New Roman" w:hint="eastAsia"/>
          <w:sz w:val="24"/>
          <w:szCs w:val="20"/>
          <w:lang w:eastAsia="zh-CN"/>
        </w:rPr>
        <w:t>混合物有测试数据部分的等效</w:t>
      </w:r>
      <w:r w:rsidR="00E23F43">
        <w:rPr>
          <w:rFonts w:eastAsia="宋体" w:cs="Times New Roman" w:hint="eastAsia"/>
          <w:sz w:val="24"/>
          <w:szCs w:val="20"/>
          <w:lang w:eastAsia="zh-CN"/>
        </w:rPr>
        <w:t>N</w:t>
      </w:r>
      <w:r w:rsidR="00E23F43">
        <w:rPr>
          <w:rFonts w:eastAsia="宋体" w:cs="Times New Roman"/>
          <w:sz w:val="24"/>
          <w:szCs w:val="20"/>
          <w:lang w:eastAsia="zh-CN"/>
        </w:rPr>
        <w:t>OEC</w:t>
      </w:r>
      <w:r w:rsidR="00E23F43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23F43" w:rsidRDefault="00E23F43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lastRenderedPageBreak/>
        <w:t>E</w:t>
      </w:r>
      <w:r>
        <w:rPr>
          <w:rFonts w:eastAsia="宋体" w:cs="Times New Roman"/>
          <w:sz w:val="24"/>
          <w:szCs w:val="20"/>
          <w:lang w:eastAsia="zh-CN"/>
        </w:rPr>
        <w:t>qNOEC</w:t>
      </w:r>
      <w:r w:rsidRPr="005A7A55">
        <w:rPr>
          <w:rFonts w:eastAsia="宋体" w:cs="Times New Roman"/>
          <w:sz w:val="24"/>
          <w:szCs w:val="20"/>
          <w:vertAlign w:val="subscript"/>
          <w:lang w:eastAsia="zh-CN"/>
        </w:rPr>
        <w:t>m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=</w:t>
      </w:r>
      <w:r>
        <w:rPr>
          <w:rFonts w:eastAsia="宋体" w:cs="Times New Roman"/>
          <w:sz w:val="24"/>
          <w:szCs w:val="20"/>
          <w:lang w:eastAsia="zh-CN"/>
        </w:rPr>
        <w:t>20/((15/0.13) +5/(0.</w:t>
      </w:r>
      <w:r w:rsidRPr="00E23F43">
        <w:rPr>
          <w:rFonts w:eastAsia="宋体" w:cs="Times New Roman"/>
          <w:sz w:val="24"/>
          <w:szCs w:val="20"/>
          <w:lang w:eastAsia="zh-CN"/>
        </w:rPr>
        <w:t>l</w:t>
      </w:r>
      <w:r>
        <w:rPr>
          <w:rFonts w:eastAsia="宋体" w:cs="Times New Roman" w:hint="eastAsia"/>
          <w:sz w:val="24"/>
          <w:szCs w:val="20"/>
          <w:lang w:eastAsia="zh-CN"/>
        </w:rPr>
        <w:t>×</w:t>
      </w:r>
      <w:r w:rsidRPr="00E23F43">
        <w:rPr>
          <w:rFonts w:eastAsia="宋体" w:cs="Times New Roman"/>
          <w:sz w:val="24"/>
          <w:szCs w:val="20"/>
          <w:lang w:eastAsia="zh-CN"/>
        </w:rPr>
        <w:t>0.8))</w:t>
      </w:r>
      <w:r>
        <w:rPr>
          <w:rFonts w:eastAsia="宋体" w:cs="Times New Roman" w:hint="eastAsia"/>
          <w:sz w:val="24"/>
          <w:szCs w:val="20"/>
          <w:lang w:eastAsia="zh-CN"/>
        </w:rPr>
        <w:t>=</w:t>
      </w:r>
      <w:r>
        <w:rPr>
          <w:rFonts w:eastAsia="宋体" w:cs="Times New Roman"/>
          <w:sz w:val="24"/>
          <w:szCs w:val="20"/>
          <w:lang w:eastAsia="zh-CN"/>
        </w:rPr>
        <w:t>0.11</w:t>
      </w:r>
      <w:r w:rsidRPr="00E23F43">
        <w:rPr>
          <w:rFonts w:eastAsia="宋体" w:cs="Times New Roman"/>
          <w:sz w:val="24"/>
          <w:szCs w:val="20"/>
          <w:lang w:eastAsia="zh-CN"/>
        </w:rPr>
        <w:t>mg/l</w:t>
      </w:r>
    </w:p>
    <w:p w:rsidR="00B05B18" w:rsidRDefault="00B05B18" w:rsidP="005A7A55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</w:p>
    <w:p w:rsidR="00B05B18" w:rsidRDefault="00B05B18" w:rsidP="000429FB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B05B18">
        <w:rPr>
          <w:rFonts w:eastAsia="宋体" w:cs="Times New Roman" w:hint="eastAsia"/>
          <w:sz w:val="24"/>
          <w:szCs w:val="20"/>
          <w:lang w:eastAsia="zh-CN"/>
        </w:rPr>
        <w:t>混合物中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20%</w:t>
      </w:r>
      <w:r>
        <w:rPr>
          <w:rFonts w:eastAsia="宋体" w:cs="Times New Roman" w:hint="eastAsia"/>
          <w:sz w:val="24"/>
          <w:szCs w:val="20"/>
          <w:lang w:eastAsia="zh-CN"/>
        </w:rPr>
        <w:t>的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成分</w:t>
      </w:r>
      <w:r>
        <w:rPr>
          <w:rFonts w:eastAsia="宋体" w:cs="Times New Roman" w:hint="eastAsia"/>
          <w:sz w:val="24"/>
          <w:szCs w:val="20"/>
          <w:lang w:eastAsia="zh-CN"/>
        </w:rPr>
        <w:t>（成分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1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和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2</w:t>
      </w:r>
      <w:r>
        <w:rPr>
          <w:rFonts w:eastAsia="宋体" w:cs="Times New Roman" w:hint="eastAsia"/>
          <w:sz w:val="24"/>
          <w:szCs w:val="20"/>
          <w:lang w:eastAsia="zh-CN"/>
        </w:rPr>
        <w:t>）已知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慢性毒性数据</w:t>
      </w:r>
      <w:r>
        <w:rPr>
          <w:rFonts w:eastAsia="宋体" w:cs="Times New Roman" w:hint="eastAsia"/>
          <w:sz w:val="24"/>
          <w:szCs w:val="20"/>
          <w:lang w:eastAsia="zh-CN"/>
        </w:rPr>
        <w:t>，按上式计算</w:t>
      </w:r>
      <w:r w:rsidR="000429FB">
        <w:rPr>
          <w:rFonts w:eastAsia="宋体" w:cs="Times New Roman" w:hint="eastAsia"/>
          <w:sz w:val="24"/>
          <w:szCs w:val="20"/>
          <w:lang w:eastAsia="zh-CN"/>
        </w:rPr>
        <w:t>该部分混合物的</w:t>
      </w:r>
      <w:proofErr w:type="spellStart"/>
      <w:r w:rsidRPr="00B05B18">
        <w:rPr>
          <w:rFonts w:eastAsia="宋体" w:cs="Times New Roman" w:hint="eastAsia"/>
          <w:sz w:val="24"/>
          <w:szCs w:val="20"/>
          <w:lang w:eastAsia="zh-CN"/>
        </w:rPr>
        <w:t>EqNOECm</w:t>
      </w:r>
      <w:proofErr w:type="spellEnd"/>
      <w:r w:rsidRPr="00B05B18">
        <w:rPr>
          <w:rFonts w:eastAsia="宋体" w:cs="Times New Roman" w:hint="eastAsia"/>
          <w:sz w:val="24"/>
          <w:szCs w:val="20"/>
          <w:lang w:eastAsia="zh-CN"/>
        </w:rPr>
        <w:t>为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0.11mg/l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。由于不能快速降解成分的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NOEC</w:t>
      </w:r>
      <w:r w:rsidR="000429FB">
        <w:rPr>
          <w:rFonts w:eastAsia="宋体" w:cs="Times New Roman" w:hint="eastAsia"/>
          <w:sz w:val="24"/>
          <w:szCs w:val="20"/>
          <w:lang w:eastAsia="zh-CN"/>
        </w:rPr>
        <w:t>已乘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系数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0.1</w:t>
      </w:r>
      <w:r>
        <w:rPr>
          <w:rFonts w:eastAsia="宋体" w:cs="Times New Roman" w:hint="eastAsia"/>
          <w:sz w:val="24"/>
          <w:szCs w:val="20"/>
          <w:lang w:eastAsia="zh-CN"/>
        </w:rPr>
        <w:t>，对照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表</w:t>
      </w:r>
      <w:r w:rsidR="007C2F69">
        <w:rPr>
          <w:rFonts w:eastAsia="宋体" w:cs="Times New Roman" w:hint="eastAsia"/>
          <w:sz w:val="24"/>
          <w:szCs w:val="20"/>
          <w:lang w:eastAsia="zh-CN"/>
        </w:rPr>
        <w:t>4.1 b</w:t>
      </w:r>
      <w:r w:rsidR="007C2F69">
        <w:rPr>
          <w:rFonts w:eastAsia="宋体" w:cs="Times New Roman" w:hint="eastAsia"/>
          <w:sz w:val="24"/>
          <w:szCs w:val="20"/>
          <w:lang w:eastAsia="zh-CN"/>
        </w:rPr>
        <w:t>（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ii</w:t>
      </w:r>
      <w:r w:rsidR="007C2F69">
        <w:rPr>
          <w:rFonts w:eastAsia="宋体" w:cs="Times New Roman" w:hint="eastAsia"/>
          <w:sz w:val="24"/>
          <w:szCs w:val="20"/>
          <w:lang w:eastAsia="zh-CN"/>
        </w:rPr>
        <w:t>）</w:t>
      </w:r>
      <w:r>
        <w:rPr>
          <w:rFonts w:eastAsia="宋体" w:cs="Times New Roman" w:hint="eastAsia"/>
          <w:sz w:val="24"/>
          <w:szCs w:val="20"/>
          <w:lang w:eastAsia="zh-CN"/>
        </w:rPr>
        <w:t>，该部分混合物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分类</w:t>
      </w:r>
      <w:r>
        <w:rPr>
          <w:rFonts w:eastAsia="宋体" w:cs="Times New Roman" w:hint="eastAsia"/>
          <w:sz w:val="24"/>
          <w:szCs w:val="20"/>
          <w:lang w:eastAsia="zh-CN"/>
        </w:rPr>
        <w:t>为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慢性</w:t>
      </w:r>
      <w:r w:rsidRPr="00B05B18">
        <w:rPr>
          <w:rFonts w:eastAsia="宋体" w:cs="Times New Roman" w:hint="eastAsia"/>
          <w:sz w:val="24"/>
          <w:szCs w:val="20"/>
          <w:lang w:eastAsia="zh-CN"/>
        </w:rPr>
        <w:t>3</w:t>
      </w:r>
      <w:r w:rsidR="000429FB">
        <w:rPr>
          <w:rFonts w:eastAsia="宋体" w:cs="Times New Roman" w:hint="eastAsia"/>
          <w:sz w:val="24"/>
          <w:szCs w:val="20"/>
          <w:lang w:eastAsia="zh-CN"/>
        </w:rPr>
        <w:t>。</w:t>
      </w:r>
    </w:p>
    <w:p w:rsidR="000429FB" w:rsidRDefault="000429FB" w:rsidP="00624C9D">
      <w:pPr>
        <w:pStyle w:val="a3"/>
        <w:spacing w:before="0" w:line="360" w:lineRule="auto"/>
        <w:ind w:left="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第二步：</w:t>
      </w:r>
    </w:p>
    <w:p w:rsidR="000429FB" w:rsidRDefault="008467EE" w:rsidP="000429FB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根据</w:t>
      </w:r>
      <w:r w:rsidR="000429FB">
        <w:rPr>
          <w:rFonts w:eastAsia="宋体" w:cs="Times New Roman" w:hint="eastAsia"/>
          <w:sz w:val="24"/>
          <w:szCs w:val="20"/>
          <w:lang w:eastAsia="zh-CN"/>
        </w:rPr>
        <w:t>成分信息</w:t>
      </w:r>
      <w:r>
        <w:rPr>
          <w:rFonts w:eastAsia="宋体" w:cs="Times New Roman" w:hint="eastAsia"/>
          <w:sz w:val="24"/>
          <w:szCs w:val="20"/>
          <w:lang w:eastAsia="zh-CN"/>
        </w:rPr>
        <w:t>通过</w:t>
      </w:r>
      <w:r w:rsidR="00CB2BCF">
        <w:rPr>
          <w:rFonts w:eastAsia="宋体" w:cs="Times New Roman" w:hint="eastAsia"/>
          <w:sz w:val="24"/>
          <w:szCs w:val="20"/>
          <w:lang w:eastAsia="zh-CN"/>
        </w:rPr>
        <w:t>加和</w:t>
      </w:r>
      <w:r>
        <w:rPr>
          <w:rFonts w:eastAsia="宋体" w:cs="Times New Roman" w:hint="eastAsia"/>
          <w:sz w:val="24"/>
          <w:szCs w:val="20"/>
          <w:lang w:eastAsia="zh-CN"/>
        </w:rPr>
        <w:t>法计算</w:t>
      </w:r>
      <w:r w:rsidR="000429FB">
        <w:rPr>
          <w:rFonts w:eastAsia="宋体" w:cs="Times New Roman" w:hint="eastAsia"/>
          <w:sz w:val="24"/>
          <w:szCs w:val="20"/>
          <w:lang w:eastAsia="zh-CN"/>
        </w:rPr>
        <w:t>：</w:t>
      </w:r>
    </w:p>
    <w:p w:rsidR="000429FB" w:rsidRDefault="000429FB" w:rsidP="000429FB">
      <w:pPr>
        <w:spacing w:line="360" w:lineRule="auto"/>
        <w:rPr>
          <w:rFonts w:ascii="Times New Roman" w:eastAsia="Times New Roman" w:hAnsi="Times New Roman" w:cs="Times New Roman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0"/>
        <w:gridCol w:w="3035"/>
        <w:gridCol w:w="2671"/>
      </w:tblGrid>
      <w:tr w:rsidR="000429FB" w:rsidTr="008467EE">
        <w:trPr>
          <w:trHeight w:val="888"/>
          <w:jc w:val="center"/>
        </w:trPr>
        <w:tc>
          <w:tcPr>
            <w:tcW w:w="22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2818EE" w:rsidRDefault="000429FB" w:rsidP="008467EE">
            <w:pPr>
              <w:pStyle w:val="ac"/>
              <w:rPr>
                <w:rFonts w:eastAsiaTheme="minorEastAsia" w:cs="Times New Roman"/>
                <w:b/>
                <w:bCs w:val="0"/>
                <w:sz w:val="22"/>
                <w:szCs w:val="22"/>
              </w:rPr>
            </w:pPr>
            <w:r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成分</w:t>
            </w:r>
          </w:p>
        </w:tc>
        <w:tc>
          <w:tcPr>
            <w:tcW w:w="3035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2818EE" w:rsidRDefault="000429FB" w:rsidP="008467EE">
            <w:pPr>
              <w:pStyle w:val="ac"/>
              <w:rPr>
                <w:rFonts w:eastAsiaTheme="minorEastAsia" w:cs="Times New Roman"/>
                <w:b/>
                <w:bCs w:val="0"/>
                <w:sz w:val="22"/>
                <w:szCs w:val="22"/>
              </w:rPr>
            </w:pPr>
            <w:r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浓度</w:t>
            </w:r>
            <w:r w:rsidRPr="002818EE">
              <w:rPr>
                <w:rFonts w:eastAsiaTheme="minorEastAsia" w:cs="Times New Roman"/>
                <w:b/>
                <w:bCs w:val="0"/>
                <w:sz w:val="22"/>
                <w:szCs w:val="22"/>
              </w:rPr>
              <w:t>%</w:t>
            </w:r>
          </w:p>
        </w:tc>
        <w:tc>
          <w:tcPr>
            <w:tcW w:w="267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  <w:vAlign w:val="center"/>
          </w:tcPr>
          <w:p w:rsidR="000429FB" w:rsidRPr="000429FB" w:rsidRDefault="000429FB" w:rsidP="008467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2818EE">
              <w:rPr>
                <w:rFonts w:ascii="Times New Roman" w:hAnsi="Times New Roman" w:cs="Times New Roman"/>
                <w:b/>
                <w:lang w:eastAsia="zh-CN"/>
              </w:rPr>
              <w:t>长期（慢性）水生危害分类</w:t>
            </w:r>
          </w:p>
        </w:tc>
      </w:tr>
      <w:tr w:rsidR="000429FB" w:rsidTr="008467EE">
        <w:trPr>
          <w:trHeight w:val="888"/>
          <w:jc w:val="center"/>
        </w:trPr>
        <w:tc>
          <w:tcPr>
            <w:tcW w:w="22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8467EE" w:rsidRDefault="008467EE" w:rsidP="008467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通过</w:t>
            </w:r>
            <w:r w:rsidR="00947707">
              <w:rPr>
                <w:rFonts w:cs="Times New Roman" w:hint="eastAsia"/>
              </w:rPr>
              <w:t>加和</w:t>
            </w:r>
            <w:r w:rsidR="000429FB" w:rsidRPr="008467EE">
              <w:rPr>
                <w:rFonts w:cs="Times New Roman" w:hint="eastAsia"/>
              </w:rPr>
              <w:t>公式计算已知浓度的部分混合物</w:t>
            </w:r>
          </w:p>
        </w:tc>
        <w:tc>
          <w:tcPr>
            <w:tcW w:w="3035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8467EE" w:rsidRDefault="000429FB" w:rsidP="008467EE">
            <w:pPr>
              <w:pStyle w:val="ac"/>
              <w:rPr>
                <w:rFonts w:cs="Times New Roman"/>
              </w:rPr>
            </w:pPr>
            <w:r w:rsidRPr="008467EE">
              <w:rPr>
                <w:rFonts w:cs="Times New Roman" w:hint="eastAsia"/>
              </w:rPr>
              <w:t>20</w:t>
            </w:r>
          </w:p>
        </w:tc>
        <w:tc>
          <w:tcPr>
            <w:tcW w:w="267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  <w:vAlign w:val="center"/>
          </w:tcPr>
          <w:p w:rsidR="000429FB" w:rsidRPr="008467EE" w:rsidRDefault="000429FB" w:rsidP="008467EE">
            <w:pPr>
              <w:pStyle w:val="ac"/>
              <w:rPr>
                <w:rFonts w:cs="Times New Roman"/>
              </w:rPr>
            </w:pPr>
            <w:r w:rsidRPr="00313A00">
              <w:rPr>
                <w:rFonts w:cs="Times New Roman" w:hint="eastAsia"/>
              </w:rPr>
              <w:t>类别</w:t>
            </w:r>
            <w:r w:rsidRPr="00313A00">
              <w:rPr>
                <w:rFonts w:cs="Times New Roman" w:hint="eastAsia"/>
              </w:rPr>
              <w:t>3</w:t>
            </w:r>
          </w:p>
        </w:tc>
      </w:tr>
      <w:tr w:rsidR="000429FB" w:rsidTr="008467EE">
        <w:trPr>
          <w:trHeight w:val="888"/>
          <w:jc w:val="center"/>
        </w:trPr>
        <w:tc>
          <w:tcPr>
            <w:tcW w:w="22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8467EE" w:rsidRDefault="000429FB" w:rsidP="008467EE">
            <w:pPr>
              <w:pStyle w:val="ac"/>
              <w:rPr>
                <w:rFonts w:cs="Times New Roman"/>
              </w:rPr>
            </w:pPr>
            <w:r w:rsidRPr="008467EE">
              <w:rPr>
                <w:rFonts w:cs="Times New Roman" w:hint="eastAsia"/>
              </w:rPr>
              <w:t>成分</w:t>
            </w:r>
            <w:r w:rsidRPr="008467EE">
              <w:rPr>
                <w:rFonts w:cs="Times New Roman" w:hint="eastAsia"/>
              </w:rPr>
              <w:t>3</w:t>
            </w:r>
          </w:p>
        </w:tc>
        <w:tc>
          <w:tcPr>
            <w:tcW w:w="3035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0429FB" w:rsidRPr="008467EE" w:rsidRDefault="000429FB" w:rsidP="008467EE">
            <w:pPr>
              <w:pStyle w:val="ac"/>
              <w:rPr>
                <w:rFonts w:cs="Times New Roman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267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  <w:vAlign w:val="center"/>
          </w:tcPr>
          <w:p w:rsidR="000429FB" w:rsidRPr="008467EE" w:rsidRDefault="000429FB" w:rsidP="008467EE">
            <w:pPr>
              <w:pStyle w:val="ac"/>
              <w:rPr>
                <w:rFonts w:cs="Times New Roman"/>
              </w:rPr>
            </w:pPr>
            <w:r w:rsidRPr="00660702">
              <w:rPr>
                <w:rFonts w:cs="Times New Roman" w:hint="eastAsia"/>
              </w:rPr>
              <w:t>类别</w:t>
            </w:r>
            <w:r w:rsidRPr="00660702">
              <w:rPr>
                <w:rFonts w:cs="Times New Roman" w:hint="eastAsia"/>
              </w:rPr>
              <w:t>3</w:t>
            </w:r>
          </w:p>
        </w:tc>
      </w:tr>
    </w:tbl>
    <w:p w:rsidR="000429FB" w:rsidRDefault="000429FB" w:rsidP="008467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7060"/>
      </w:tblGrid>
      <w:tr w:rsidR="008467EE" w:rsidTr="00E13AB2">
        <w:trPr>
          <w:trHeight w:val="1077"/>
        </w:trPr>
        <w:tc>
          <w:tcPr>
            <w:tcW w:w="1526" w:type="dxa"/>
          </w:tcPr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  <w:b/>
              </w:rPr>
            </w:pPr>
            <w:r w:rsidRPr="008467EE">
              <w:rPr>
                <w:rFonts w:cs="Times New Roman" w:hint="eastAsia"/>
                <w:b/>
              </w:rPr>
              <w:t>慢性类别</w:t>
            </w:r>
            <w:r w:rsidRPr="008467EE">
              <w:rPr>
                <w:rFonts w:cs="Times New Roman" w:hint="eastAsia"/>
                <w:b/>
              </w:rPr>
              <w:t>1</w:t>
            </w:r>
          </w:p>
        </w:tc>
        <w:tc>
          <w:tcPr>
            <w:tcW w:w="7240" w:type="dxa"/>
          </w:tcPr>
          <w:p w:rsid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 w:rsidRPr="008467EE">
              <w:rPr>
                <w:rFonts w:cs="Times New Roman" w:hint="eastAsia"/>
              </w:rPr>
              <w:t>慢性类别</w:t>
            </w:r>
            <w:r w:rsidRPr="008467EE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M</w:t>
            </w:r>
            <w:r>
              <w:rPr>
                <w:rFonts w:cs="Times New Roman" w:hint="eastAsia"/>
              </w:rPr>
              <w:t>≥</w:t>
            </w:r>
            <w:r>
              <w:rPr>
                <w:rFonts w:cs="Times New Roman" w:hint="eastAsia"/>
              </w:rPr>
              <w:t>25%</w:t>
            </w:r>
          </w:p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0%</w:t>
            </w:r>
            <w:r>
              <w:rPr>
                <w:rFonts w:cs="Times New Roman" w:hint="eastAsia"/>
              </w:rPr>
              <w:t>（不分类）</w:t>
            </w:r>
          </w:p>
        </w:tc>
      </w:tr>
      <w:tr w:rsidR="008467EE" w:rsidTr="00E13AB2">
        <w:trPr>
          <w:trHeight w:val="1077"/>
        </w:trPr>
        <w:tc>
          <w:tcPr>
            <w:tcW w:w="1526" w:type="dxa"/>
          </w:tcPr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  <w:b/>
              </w:rPr>
            </w:pPr>
            <w:r w:rsidRPr="008467EE">
              <w:rPr>
                <w:rFonts w:cs="Times New Roman" w:hint="eastAsia"/>
                <w:b/>
              </w:rPr>
              <w:t>慢性类别</w:t>
            </w:r>
            <w:r w:rsidRPr="008467EE">
              <w:rPr>
                <w:rFonts w:cs="Times New Roman" w:hint="eastAsia"/>
                <w:b/>
              </w:rPr>
              <w:t>2</w:t>
            </w:r>
          </w:p>
        </w:tc>
        <w:tc>
          <w:tcPr>
            <w:tcW w:w="7240" w:type="dxa"/>
          </w:tcPr>
          <w:p w:rsid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M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×</w:t>
            </w:r>
            <w:r w:rsidRPr="008467EE">
              <w:rPr>
                <w:rFonts w:cs="Times New Roman" w:hint="eastAsia"/>
              </w:rPr>
              <w:t>慢性类别</w:t>
            </w:r>
            <w:r w:rsidRPr="008467EE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</w:t>
            </w:r>
            <w:r w:rsidRPr="008467EE">
              <w:rPr>
                <w:rFonts w:cs="Times New Roman" w:hint="eastAsia"/>
              </w:rPr>
              <w:t>慢性类别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≥</w:t>
            </w:r>
            <w:r>
              <w:rPr>
                <w:rFonts w:cs="Times New Roman" w:hint="eastAsia"/>
              </w:rPr>
              <w:t>25</w:t>
            </w:r>
          </w:p>
          <w:p w:rsid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应用</w:t>
            </w:r>
            <w:r w:rsidR="00E80EE6">
              <w:rPr>
                <w:rFonts w:cs="Times New Roman" w:hint="eastAsia"/>
              </w:rPr>
              <w:t>加和</w:t>
            </w:r>
            <w:r>
              <w:rPr>
                <w:rFonts w:cs="Times New Roman" w:hint="eastAsia"/>
              </w:rPr>
              <w:t>公式计算结果</w:t>
            </w:r>
            <w:r>
              <w:rPr>
                <w:rFonts w:cs="Times New Roman" w:hint="eastAsia"/>
              </w:rPr>
              <w:t>&amp;</w:t>
            </w:r>
            <w:r>
              <w:rPr>
                <w:rFonts w:cs="Times New Roman" w:hint="eastAsia"/>
              </w:rPr>
              <w:t>混合物成分数据：</w:t>
            </w:r>
          </w:p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0%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+0</w:t>
            </w:r>
            <w:r>
              <w:rPr>
                <w:rFonts w:cs="Times New Roman"/>
              </w:rPr>
              <w:t>%=</w:t>
            </w:r>
            <w:r>
              <w:rPr>
                <w:rFonts w:cs="Times New Roman" w:hint="eastAsia"/>
              </w:rPr>
              <w:t>0%</w:t>
            </w:r>
            <w:r>
              <w:rPr>
                <w:rFonts w:cs="Times New Roman" w:hint="eastAsia"/>
              </w:rPr>
              <w:t>（不分类）</w:t>
            </w:r>
          </w:p>
        </w:tc>
      </w:tr>
      <w:tr w:rsidR="008467EE" w:rsidTr="00E13AB2">
        <w:trPr>
          <w:trHeight w:val="1077"/>
        </w:trPr>
        <w:tc>
          <w:tcPr>
            <w:tcW w:w="1526" w:type="dxa"/>
          </w:tcPr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  <w:b/>
              </w:rPr>
            </w:pPr>
            <w:r w:rsidRPr="008467EE">
              <w:rPr>
                <w:rFonts w:cs="Times New Roman" w:hint="eastAsia"/>
                <w:b/>
              </w:rPr>
              <w:t>慢性类别</w:t>
            </w:r>
            <w:r w:rsidRPr="008467EE">
              <w:rPr>
                <w:rFonts w:cs="Times New Roman" w:hint="eastAsia"/>
                <w:b/>
              </w:rPr>
              <w:t>3</w:t>
            </w:r>
          </w:p>
        </w:tc>
        <w:tc>
          <w:tcPr>
            <w:tcW w:w="7240" w:type="dxa"/>
          </w:tcPr>
          <w:p w:rsid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M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>×</w:t>
            </w:r>
            <w:r w:rsidRPr="008467EE">
              <w:rPr>
                <w:rFonts w:cs="Times New Roman" w:hint="eastAsia"/>
              </w:rPr>
              <w:t>慢性类别</w:t>
            </w:r>
            <w:r w:rsidRPr="008467EE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×</w:t>
            </w:r>
            <w:r w:rsidRPr="008467EE">
              <w:rPr>
                <w:rFonts w:cs="Times New Roman" w:hint="eastAsia"/>
              </w:rPr>
              <w:t>慢性类别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 w:hint="eastAsia"/>
              </w:rPr>
              <w:t>慢性类别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≥</w:t>
            </w:r>
            <w:r>
              <w:rPr>
                <w:rFonts w:cs="Times New Roman" w:hint="eastAsia"/>
              </w:rPr>
              <w:t>25</w:t>
            </w:r>
          </w:p>
          <w:p w:rsid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应用</w:t>
            </w:r>
            <w:r w:rsidR="00E80EE6">
              <w:rPr>
                <w:rFonts w:cs="Times New Roman" w:hint="eastAsia"/>
              </w:rPr>
              <w:t>加和</w:t>
            </w:r>
            <w:r>
              <w:rPr>
                <w:rFonts w:cs="Times New Roman" w:hint="eastAsia"/>
              </w:rPr>
              <w:t>公式计算的结果</w:t>
            </w:r>
            <w:r>
              <w:rPr>
                <w:rFonts w:cs="Times New Roman" w:hint="eastAsia"/>
              </w:rPr>
              <w:t>&amp;</w:t>
            </w:r>
            <w:r>
              <w:rPr>
                <w:rFonts w:cs="Times New Roman" w:hint="eastAsia"/>
              </w:rPr>
              <w:t>混合物成分数据：</w:t>
            </w:r>
          </w:p>
          <w:p w:rsidR="008467EE" w:rsidRPr="008467EE" w:rsidRDefault="008467EE" w:rsidP="00E13AB2">
            <w:pPr>
              <w:pStyle w:val="ac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0%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×</w:t>
            </w:r>
            <w:r>
              <w:rPr>
                <w:rFonts w:cs="Times New Roman" w:hint="eastAsia"/>
              </w:rPr>
              <w:t>0%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+</w:t>
            </w:r>
            <w:r>
              <w:rPr>
                <w:rFonts w:cs="Times New Roman"/>
              </w:rPr>
              <w:t>20%+80%=100</w:t>
            </w:r>
            <w:r>
              <w:rPr>
                <w:rFonts w:cs="Times New Roman" w:hint="eastAsia"/>
              </w:rPr>
              <w:t>%</w:t>
            </w:r>
            <w:r>
              <w:rPr>
                <w:rFonts w:cs="Times New Roman" w:hint="eastAsia"/>
              </w:rPr>
              <w:t>（分类）</w:t>
            </w:r>
          </w:p>
        </w:tc>
      </w:tr>
    </w:tbl>
    <w:p w:rsidR="008467EE" w:rsidRDefault="008467EE" w:rsidP="008467EE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467EE">
        <w:rPr>
          <w:rFonts w:eastAsia="宋体" w:cs="Times New Roman" w:hint="eastAsia"/>
          <w:sz w:val="24"/>
          <w:szCs w:val="20"/>
          <w:lang w:eastAsia="zh-CN"/>
        </w:rPr>
        <w:t>或者直接应用</w:t>
      </w:r>
      <w:r w:rsidR="002725DE">
        <w:rPr>
          <w:rFonts w:eastAsia="宋体" w:cs="Times New Roman" w:hint="eastAsia"/>
          <w:sz w:val="24"/>
          <w:szCs w:val="20"/>
          <w:lang w:eastAsia="zh-CN"/>
        </w:rPr>
        <w:t>求</w:t>
      </w:r>
      <w:r w:rsidR="00E80EE6">
        <w:rPr>
          <w:rFonts w:eastAsia="宋体" w:cs="Times New Roman" w:hint="eastAsia"/>
          <w:sz w:val="24"/>
          <w:szCs w:val="20"/>
          <w:lang w:eastAsia="zh-CN"/>
        </w:rPr>
        <w:t>和</w:t>
      </w:r>
      <w:r w:rsidRPr="008467EE">
        <w:rPr>
          <w:rFonts w:eastAsia="宋体" w:cs="Times New Roman" w:hint="eastAsia"/>
          <w:sz w:val="24"/>
          <w:szCs w:val="20"/>
          <w:lang w:eastAsia="zh-CN"/>
        </w:rPr>
        <w:t>法计算。</w:t>
      </w:r>
    </w:p>
    <w:p w:rsidR="00E13AB2" w:rsidRPr="008467EE" w:rsidRDefault="00E13AB2" w:rsidP="008467EE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</w:p>
    <w:p w:rsidR="000429FB" w:rsidRPr="00E13AB2" w:rsidRDefault="008365D0" w:rsidP="00E13AB2">
      <w:pPr>
        <w:pStyle w:val="a3"/>
        <w:spacing w:before="0"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逻辑</w:t>
      </w:r>
      <w:r w:rsidR="00E13AB2" w:rsidRPr="00E13AB2">
        <w:rPr>
          <w:rFonts w:eastAsia="宋体" w:cs="Times New Roman" w:hint="eastAsia"/>
          <w:b/>
          <w:sz w:val="24"/>
          <w:szCs w:val="20"/>
          <w:lang w:eastAsia="zh-CN"/>
        </w:rPr>
        <w:t>依据</w:t>
      </w:r>
    </w:p>
    <w:p w:rsidR="00E13AB2" w:rsidRPr="00B04562" w:rsidRDefault="00E13AB2" w:rsidP="00E13AB2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a</w:t>
      </w:r>
      <w:r w:rsidRPr="00B04562">
        <w:rPr>
          <w:rFonts w:eastAsia="宋体" w:cs="Times New Roman"/>
          <w:sz w:val="24"/>
          <w:szCs w:val="20"/>
          <w:lang w:eastAsia="zh-CN"/>
        </w:rPr>
        <w:t>）由于没有混合物整体水生毒性数据，无法直接通过标准对混合物进行分类</w:t>
      </w:r>
      <w:r w:rsidRPr="00B04562">
        <w:rPr>
          <w:rFonts w:eastAsia="宋体" w:cs="Times New Roman"/>
          <w:sz w:val="24"/>
          <w:szCs w:val="20"/>
          <w:lang w:eastAsia="zh-CN"/>
        </w:rPr>
        <w:t xml:space="preserve"> </w:t>
      </w: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4.1.3.3</w:t>
      </w:r>
      <w:r w:rsidR="00CB2BCF">
        <w:rPr>
          <w:rFonts w:eastAsia="宋体" w:cs="Times New Roman" w:hint="eastAsia"/>
          <w:sz w:val="24"/>
          <w:szCs w:val="20"/>
          <w:lang w:eastAsia="zh-CN"/>
        </w:rPr>
        <w:t>段</w:t>
      </w:r>
      <w:r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E13AB2" w:rsidRDefault="00E13AB2" w:rsidP="00E13AB2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b</w:t>
      </w:r>
      <w:r w:rsidRPr="00B04562">
        <w:rPr>
          <w:rFonts w:eastAsia="宋体" w:cs="Times New Roman"/>
          <w:sz w:val="24"/>
          <w:szCs w:val="20"/>
          <w:lang w:eastAsia="zh-CN"/>
        </w:rPr>
        <w:t>）由于没有类似混合物的数据，无法通过架桥原则进行分类</w:t>
      </w:r>
      <w:r w:rsidR="00341BD2">
        <w:rPr>
          <w:rFonts w:eastAsia="宋体" w:cs="Times New Roman" w:hint="eastAsia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4.1.3.4</w:t>
      </w:r>
      <w:r w:rsidR="00CB2BCF">
        <w:rPr>
          <w:rFonts w:eastAsia="宋体" w:cs="Times New Roman" w:hint="eastAsia"/>
          <w:sz w:val="24"/>
          <w:szCs w:val="20"/>
          <w:lang w:eastAsia="zh-CN"/>
        </w:rPr>
        <w:t>段</w:t>
      </w:r>
      <w:r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E13AB2" w:rsidRPr="00B04562" w:rsidRDefault="00E13AB2" w:rsidP="00E80EE6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c</w:t>
      </w:r>
      <w:r w:rsidRPr="00B04562">
        <w:rPr>
          <w:rFonts w:eastAsia="宋体" w:cs="Times New Roman"/>
          <w:sz w:val="24"/>
          <w:szCs w:val="20"/>
          <w:lang w:eastAsia="zh-CN"/>
        </w:rPr>
        <w:t>）可以根据混合物中各成分的毒性数据进行分类（</w:t>
      </w:r>
      <w:r w:rsidRPr="00B04562">
        <w:rPr>
          <w:rFonts w:eastAsia="宋体" w:cs="Times New Roman"/>
          <w:sz w:val="24"/>
          <w:szCs w:val="20"/>
          <w:lang w:eastAsia="zh-CN"/>
        </w:rPr>
        <w:t>4.1.3.5</w:t>
      </w:r>
      <w:r w:rsidR="00CB2BCF">
        <w:rPr>
          <w:rFonts w:eastAsia="宋体" w:cs="Times New Roman" w:hint="eastAsia"/>
          <w:sz w:val="24"/>
          <w:szCs w:val="20"/>
          <w:lang w:eastAsia="zh-CN"/>
        </w:rPr>
        <w:t>段</w:t>
      </w:r>
      <w:r w:rsidR="00E80EE6">
        <w:rPr>
          <w:rFonts w:eastAsia="宋体" w:cs="Times New Roman"/>
          <w:sz w:val="24"/>
          <w:szCs w:val="20"/>
          <w:lang w:eastAsia="zh-CN"/>
        </w:rPr>
        <w:t>）</w:t>
      </w:r>
      <w:r w:rsidRPr="00B04562">
        <w:rPr>
          <w:rFonts w:eastAsia="宋体" w:cs="Times New Roman"/>
          <w:sz w:val="24"/>
          <w:szCs w:val="20"/>
          <w:lang w:eastAsia="zh-CN"/>
        </w:rPr>
        <w:t>；</w:t>
      </w:r>
    </w:p>
    <w:p w:rsidR="00E13AB2" w:rsidRPr="00B04562" w:rsidRDefault="00E13AB2" w:rsidP="00E13AB2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lastRenderedPageBreak/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d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>
        <w:rPr>
          <w:rFonts w:eastAsia="宋体" w:cs="Times New Roman" w:hint="eastAsia"/>
          <w:sz w:val="24"/>
          <w:szCs w:val="20"/>
          <w:lang w:eastAsia="zh-CN"/>
        </w:rPr>
        <w:t>混合物的分类根据慢性类别</w:t>
      </w:r>
      <w:r>
        <w:rPr>
          <w:rFonts w:eastAsia="宋体" w:cs="Times New Roman" w:hint="eastAsia"/>
          <w:sz w:val="24"/>
          <w:szCs w:val="20"/>
          <w:lang w:eastAsia="zh-CN"/>
        </w:rPr>
        <w:t>3</w:t>
      </w:r>
      <w:r>
        <w:rPr>
          <w:rFonts w:eastAsia="宋体" w:cs="Times New Roman" w:hint="eastAsia"/>
          <w:sz w:val="24"/>
          <w:szCs w:val="20"/>
          <w:lang w:eastAsia="zh-CN"/>
        </w:rPr>
        <w:t>的成分浓度采用</w:t>
      </w:r>
      <w:r w:rsidR="00FD521D">
        <w:rPr>
          <w:rFonts w:eastAsia="宋体" w:cs="Times New Roman" w:hint="eastAsia"/>
          <w:sz w:val="24"/>
          <w:szCs w:val="20"/>
          <w:lang w:eastAsia="zh-CN"/>
        </w:rPr>
        <w:t>求</w:t>
      </w:r>
      <w:r>
        <w:rPr>
          <w:rFonts w:eastAsia="宋体" w:cs="Times New Roman" w:hint="eastAsia"/>
          <w:sz w:val="24"/>
          <w:szCs w:val="20"/>
          <w:lang w:eastAsia="zh-CN"/>
        </w:rPr>
        <w:t>和法得到</w:t>
      </w: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4.1.3.5.1</w:t>
      </w:r>
      <w:r w:rsidR="00CB2BCF">
        <w:rPr>
          <w:rFonts w:eastAsia="宋体" w:cs="Times New Roman" w:hint="eastAsia"/>
          <w:sz w:val="24"/>
          <w:szCs w:val="20"/>
          <w:lang w:eastAsia="zh-CN"/>
        </w:rPr>
        <w:t>段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2D17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13AB2" w:rsidRPr="00E13AB2" w:rsidRDefault="00CB2BCF" w:rsidP="00E13AB2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e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E13AB2">
        <w:rPr>
          <w:rFonts w:eastAsia="宋体" w:cs="Times New Roman" w:hint="eastAsia"/>
          <w:sz w:val="24"/>
          <w:szCs w:val="20"/>
          <w:lang w:eastAsia="zh-CN"/>
        </w:rPr>
        <w:t>已知混合物中部分成分的</w:t>
      </w:r>
      <w:r>
        <w:rPr>
          <w:rFonts w:eastAsia="宋体" w:cs="Times New Roman" w:hint="eastAsia"/>
          <w:sz w:val="24"/>
          <w:szCs w:val="20"/>
          <w:lang w:eastAsia="zh-CN"/>
        </w:rPr>
        <w:t>毒性数据，采用</w:t>
      </w:r>
      <w:r w:rsidR="00E80EE6">
        <w:rPr>
          <w:rFonts w:eastAsia="宋体" w:cs="Times New Roman" w:hint="eastAsia"/>
          <w:sz w:val="24"/>
          <w:szCs w:val="20"/>
          <w:lang w:eastAsia="zh-CN"/>
        </w:rPr>
        <w:t>加和</w:t>
      </w:r>
      <w:r w:rsidRPr="00CB2BCF">
        <w:rPr>
          <w:rFonts w:eastAsia="宋体" w:cs="Times New Roman" w:hint="eastAsia"/>
          <w:sz w:val="24"/>
          <w:szCs w:val="20"/>
          <w:lang w:eastAsia="zh-CN"/>
        </w:rPr>
        <w:t>公式</w:t>
      </w:r>
      <w:r w:rsidR="00E80EE6">
        <w:rPr>
          <w:rFonts w:eastAsia="宋体" w:cs="Times New Roman" w:hint="eastAsia"/>
          <w:sz w:val="24"/>
          <w:szCs w:val="20"/>
          <w:lang w:eastAsia="zh-CN"/>
        </w:rPr>
        <w:t>和</w:t>
      </w:r>
      <w:r w:rsidR="00FD521D">
        <w:rPr>
          <w:rFonts w:eastAsia="宋体" w:cs="Times New Roman" w:hint="eastAsia"/>
          <w:sz w:val="24"/>
          <w:szCs w:val="20"/>
          <w:lang w:eastAsia="zh-CN"/>
        </w:rPr>
        <w:t>求</w:t>
      </w:r>
      <w:r>
        <w:rPr>
          <w:rFonts w:eastAsia="宋体" w:cs="Times New Roman" w:hint="eastAsia"/>
          <w:sz w:val="24"/>
          <w:szCs w:val="20"/>
          <w:lang w:eastAsia="zh-CN"/>
        </w:rPr>
        <w:t>和法。</w:t>
      </w: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4.1.3.5.</w:t>
      </w:r>
      <w:r>
        <w:rPr>
          <w:rFonts w:eastAsia="宋体" w:cs="Times New Roman" w:hint="eastAsia"/>
          <w:sz w:val="24"/>
          <w:szCs w:val="20"/>
          <w:lang w:eastAsia="zh-CN"/>
        </w:rPr>
        <w:t>2</w:t>
      </w:r>
      <w:r>
        <w:rPr>
          <w:rFonts w:eastAsia="宋体" w:cs="Times New Roman" w:hint="eastAsia"/>
          <w:sz w:val="24"/>
          <w:szCs w:val="20"/>
          <w:lang w:eastAsia="zh-CN"/>
        </w:rPr>
        <w:t>段、</w:t>
      </w:r>
      <w:r w:rsidRPr="00B04562">
        <w:rPr>
          <w:rFonts w:eastAsia="宋体" w:cs="Times New Roman"/>
          <w:sz w:val="24"/>
          <w:szCs w:val="20"/>
          <w:lang w:eastAsia="zh-CN"/>
        </w:rPr>
        <w:t>4.1.3.5.</w:t>
      </w:r>
      <w:r>
        <w:rPr>
          <w:rFonts w:eastAsia="宋体" w:cs="Times New Roman" w:hint="eastAsia"/>
          <w:sz w:val="24"/>
          <w:szCs w:val="20"/>
          <w:lang w:eastAsia="zh-CN"/>
        </w:rPr>
        <w:t>5.4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2D17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13AB2" w:rsidRPr="00B04562" w:rsidRDefault="00CB2BCF" w:rsidP="00E13AB2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f</w:t>
      </w:r>
      <w:r>
        <w:rPr>
          <w:rFonts w:eastAsia="宋体" w:cs="Times New Roman" w:hint="eastAsia"/>
          <w:sz w:val="24"/>
          <w:szCs w:val="20"/>
          <w:lang w:eastAsia="zh-CN"/>
        </w:rPr>
        <w:t>）根据标准</w:t>
      </w:r>
      <w:r>
        <w:rPr>
          <w:rFonts w:eastAsia="宋体" w:cs="Times New Roman" w:hint="eastAsia"/>
          <w:sz w:val="24"/>
          <w:szCs w:val="20"/>
          <w:lang w:eastAsia="zh-CN"/>
        </w:rPr>
        <w:t>4.4.3.1</w:t>
      </w:r>
      <w:r>
        <w:rPr>
          <w:rFonts w:eastAsia="宋体" w:cs="Times New Roman" w:hint="eastAsia"/>
          <w:sz w:val="24"/>
          <w:szCs w:val="20"/>
          <w:lang w:eastAsia="zh-CN"/>
        </w:rPr>
        <w:t>段关于混合物“相关成分”的概念，成分</w:t>
      </w:r>
      <w:r>
        <w:rPr>
          <w:rFonts w:eastAsia="宋体" w:cs="Times New Roman" w:hint="eastAsia"/>
          <w:sz w:val="24"/>
          <w:szCs w:val="20"/>
          <w:lang w:eastAsia="zh-CN"/>
        </w:rPr>
        <w:t>1</w:t>
      </w:r>
      <w:r>
        <w:rPr>
          <w:rFonts w:eastAsia="宋体" w:cs="Times New Roman" w:hint="eastAsia"/>
          <w:sz w:val="24"/>
          <w:szCs w:val="20"/>
          <w:lang w:eastAsia="zh-CN"/>
        </w:rPr>
        <w:t>、成分</w:t>
      </w:r>
      <w:r>
        <w:rPr>
          <w:rFonts w:eastAsia="宋体" w:cs="Times New Roman" w:hint="eastAsia"/>
          <w:sz w:val="24"/>
          <w:szCs w:val="20"/>
          <w:lang w:eastAsia="zh-CN"/>
        </w:rPr>
        <w:t>2</w:t>
      </w:r>
      <w:r>
        <w:rPr>
          <w:rFonts w:eastAsia="宋体" w:cs="Times New Roman" w:hint="eastAsia"/>
          <w:sz w:val="24"/>
          <w:szCs w:val="20"/>
          <w:lang w:eastAsia="zh-CN"/>
        </w:rPr>
        <w:t>、成分</w:t>
      </w:r>
      <w:r>
        <w:rPr>
          <w:rFonts w:eastAsia="宋体" w:cs="Times New Roman" w:hint="eastAsia"/>
          <w:sz w:val="24"/>
          <w:szCs w:val="20"/>
          <w:lang w:eastAsia="zh-CN"/>
        </w:rPr>
        <w:t>3</w:t>
      </w:r>
      <w:r>
        <w:rPr>
          <w:rFonts w:eastAsia="宋体" w:cs="Times New Roman" w:hint="eastAsia"/>
          <w:sz w:val="24"/>
          <w:szCs w:val="20"/>
          <w:lang w:eastAsia="zh-CN"/>
        </w:rPr>
        <w:t>均作为“相关成分”参与计算</w:t>
      </w:r>
      <w:r w:rsidR="004B2D17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13AB2" w:rsidRDefault="00E80EE6" w:rsidP="00E80EE6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g</w:t>
      </w:r>
      <w:r>
        <w:rPr>
          <w:rFonts w:eastAsia="宋体" w:cs="Times New Roman" w:hint="eastAsia"/>
          <w:sz w:val="24"/>
          <w:szCs w:val="20"/>
          <w:lang w:eastAsia="zh-CN"/>
        </w:rPr>
        <w:t>）在对混合物的一部分使用加和公式时，计算这部分混合物的毒性，最好使用每种成分对同一分类群（如鱼、甲壳</w:t>
      </w:r>
      <w:proofErr w:type="gramStart"/>
      <w:r>
        <w:rPr>
          <w:rFonts w:eastAsia="宋体" w:cs="Times New Roman" w:hint="eastAsia"/>
          <w:sz w:val="24"/>
          <w:szCs w:val="20"/>
          <w:lang w:eastAsia="zh-CN"/>
        </w:rPr>
        <w:t>纲</w:t>
      </w:r>
      <w:proofErr w:type="gramEnd"/>
      <w:r>
        <w:rPr>
          <w:rFonts w:eastAsia="宋体" w:cs="Times New Roman" w:hint="eastAsia"/>
          <w:sz w:val="24"/>
          <w:szCs w:val="20"/>
          <w:lang w:eastAsia="zh-CN"/>
        </w:rPr>
        <w:t>动物或藻类）的毒性值，然后取用得到的最高毒性（如取用三个类群中最敏感的一群）。但在无法得到每</w:t>
      </w:r>
      <w:r w:rsidR="00341BD2">
        <w:rPr>
          <w:rFonts w:eastAsia="宋体" w:cs="Times New Roman" w:hint="eastAsia"/>
          <w:sz w:val="24"/>
          <w:szCs w:val="20"/>
          <w:lang w:eastAsia="zh-CN"/>
        </w:rPr>
        <w:t>种成分对相同分类群的毒性数据时，应取用最敏感的测试生物体的数据</w:t>
      </w: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4.1.3.5.3</w:t>
      </w:r>
      <w:r>
        <w:rPr>
          <w:rFonts w:eastAsia="宋体" w:cs="Times New Roman" w:hint="eastAsia"/>
          <w:sz w:val="24"/>
          <w:szCs w:val="20"/>
          <w:lang w:eastAsia="zh-CN"/>
        </w:rPr>
        <w:t>段）。因此，成分</w:t>
      </w:r>
      <w:r>
        <w:rPr>
          <w:rFonts w:eastAsia="宋体" w:cs="Times New Roman" w:hint="eastAsia"/>
          <w:sz w:val="24"/>
          <w:szCs w:val="20"/>
          <w:lang w:eastAsia="zh-CN"/>
        </w:rPr>
        <w:t>1</w:t>
      </w:r>
      <w:r>
        <w:rPr>
          <w:rFonts w:eastAsia="宋体" w:cs="Times New Roman" w:hint="eastAsia"/>
          <w:sz w:val="24"/>
          <w:szCs w:val="20"/>
          <w:lang w:eastAsia="zh-CN"/>
        </w:rPr>
        <w:t>取用甲壳类动物的毒性数据，成分</w:t>
      </w:r>
      <w:r>
        <w:rPr>
          <w:rFonts w:eastAsia="宋体" w:cs="Times New Roman" w:hint="eastAsia"/>
          <w:sz w:val="24"/>
          <w:szCs w:val="20"/>
          <w:lang w:eastAsia="zh-CN"/>
        </w:rPr>
        <w:t>2</w:t>
      </w:r>
      <w:r>
        <w:rPr>
          <w:rFonts w:eastAsia="宋体" w:cs="Times New Roman" w:hint="eastAsia"/>
          <w:sz w:val="24"/>
          <w:szCs w:val="20"/>
          <w:lang w:eastAsia="zh-CN"/>
        </w:rPr>
        <w:t>取用藻类毒性数据</w:t>
      </w:r>
      <w:r w:rsidR="004B2D17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80EE6" w:rsidRDefault="0015360A" w:rsidP="00E80EE6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h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E80EE6">
        <w:rPr>
          <w:rFonts w:eastAsia="宋体" w:cs="Times New Roman" w:hint="eastAsia"/>
          <w:sz w:val="24"/>
          <w:szCs w:val="20"/>
          <w:lang w:eastAsia="zh-CN"/>
        </w:rPr>
        <w:t>根据慢性毒性加和公式，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将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20%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的混合物归类为</w:t>
      </w:r>
      <w:r w:rsidR="00E80EE6">
        <w:rPr>
          <w:rFonts w:eastAsia="宋体" w:cs="Times New Roman" w:hint="eastAsia"/>
          <w:sz w:val="24"/>
          <w:szCs w:val="20"/>
          <w:lang w:eastAsia="zh-CN"/>
        </w:rPr>
        <w:t>类别</w:t>
      </w:r>
      <w:r w:rsidR="00E80EE6">
        <w:rPr>
          <w:rFonts w:eastAsia="宋体" w:cs="Times New Roman" w:hint="eastAsia"/>
          <w:sz w:val="24"/>
          <w:szCs w:val="20"/>
          <w:lang w:eastAsia="zh-CN"/>
        </w:rPr>
        <w:t>3</w:t>
      </w:r>
      <w:r>
        <w:rPr>
          <w:rFonts w:eastAsia="宋体" w:cs="Times New Roman" w:hint="eastAsia"/>
          <w:sz w:val="24"/>
          <w:szCs w:val="20"/>
          <w:lang w:eastAsia="zh-CN"/>
        </w:rPr>
        <w:t>。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与成分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3</w:t>
      </w:r>
      <w:r w:rsidR="0029673B" w:rsidRPr="0029673B">
        <w:rPr>
          <w:rFonts w:eastAsia="宋体" w:cs="Times New Roman" w:hint="eastAsia"/>
          <w:sz w:val="24"/>
          <w:szCs w:val="20"/>
          <w:lang w:eastAsia="zh-CN"/>
        </w:rPr>
        <w:t>提供的分类信息一起用于</w:t>
      </w:r>
      <w:r w:rsidR="0029673B">
        <w:rPr>
          <w:rFonts w:eastAsia="宋体" w:cs="Times New Roman" w:hint="eastAsia"/>
          <w:sz w:val="24"/>
          <w:szCs w:val="20"/>
          <w:lang w:eastAsia="zh-CN"/>
        </w:rPr>
        <w:t>求和法对混合物进行分类；</w:t>
      </w:r>
    </w:p>
    <w:p w:rsidR="000429FB" w:rsidRDefault="0015360A" w:rsidP="0015360A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）如果混合物用一种以上的方法进行分类，那么应使用得到较保守结果的方法。</w:t>
      </w:r>
    </w:p>
    <w:p w:rsidR="000429FB" w:rsidRDefault="00E8758F" w:rsidP="000429FB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7620</wp:posOffset>
                </wp:positionV>
                <wp:extent cx="1094740" cy="9525"/>
                <wp:effectExtent l="9525" t="635" r="635" b="8890"/>
                <wp:wrapSquare wrapText="bothSides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9525"/>
                          <a:chOff x="0" y="0"/>
                          <a:chExt cx="1724" cy="1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09" cy="2"/>
                            <a:chOff x="7" y="7"/>
                            <a:chExt cx="1709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709"/>
                                <a:gd name="T2" fmla="+- 0 1716 7"/>
                                <a:gd name="T3" fmla="*/ T2 w 1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9">
                                  <a:moveTo>
                                    <a:pt x="0" y="0"/>
                                  </a:moveTo>
                                  <a:lnTo>
                                    <a:pt x="170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437CA8" id="Group 8" o:spid="_x0000_s1026" style="position:absolute;left:0;text-align:left;margin-left:178.5pt;margin-top:.6pt;width:86.2pt;height:.75pt;z-index:251658240" coordsize="17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CjfQMAANAIAAAOAAAAZHJzL2Uyb0RvYy54bWy0Vltv0zAUfkfiP1h+BHW5LFvaaN2EepmQ&#10;Bkxa+QGu41xEYgfbbToQ/51jO+mSThNoiD10xz3Hx993rr26OdQV2jOpSsHnODjzMWKcirTk+Rx/&#10;3awnU4yUJjwlleBsjh+ZwjfXb99ctU3CQlGIKmUSgROukraZ40LrJvE8RQtWE3UmGsZBmQlZEw1H&#10;mXupJC14rysv9P1LrxUybaSgTCn4dumU+Nr6zzJG9ZcsU0yjao4Bm7af0n5uzad3fUWSXJKmKGkH&#10;g7wCRU1KDo8eXS2JJmgny2eu6pJKoUSmz6ioPZFlJWWWA7AJ/BM2t1LsGsslT9q8OYYJQnsSp1e7&#10;pZ/39xKV6RyHGHFSQ4rsq2hqQtM2eQIWt7J5aO6l4wfinaDfFKi9U705584YbdtPIgV3ZKeFDc0h&#10;k7VxAaTRwWbg8ZgBdtCIwpeBP4viCBJFQTe7CC9cgmgBWXx2iRar/locRu5OYG94JHGvWYQdIkfH&#10;Ho7MOu7nY+6z/809xgj4xY7ckXvszxyJ8IT1yHzIenThRdLQWeqpeNS/Fc9DQRpma1KZ0ugCCNF3&#10;xbOWjJluRYHtrbaxVn31qGHpDDTGTEGF/bFoRpF4IXDHOJCE7pS+ZcKWHdnfKe3aPQXJFnPaod5A&#10;xWV1BZ3/foJ8FKMuNfnRIOgN3nlo46MWBSZbnbveC7TQwEsQB5fPHUGpORvjKBw4Ath5D4wUPVZ6&#10;4B1YkBAxU9W33dQIZRpiA8D6NgIPYGSIvWALb5/aujvdExLG5emglBjBoNw6qg3RBpl5woiohY41&#10;cTBf1GLPNsKq9EmrwiNP2ooPrez1ISqnhhvmARgxTrCPGqyDhHKxLqvKpqDiBsosiCILRYmqTI3S&#10;oFEy3y4qifbErICpf+6fGzLgbGQGo5an1lnBSLrqZE3KyslgX9nYQtV1ITD1Z2f8z5k/W01X02gS&#10;hZerSeQvl5MP60U0uVwH8cXyfLlYLINfBloQJUWZpowbdP2+CaK/a8lu87lNcdw4IxYjsmv795ys&#10;N4ZhYwFc+v8u1n1LmlGpkq1IH6E9pXALFBY+CIWQPzBqYXnOsfq+I5JhVH3kMGBMJsy2tYfoIg7h&#10;IIea7VBDOAVXc6wxFLgRF9pt6F0jy7yAlwKbVi4+wC7JStPFMNh7VN0BZpyVug3UybA2QRrt5eHZ&#10;Wj39ELn+DQAA//8DAFBLAwQUAAYACAAAACEAUqklVN4AAAAHAQAADwAAAGRycy9kb3ducmV2Lnht&#10;bEyPQUvDQBCF74L/YRnBm90kNbbGbEop6qkItoL0ts1Ok9DsbMhuk/TfO570OHyP977JV5NtxYC9&#10;bxwpiGcRCKTSmYYqBV/7t4clCB80Gd06QgVX9LAqbm9ynRk30icOu1AJLiGfaQV1CF0mpS9rtNrP&#10;XIfE7OR6qwOffSVNr0cut61MouhJWt0QL9S6w02N5Xl3sQreRz2u5/HrsD2fNtfDPv343sao1P3d&#10;tH4BEXAKf2H41Wd1KNjp6C5kvGgVzNMF/xIYJCCYp8nzI4ijgmQBssjlf//iBwAA//8DAFBLAQIt&#10;ABQABgAIAAAAIQC2gziS/gAAAOEBAAATAAAAAAAAAAAAAAAAAAAAAABbQ29udGVudF9UeXBlc10u&#10;eG1sUEsBAi0AFAAGAAgAAAAhADj9If/WAAAAlAEAAAsAAAAAAAAAAAAAAAAALwEAAF9yZWxzLy5y&#10;ZWxzUEsBAi0AFAAGAAgAAAAhADzpcKN9AwAA0AgAAA4AAAAAAAAAAAAAAAAALgIAAGRycy9lMm9E&#10;b2MueG1sUEsBAi0AFAAGAAgAAAAhAFKpJVTeAAAABwEAAA8AAAAAAAAAAAAAAAAA1wUAAGRycy9k&#10;b3ducmV2LnhtbFBLBQYAAAAABAAEAPMAAADiBgAAAAA=&#10;">
                <v:group id="Group 9" o:spid="_x0000_s1027" style="position:absolute;left:7;top:7;width:1709;height:2" coordorigin="7,7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7;top:7;width:1709;height:2;visibility:visible;mso-wrap-style:square;v-text-anchor:top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5lxAAAANoAAAAPAAAAZHJzL2Rvd25yZXYueG1sRI9BawIx&#10;FITvhf6H8ApeRJOKlboapSiCUHpwLeLxsXnuLt28bJPobv99UxB6HGbmG2a57m0jbuRD7VjD81iB&#10;IC6cqbnU8HncjV5BhIhssHFMGn4owHr1+LDEzLiOD3TLYykShEOGGqoY20zKUFRkMYxdS5y8i/MW&#10;Y5K+lMZjl+C2kROlZtJizWmhwpY2FRVf+dVqOH3s5+Y4/H5/uYRN1529mset0nrw1L8tQETq43/4&#10;3t4bDVP4u5JugFz9AgAA//8DAFBLAQItABQABgAIAAAAIQDb4fbL7gAAAIUBAAATAAAAAAAAAAAA&#10;AAAAAAAAAABbQ29udGVudF9UeXBlc10ueG1sUEsBAi0AFAAGAAgAAAAhAFr0LFu/AAAAFQEAAAsA&#10;AAAAAAAAAAAAAAAAHwEAAF9yZWxzLy5yZWxzUEsBAi0AFAAGAAgAAAAhABNLvmXEAAAA2gAAAA8A&#10;AAAAAAAAAAAAAAAABwIAAGRycy9kb3ducmV2LnhtbFBLBQYAAAAAAwADALcAAAD4AgAAAAA=&#10;" path="m,l1709,e" filled="f" strokecolor="#080303" strokeweight=".72pt">
                    <v:path arrowok="t" o:connecttype="custom" o:connectlocs="0,0;1709,0" o:connectangles="0,0"/>
                  </v:shape>
                </v:group>
                <w10:wrap type="square"/>
              </v:group>
            </w:pict>
          </mc:Fallback>
        </mc:AlternateContent>
      </w:r>
    </w:p>
    <w:p w:rsidR="000429FB" w:rsidRDefault="000429FB" w:rsidP="000429FB">
      <w:pPr>
        <w:spacing w:line="36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0429FB" w:rsidRDefault="0040231C" w:rsidP="0015360A">
      <w:pPr>
        <w:pStyle w:val="a3"/>
        <w:spacing w:before="0" w:line="360" w:lineRule="auto"/>
        <w:ind w:left="0" w:firstLineChars="200" w:firstLine="380"/>
        <w:jc w:val="center"/>
        <w:rPr>
          <w:rFonts w:eastAsiaTheme="minorEastAsia" w:cs="Times New Roman"/>
          <w:color w:val="181616"/>
          <w:sz w:val="20"/>
          <w:lang w:eastAsia="zh-CN"/>
        </w:rPr>
      </w:pPr>
      <w:r>
        <w:t>(Ref.Doc: ST/SG/AC.10/C.4/2012/25, Annex 4, example 2</w:t>
      </w:r>
      <w:r>
        <w:rPr>
          <w:rFonts w:asciiTheme="minorEastAsia" w:eastAsiaTheme="minorEastAsia" w:hAnsiTheme="minorEastAsia" w:hint="eastAsia"/>
          <w:lang w:eastAsia="zh-CN"/>
        </w:rPr>
        <w:t>)</w:t>
      </w:r>
      <w:bookmarkStart w:id="0" w:name="_GoBack"/>
      <w:bookmarkEnd w:id="0"/>
    </w:p>
    <w:p w:rsidR="009233B2" w:rsidRDefault="009233B2" w:rsidP="000429FB">
      <w:pPr>
        <w:pStyle w:val="1"/>
        <w:spacing w:before="50"/>
        <w:ind w:left="0"/>
        <w:rPr>
          <w:rFonts w:cs="Times New Roman"/>
          <w:lang w:eastAsia="zh-CN"/>
        </w:rPr>
      </w:pPr>
    </w:p>
    <w:sectPr w:rsidR="009233B2" w:rsidSect="000429FB">
      <w:footerReference w:type="default" r:id="rId7"/>
      <w:pgSz w:w="11910" w:h="16840"/>
      <w:pgMar w:top="1300" w:right="1680" w:bottom="1860" w:left="168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C4" w:rsidRDefault="005A60C4">
      <w:r>
        <w:separator/>
      </w:r>
    </w:p>
  </w:endnote>
  <w:endnote w:type="continuationSeparator" w:id="0">
    <w:p w:rsidR="005A60C4" w:rsidRDefault="005A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B2" w:rsidRDefault="00E8758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9489440</wp:posOffset>
              </wp:positionV>
              <wp:extent cx="142875" cy="133350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3B2" w:rsidRPr="00341BD2" w:rsidRDefault="000910B6">
                          <w:pPr>
                            <w:spacing w:before="6"/>
                            <w:ind w:left="54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341BD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341BD2">
                            <w:rPr>
                              <w:rFonts w:ascii="Times New Roman" w:hAnsi="Times New Roman" w:cs="Times New Roman"/>
                              <w:color w:val="0C0A0A"/>
                              <w:w w:val="145"/>
                              <w:sz w:val="16"/>
                            </w:rPr>
                            <w:instrText xml:space="preserve"> PAGE </w:instrText>
                          </w:r>
                          <w:r w:rsidRPr="00341BD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0231C">
                            <w:rPr>
                              <w:rFonts w:ascii="Times New Roman" w:hAnsi="Times New Roman" w:cs="Times New Roman"/>
                              <w:noProof/>
                              <w:color w:val="0C0A0A"/>
                              <w:w w:val="145"/>
                              <w:sz w:val="16"/>
                            </w:rPr>
                            <w:t>3</w:t>
                          </w:r>
                          <w:r w:rsidRPr="00341BD2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47.2pt;width:11.2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ZGrAIAAKg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UzIMIiWc4wKuPJns9ncds4lyfS4k0q/o6JFxkix&#10;hMZbcHK6VRpogOvkYmJxkbOmsc1v+LMDcBxPIDQ8NXcmCdvLH7EX76JdFDphsNg5oZdlzjrfhs4i&#10;95fzbJZtt5n/08T1w6RmZUm5CTPpyg//rG+PCh8VcVaWEg0rDZxJScnDfttIdCKg69x+plmQ/IWb&#10;+zwNew1cXlDyg9DbBLGTL6KlE+bh3ImXXuR4fryJF14Yh1n+nNIt4/TfKaE+xfE8mI9a+i03z36v&#10;uZGkZRomR8PaFEdnJ5IYBe54aVurCWtG+6IUJv2nUkDFpkZbvRqJjmLVw34AFCPivSgfQLlSgLJA&#10;njDuwKiF/I5RD6MjxerbkUiKUfOeg/rNnJkMORn7ySC8gKcp1hiN5laP8+jYSXaoAXn8v7hYwx9S&#10;MavepywgdbOBcWBJPI4uM28u99bracCufgEAAP//AwBQSwMEFAAGAAgAAAAhAJbV87jiAAAADQEA&#10;AA8AAABkcnMvZG93bnJldi54bWxMj8FugzAQRO+V8g/WVuqtsVMBAoqJoqo9VapK6KFHgx1AwWuC&#10;nYT+fben5ra7M5p9U2wXO7KLmf3gUMJmLYAZbJ0esJPwVb89psB8UKjV6NBI+DEetuXqrlC5dles&#10;zGUfOkYh6HMloQ9hyjn3bW+s8ms3GSTt4GarAq1zx/WsrhRuR/4kRMKtGpA+9GoyL71pj/uzlbD7&#10;xup1OH00n9WhGuo6E/ieHKV8uF92z8CCWcK/Gf7wCR1KYmrcGbVno4Q4TSKykhBlEU1kSUSaAWvo&#10;FG/iCHhZ8NsW5S8AAAD//wMAUEsBAi0AFAAGAAgAAAAhALaDOJL+AAAA4QEAABMAAAAAAAAAAAAA&#10;AAAAAAAAAFtDb250ZW50X1R5cGVzXS54bWxQSwECLQAUAAYACAAAACEAOP0h/9YAAACUAQAACwAA&#10;AAAAAAAAAAAAAAAvAQAAX3JlbHMvLnJlbHNQSwECLQAUAAYACAAAACEA7tUGRqwCAACoBQAADgAA&#10;AAAAAAAAAAAAAAAuAgAAZHJzL2Uyb0RvYy54bWxQSwECLQAUAAYACAAAACEAltXzuOIAAAANAQAA&#10;DwAAAAAAAAAAAAAAAAAGBQAAZHJzL2Rvd25yZXYueG1sUEsFBgAAAAAEAAQA8wAAABUGAAAAAA==&#10;" filled="f" stroked="f">
              <v:textbox inset="0,0,0,0">
                <w:txbxContent>
                  <w:p w:rsidR="009233B2" w:rsidRPr="00341BD2" w:rsidRDefault="000910B6">
                    <w:pPr>
                      <w:spacing w:before="6"/>
                      <w:ind w:left="54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341BD2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341BD2">
                      <w:rPr>
                        <w:rFonts w:ascii="Times New Roman" w:hAnsi="Times New Roman" w:cs="Times New Roman"/>
                        <w:color w:val="0C0A0A"/>
                        <w:w w:val="145"/>
                        <w:sz w:val="16"/>
                      </w:rPr>
                      <w:instrText xml:space="preserve"> PAGE </w:instrText>
                    </w:r>
                    <w:r w:rsidRPr="00341BD2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40231C">
                      <w:rPr>
                        <w:rFonts w:ascii="Times New Roman" w:hAnsi="Times New Roman" w:cs="Times New Roman"/>
                        <w:noProof/>
                        <w:color w:val="0C0A0A"/>
                        <w:w w:val="145"/>
                        <w:sz w:val="16"/>
                      </w:rPr>
                      <w:t>3</w:t>
                    </w:r>
                    <w:r w:rsidRPr="00341BD2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C4" w:rsidRDefault="005A60C4">
      <w:r>
        <w:separator/>
      </w:r>
    </w:p>
  </w:footnote>
  <w:footnote w:type="continuationSeparator" w:id="0">
    <w:p w:rsidR="005A60C4" w:rsidRDefault="005A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6BE2"/>
    <w:multiLevelType w:val="hybridMultilevel"/>
    <w:tmpl w:val="079663AA"/>
    <w:lvl w:ilvl="0" w:tplc="E1AC38EA">
      <w:start w:val="7"/>
      <w:numFmt w:val="lowerLetter"/>
      <w:lvlText w:val="(%1)"/>
      <w:lvlJc w:val="left"/>
      <w:pPr>
        <w:ind w:left="1156" w:hanging="562"/>
      </w:pPr>
      <w:rPr>
        <w:rFonts w:ascii="Times New Roman" w:eastAsia="Times New Roman" w:hAnsi="Times New Roman" w:hint="default"/>
        <w:color w:val="181616"/>
        <w:w w:val="101"/>
        <w:sz w:val="19"/>
        <w:szCs w:val="19"/>
      </w:rPr>
    </w:lvl>
    <w:lvl w:ilvl="1" w:tplc="F20417A4">
      <w:start w:val="1"/>
      <w:numFmt w:val="lowerRoman"/>
      <w:lvlText w:val="(%2)"/>
      <w:lvlJc w:val="left"/>
      <w:pPr>
        <w:ind w:left="1261" w:hanging="567"/>
      </w:pPr>
      <w:rPr>
        <w:rFonts w:ascii="Times New Roman" w:eastAsia="Times New Roman" w:hAnsi="Times New Roman" w:hint="default"/>
        <w:color w:val="181616"/>
        <w:w w:val="101"/>
        <w:sz w:val="19"/>
        <w:szCs w:val="19"/>
      </w:rPr>
    </w:lvl>
    <w:lvl w:ilvl="2" w:tplc="49D00C54">
      <w:start w:val="1"/>
      <w:numFmt w:val="bullet"/>
      <w:lvlText w:val="•"/>
      <w:lvlJc w:val="left"/>
      <w:pPr>
        <w:ind w:left="2071" w:hanging="567"/>
      </w:pPr>
      <w:rPr>
        <w:rFonts w:hint="default"/>
      </w:rPr>
    </w:lvl>
    <w:lvl w:ilvl="3" w:tplc="310AD15C">
      <w:start w:val="1"/>
      <w:numFmt w:val="bullet"/>
      <w:lvlText w:val="•"/>
      <w:lvlJc w:val="left"/>
      <w:pPr>
        <w:ind w:left="2880" w:hanging="567"/>
      </w:pPr>
      <w:rPr>
        <w:rFonts w:hint="default"/>
      </w:rPr>
    </w:lvl>
    <w:lvl w:ilvl="4" w:tplc="37065BF2">
      <w:start w:val="1"/>
      <w:numFmt w:val="bullet"/>
      <w:lvlText w:val="•"/>
      <w:lvlJc w:val="left"/>
      <w:pPr>
        <w:ind w:left="3690" w:hanging="567"/>
      </w:pPr>
      <w:rPr>
        <w:rFonts w:hint="default"/>
      </w:rPr>
    </w:lvl>
    <w:lvl w:ilvl="5" w:tplc="AD982DF0">
      <w:start w:val="1"/>
      <w:numFmt w:val="bullet"/>
      <w:lvlText w:val="•"/>
      <w:lvlJc w:val="left"/>
      <w:pPr>
        <w:ind w:left="4500" w:hanging="567"/>
      </w:pPr>
      <w:rPr>
        <w:rFonts w:hint="default"/>
      </w:rPr>
    </w:lvl>
    <w:lvl w:ilvl="6" w:tplc="C242E890">
      <w:start w:val="1"/>
      <w:numFmt w:val="bullet"/>
      <w:lvlText w:val="•"/>
      <w:lvlJc w:val="left"/>
      <w:pPr>
        <w:ind w:left="5310" w:hanging="567"/>
      </w:pPr>
      <w:rPr>
        <w:rFonts w:hint="default"/>
      </w:rPr>
    </w:lvl>
    <w:lvl w:ilvl="7" w:tplc="5D0030B4">
      <w:start w:val="1"/>
      <w:numFmt w:val="bullet"/>
      <w:lvlText w:val="•"/>
      <w:lvlJc w:val="left"/>
      <w:pPr>
        <w:ind w:left="6119" w:hanging="567"/>
      </w:pPr>
      <w:rPr>
        <w:rFonts w:hint="default"/>
      </w:rPr>
    </w:lvl>
    <w:lvl w:ilvl="8" w:tplc="F93E68AA">
      <w:start w:val="1"/>
      <w:numFmt w:val="bullet"/>
      <w:lvlText w:val="•"/>
      <w:lvlJc w:val="left"/>
      <w:pPr>
        <w:ind w:left="6929" w:hanging="567"/>
      </w:pPr>
      <w:rPr>
        <w:rFonts w:hint="default"/>
      </w:rPr>
    </w:lvl>
  </w:abstractNum>
  <w:abstractNum w:abstractNumId="1" w15:restartNumberingAfterBreak="0">
    <w:nsid w:val="55777EAA"/>
    <w:multiLevelType w:val="hybridMultilevel"/>
    <w:tmpl w:val="14B60BCA"/>
    <w:lvl w:ilvl="0" w:tplc="9530E550">
      <w:start w:val="1"/>
      <w:numFmt w:val="lowerLetter"/>
      <w:lvlText w:val="(%1)"/>
      <w:lvlJc w:val="left"/>
      <w:pPr>
        <w:ind w:left="1156" w:hanging="567"/>
      </w:pPr>
      <w:rPr>
        <w:rFonts w:ascii="Times New Roman" w:eastAsia="Times New Roman" w:hAnsi="Times New Roman" w:hint="default"/>
        <w:color w:val="181616"/>
        <w:w w:val="101"/>
        <w:sz w:val="19"/>
        <w:szCs w:val="19"/>
      </w:rPr>
    </w:lvl>
    <w:lvl w:ilvl="1" w:tplc="D34EFA3C">
      <w:start w:val="1"/>
      <w:numFmt w:val="bullet"/>
      <w:lvlText w:val="•"/>
      <w:lvlJc w:val="left"/>
      <w:pPr>
        <w:ind w:left="1896" w:hanging="567"/>
      </w:pPr>
      <w:rPr>
        <w:rFonts w:hint="default"/>
      </w:rPr>
    </w:lvl>
    <w:lvl w:ilvl="2" w:tplc="6836710A">
      <w:start w:val="1"/>
      <w:numFmt w:val="bullet"/>
      <w:lvlText w:val="•"/>
      <w:lvlJc w:val="left"/>
      <w:pPr>
        <w:ind w:left="2635" w:hanging="567"/>
      </w:pPr>
      <w:rPr>
        <w:rFonts w:hint="default"/>
      </w:rPr>
    </w:lvl>
    <w:lvl w:ilvl="3" w:tplc="235272CA">
      <w:start w:val="1"/>
      <w:numFmt w:val="bullet"/>
      <w:lvlText w:val="•"/>
      <w:lvlJc w:val="left"/>
      <w:pPr>
        <w:ind w:left="3374" w:hanging="567"/>
      </w:pPr>
      <w:rPr>
        <w:rFonts w:hint="default"/>
      </w:rPr>
    </w:lvl>
    <w:lvl w:ilvl="4" w:tplc="2B502578">
      <w:start w:val="1"/>
      <w:numFmt w:val="bullet"/>
      <w:lvlText w:val="•"/>
      <w:lvlJc w:val="left"/>
      <w:pPr>
        <w:ind w:left="4113" w:hanging="567"/>
      </w:pPr>
      <w:rPr>
        <w:rFonts w:hint="default"/>
      </w:rPr>
    </w:lvl>
    <w:lvl w:ilvl="5" w:tplc="D5EA0210">
      <w:start w:val="1"/>
      <w:numFmt w:val="bullet"/>
      <w:lvlText w:val="•"/>
      <w:lvlJc w:val="left"/>
      <w:pPr>
        <w:ind w:left="4852" w:hanging="567"/>
      </w:pPr>
      <w:rPr>
        <w:rFonts w:hint="default"/>
      </w:rPr>
    </w:lvl>
    <w:lvl w:ilvl="6" w:tplc="8318C4B0">
      <w:start w:val="1"/>
      <w:numFmt w:val="bullet"/>
      <w:lvlText w:val="•"/>
      <w:lvlJc w:val="left"/>
      <w:pPr>
        <w:ind w:left="5592" w:hanging="567"/>
      </w:pPr>
      <w:rPr>
        <w:rFonts w:hint="default"/>
      </w:rPr>
    </w:lvl>
    <w:lvl w:ilvl="7" w:tplc="2D9ACBD6">
      <w:start w:val="1"/>
      <w:numFmt w:val="bullet"/>
      <w:lvlText w:val="•"/>
      <w:lvlJc w:val="left"/>
      <w:pPr>
        <w:ind w:left="6331" w:hanging="567"/>
      </w:pPr>
      <w:rPr>
        <w:rFonts w:hint="default"/>
      </w:rPr>
    </w:lvl>
    <w:lvl w:ilvl="8" w:tplc="78D60FF2">
      <w:start w:val="1"/>
      <w:numFmt w:val="bullet"/>
      <w:lvlText w:val="•"/>
      <w:lvlJc w:val="left"/>
      <w:pPr>
        <w:ind w:left="7070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2"/>
    <w:rsid w:val="000358FE"/>
    <w:rsid w:val="000429FB"/>
    <w:rsid w:val="000540B0"/>
    <w:rsid w:val="000910B6"/>
    <w:rsid w:val="001439CC"/>
    <w:rsid w:val="0015360A"/>
    <w:rsid w:val="0023291B"/>
    <w:rsid w:val="002725DE"/>
    <w:rsid w:val="002818EE"/>
    <w:rsid w:val="0029673B"/>
    <w:rsid w:val="002A726A"/>
    <w:rsid w:val="00302C58"/>
    <w:rsid w:val="00341BD2"/>
    <w:rsid w:val="0040231C"/>
    <w:rsid w:val="004A0E05"/>
    <w:rsid w:val="004B2D17"/>
    <w:rsid w:val="005A60C4"/>
    <w:rsid w:val="005A7A55"/>
    <w:rsid w:val="005C3C53"/>
    <w:rsid w:val="00624C9D"/>
    <w:rsid w:val="007C2F69"/>
    <w:rsid w:val="008365D0"/>
    <w:rsid w:val="008467EE"/>
    <w:rsid w:val="009233B2"/>
    <w:rsid w:val="009464D1"/>
    <w:rsid w:val="00947707"/>
    <w:rsid w:val="00962C8A"/>
    <w:rsid w:val="00985031"/>
    <w:rsid w:val="00992722"/>
    <w:rsid w:val="00A00B6C"/>
    <w:rsid w:val="00AB00F3"/>
    <w:rsid w:val="00B05B18"/>
    <w:rsid w:val="00C11C67"/>
    <w:rsid w:val="00CB2BCF"/>
    <w:rsid w:val="00D6536F"/>
    <w:rsid w:val="00D75788"/>
    <w:rsid w:val="00DB63D6"/>
    <w:rsid w:val="00E13AB2"/>
    <w:rsid w:val="00E23F43"/>
    <w:rsid w:val="00E80EE6"/>
    <w:rsid w:val="00E8758F"/>
    <w:rsid w:val="00FC5004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824C21-C40A-4CE8-9956-75CB0A9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29FB"/>
  </w:style>
  <w:style w:type="paragraph" w:styleId="1">
    <w:name w:val="heading 1"/>
    <w:basedOn w:val="a"/>
    <w:link w:val="10"/>
    <w:uiPriority w:val="1"/>
    <w:qFormat/>
    <w:pPr>
      <w:ind w:left="59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1"/>
      <w:ind w:left="1156"/>
    </w:pPr>
    <w:rPr>
      <w:rFonts w:ascii="Times New Roman" w:eastAsia="Times New Roman" w:hAnsi="Times New Roman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910B6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0910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B00F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B00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B00F3"/>
    <w:rPr>
      <w:sz w:val="18"/>
      <w:szCs w:val="18"/>
    </w:rPr>
  </w:style>
  <w:style w:type="paragraph" w:customStyle="1" w:styleId="ac">
    <w:name w:val="表格"/>
    <w:basedOn w:val="a3"/>
    <w:link w:val="ad"/>
    <w:uiPriority w:val="1"/>
    <w:qFormat/>
    <w:rsid w:val="00962C8A"/>
    <w:pPr>
      <w:spacing w:before="0"/>
      <w:ind w:left="0"/>
      <w:jc w:val="center"/>
    </w:pPr>
    <w:rPr>
      <w:rFonts w:eastAsia="宋体"/>
      <w:bCs/>
      <w:sz w:val="21"/>
      <w:szCs w:val="21"/>
      <w:lang w:eastAsia="zh-CN"/>
    </w:rPr>
  </w:style>
  <w:style w:type="character" w:customStyle="1" w:styleId="ad">
    <w:name w:val="表格 字符"/>
    <w:basedOn w:val="a0"/>
    <w:link w:val="ac"/>
    <w:uiPriority w:val="1"/>
    <w:rsid w:val="00962C8A"/>
    <w:rPr>
      <w:rFonts w:ascii="Times New Roman" w:eastAsia="宋体" w:hAnsi="Times New Roman"/>
      <w:bCs/>
      <w:sz w:val="21"/>
      <w:szCs w:val="21"/>
      <w:lang w:eastAsia="zh-CN"/>
    </w:rPr>
  </w:style>
  <w:style w:type="character" w:customStyle="1" w:styleId="a4">
    <w:name w:val="正文文本 字符"/>
    <w:basedOn w:val="a0"/>
    <w:link w:val="a3"/>
    <w:uiPriority w:val="1"/>
    <w:rsid w:val="002818EE"/>
    <w:rPr>
      <w:rFonts w:ascii="Times New Roman" w:eastAsia="Times New Roman" w:hAnsi="Times New Roman"/>
      <w:sz w:val="19"/>
      <w:szCs w:val="19"/>
    </w:rPr>
  </w:style>
  <w:style w:type="character" w:styleId="ae">
    <w:name w:val="Placeholder Text"/>
    <w:basedOn w:val="a0"/>
    <w:uiPriority w:val="99"/>
    <w:semiHidden/>
    <w:rsid w:val="00FC5004"/>
    <w:rPr>
      <w:color w:val="808080"/>
    </w:rPr>
  </w:style>
  <w:style w:type="character" w:customStyle="1" w:styleId="10">
    <w:name w:val="标题 1 字符"/>
    <w:basedOn w:val="a0"/>
    <w:link w:val="1"/>
    <w:uiPriority w:val="1"/>
    <w:rsid w:val="000429FB"/>
    <w:rPr>
      <w:rFonts w:ascii="Times New Roman" w:eastAsia="Times New Roman" w:hAnsi="Times New Roman"/>
      <w:b/>
      <w:bCs/>
      <w:sz w:val="19"/>
      <w:szCs w:val="19"/>
    </w:rPr>
  </w:style>
  <w:style w:type="table" w:styleId="af">
    <w:name w:val="Table Grid"/>
    <w:basedOn w:val="a1"/>
    <w:uiPriority w:val="59"/>
    <w:rsid w:val="0084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刘婉卿</cp:lastModifiedBy>
  <cp:revision>2</cp:revision>
  <dcterms:created xsi:type="dcterms:W3CDTF">2023-12-13T03:15:00Z</dcterms:created>
  <dcterms:modified xsi:type="dcterms:W3CDTF">2023-12-13T03:15:00Z</dcterms:modified>
</cp:coreProperties>
</file>