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spacing w:line="720" w:lineRule="auto"/>
        <w:jc w:val="center"/>
        <w:rPr>
          <w:rFonts w:hint="eastAsia" w:ascii="Times New Roman" w:hAnsi="黑体" w:eastAsia="黑体"/>
          <w:sz w:val="44"/>
          <w:szCs w:val="44"/>
        </w:rPr>
      </w:pPr>
      <w:r>
        <w:rPr>
          <w:rFonts w:hint="eastAsia" w:ascii="Times New Roman" w:hAnsi="黑体" w:eastAsia="黑体"/>
          <w:sz w:val="44"/>
          <w:szCs w:val="44"/>
        </w:rPr>
        <w:t>“十四五”民</w:t>
      </w:r>
      <w:r>
        <w:rPr>
          <w:rFonts w:hint="eastAsia" w:ascii="Times New Roman" w:hAnsi="黑体" w:eastAsia="黑体"/>
          <w:sz w:val="44"/>
          <w:szCs w:val="44"/>
          <w:lang w:val="en-US" w:eastAsia="zh-CN"/>
        </w:rPr>
        <w:t>用</w:t>
      </w:r>
      <w:r>
        <w:rPr>
          <w:rFonts w:hint="eastAsia" w:ascii="Times New Roman" w:hAnsi="黑体" w:eastAsia="黑体"/>
          <w:sz w:val="44"/>
          <w:szCs w:val="44"/>
        </w:rPr>
        <w:t>爆</w:t>
      </w:r>
      <w:r>
        <w:rPr>
          <w:rFonts w:hint="eastAsia" w:ascii="Times New Roman" w:hAnsi="黑体" w:eastAsia="黑体"/>
          <w:sz w:val="44"/>
          <w:szCs w:val="44"/>
          <w:lang w:val="en-US" w:eastAsia="zh-CN"/>
        </w:rPr>
        <w:t>炸物品</w:t>
      </w:r>
      <w:r>
        <w:rPr>
          <w:rFonts w:hint="eastAsia" w:ascii="Times New Roman" w:hAnsi="黑体" w:eastAsia="黑体"/>
          <w:sz w:val="44"/>
          <w:szCs w:val="44"/>
        </w:rPr>
        <w:t>行业标准体系</w:t>
      </w:r>
    </w:p>
    <w:p>
      <w:pPr>
        <w:pStyle w:val="2"/>
        <w:jc w:val="center"/>
        <w:rPr>
          <w:rFonts w:hint="eastAsia" w:ascii="Times New Roman" w:hAnsi="黑体" w:eastAsia="黑体"/>
          <w:sz w:val="44"/>
          <w:szCs w:val="44"/>
        </w:rPr>
      </w:pPr>
      <w:r>
        <w:rPr>
          <w:rFonts w:hint="eastAsia" w:ascii="Times New Roman" w:hAnsi="黑体" w:eastAsia="黑体"/>
          <w:sz w:val="44"/>
          <w:szCs w:val="44"/>
        </w:rPr>
        <w:t>建设方案</w:t>
      </w:r>
    </w:p>
    <w:p>
      <w:pPr>
        <w:pStyle w:val="2"/>
        <w:jc w:val="center"/>
        <w:rPr>
          <w:rFonts w:hint="eastAsia" w:ascii="Times New Roman" w:hAnsi="黑体" w:eastAsia="黑体"/>
          <w:sz w:val="44"/>
          <w:szCs w:val="44"/>
          <w:lang w:eastAsia="zh-CN"/>
        </w:rPr>
      </w:pPr>
    </w:p>
    <w:p>
      <w:pPr>
        <w:pStyle w:val="2"/>
        <w:jc w:val="center"/>
        <w:rPr>
          <w:rFonts w:hint="eastAsia" w:eastAsia="黑体"/>
          <w:sz w:val="28"/>
          <w:szCs w:val="28"/>
          <w:lang w:eastAsia="zh-CN"/>
        </w:rPr>
      </w:pPr>
      <w:r>
        <w:rPr>
          <w:rFonts w:hint="eastAsia" w:ascii="Times New Roman" w:hAnsi="黑体" w:eastAsia="黑体"/>
          <w:sz w:val="28"/>
          <w:szCs w:val="28"/>
          <w:lang w:eastAsia="zh-CN"/>
        </w:rPr>
        <w:t>（</w:t>
      </w:r>
      <w:r>
        <w:rPr>
          <w:rFonts w:hint="eastAsia" w:ascii="Times New Roman" w:hAnsi="黑体" w:eastAsia="黑体"/>
          <w:sz w:val="28"/>
          <w:szCs w:val="28"/>
          <w:lang w:val="en-US" w:eastAsia="zh-CN"/>
        </w:rPr>
        <w:t>征求意见稿</w:t>
      </w:r>
      <w:r>
        <w:rPr>
          <w:rFonts w:hint="eastAsia" w:ascii="Times New Roman" w:hAnsi="黑体" w:eastAsia="黑体"/>
          <w:sz w:val="28"/>
          <w:szCs w:val="28"/>
          <w:lang w:eastAsia="zh-CN"/>
        </w:rPr>
        <w:t>）</w:t>
      </w:r>
    </w:p>
    <w:p>
      <w:pPr>
        <w:spacing w:line="720" w:lineRule="auto"/>
        <w:jc w:val="center"/>
        <w:rPr>
          <w:rFonts w:ascii="Times New Roman" w:hAnsi="黑体" w:eastAsia="黑体"/>
          <w:sz w:val="44"/>
          <w:szCs w:val="44"/>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pPr>
      <w:r>
        <w:rPr>
          <w:rFonts w:hint="eastAsia" w:ascii="Times New Roman" w:hAnsi="黑体" w:eastAsia="黑体"/>
          <w:sz w:val="32"/>
          <w:szCs w:val="32"/>
        </w:rPr>
        <w:t>中国兵器工业标准化研究所</w:t>
      </w:r>
    </w:p>
    <w:p>
      <w:pPr>
        <w:jc w:val="center"/>
        <w:rPr>
          <w:rFonts w:ascii="Times New Roman" w:hAnsi="黑体" w:eastAsia="黑体"/>
          <w:sz w:val="32"/>
          <w:szCs w:val="32"/>
        </w:rPr>
        <w:sectPr>
          <w:headerReference r:id="rId4"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r>
        <w:rPr>
          <w:rFonts w:hint="eastAsia" w:ascii="Times New Roman" w:hAnsi="黑体" w:eastAsia="黑体"/>
          <w:sz w:val="32"/>
          <w:szCs w:val="32"/>
        </w:rPr>
        <w:t>二〇二</w:t>
      </w:r>
      <w:r>
        <w:rPr>
          <w:rFonts w:hint="eastAsia" w:ascii="Times New Roman" w:hAnsi="黑体" w:eastAsia="黑体"/>
          <w:sz w:val="32"/>
          <w:szCs w:val="32"/>
          <w:lang w:val="en-US" w:eastAsia="zh-CN"/>
        </w:rPr>
        <w:t>三</w:t>
      </w:r>
      <w:r>
        <w:rPr>
          <w:rFonts w:hint="eastAsia" w:ascii="Times New Roman" w:hAnsi="黑体" w:eastAsia="黑体"/>
          <w:sz w:val="32"/>
          <w:szCs w:val="32"/>
        </w:rPr>
        <w:t>年</w:t>
      </w:r>
      <w:r>
        <w:rPr>
          <w:rFonts w:hint="eastAsia" w:ascii="Times New Roman" w:hAnsi="黑体" w:eastAsia="黑体"/>
          <w:sz w:val="32"/>
          <w:szCs w:val="32"/>
          <w:lang w:val="en-US" w:eastAsia="zh-CN"/>
        </w:rPr>
        <w:t>四</w:t>
      </w:r>
      <w:r>
        <w:rPr>
          <w:rFonts w:hint="eastAsia" w:ascii="Times New Roman" w:hAnsi="黑体" w:eastAsia="黑体"/>
          <w:sz w:val="32"/>
          <w:szCs w:val="32"/>
        </w:rPr>
        <w:t>月</w:t>
      </w:r>
    </w:p>
    <w:p>
      <w:pPr>
        <w:pStyle w:val="22"/>
        <w:jc w:val="center"/>
        <w:rPr>
          <w:rFonts w:ascii="黑体" w:hAnsi="黑体" w:eastAsia="黑体"/>
          <w:b w:val="0"/>
          <w:color w:val="auto"/>
          <w:sz w:val="32"/>
          <w:szCs w:val="32"/>
        </w:rPr>
      </w:pPr>
      <w:r>
        <w:rPr>
          <w:rFonts w:hint="eastAsia" w:ascii="黑体" w:hAnsi="黑体" w:eastAsia="黑体"/>
          <w:b w:val="0"/>
          <w:color w:val="auto"/>
          <w:sz w:val="32"/>
          <w:szCs w:val="32"/>
          <w:lang w:val="zh-CN"/>
        </w:rPr>
        <w:t>目  次</w:t>
      </w:r>
    </w:p>
    <w:p>
      <w:pPr>
        <w:pStyle w:val="10"/>
        <w:tabs>
          <w:tab w:val="right" w:leader="dot" w:pos="8306"/>
        </w:tabs>
      </w:pPr>
      <w:r>
        <w:rPr>
          <w:rFonts w:eastAsia="仿宋"/>
          <w:sz w:val="30"/>
          <w:szCs w:val="30"/>
        </w:rPr>
        <w:fldChar w:fldCharType="begin"/>
      </w:r>
      <w:r>
        <w:rPr>
          <w:rFonts w:eastAsia="仿宋"/>
          <w:sz w:val="30"/>
          <w:szCs w:val="30"/>
        </w:rPr>
        <w:instrText xml:space="preserve"> TOC \o "1-3" \h \z \u </w:instrText>
      </w:r>
      <w:r>
        <w:rPr>
          <w:rFonts w:eastAsia="仿宋"/>
          <w:sz w:val="30"/>
          <w:szCs w:val="30"/>
        </w:rPr>
        <w:fldChar w:fldCharType="separate"/>
      </w:r>
      <w:r>
        <w:fldChar w:fldCharType="begin"/>
      </w:r>
      <w:r>
        <w:instrText xml:space="preserve"> HYPERLINK \l "_Toc26917" </w:instrText>
      </w:r>
      <w:r>
        <w:fldChar w:fldCharType="separate"/>
      </w:r>
      <w:r>
        <w:rPr>
          <w:rFonts w:hint="eastAsia" w:hAnsi="黑体" w:eastAsia="黑体"/>
          <w:szCs w:val="32"/>
        </w:rPr>
        <w:t>一、行业发展概述</w:t>
      </w:r>
      <w:r>
        <w:tab/>
      </w:r>
      <w:r>
        <w:fldChar w:fldCharType="begin"/>
      </w:r>
      <w:r>
        <w:instrText xml:space="preserve"> PAGEREF _Toc26917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"_Toc27460" </w:instrText>
      </w:r>
      <w:r>
        <w:fldChar w:fldCharType="separate"/>
      </w:r>
      <w:r>
        <w:rPr>
          <w:rFonts w:hint="eastAsia" w:ascii="楷体" w:hAnsi="楷体" w:eastAsia="楷体"/>
          <w:szCs w:val="32"/>
        </w:rPr>
        <w:t>（一）行业概述</w:t>
      </w:r>
      <w:r>
        <w:tab/>
      </w:r>
      <w:r>
        <w:fldChar w:fldCharType="begin"/>
      </w:r>
      <w:r>
        <w:instrText xml:space="preserve"> PAGEREF _Toc27460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"_Toc7142" </w:instrText>
      </w:r>
      <w:r>
        <w:fldChar w:fldCharType="separate"/>
      </w:r>
      <w:r>
        <w:rPr>
          <w:rFonts w:hint="eastAsia" w:ascii="楷体" w:hAnsi="楷体" w:eastAsia="楷体"/>
          <w:szCs w:val="32"/>
        </w:rPr>
        <w:t>（二）发展现状和趋势</w:t>
      </w:r>
      <w:r>
        <w:tab/>
      </w:r>
      <w:r>
        <w:fldChar w:fldCharType="begin"/>
      </w:r>
      <w:r>
        <w:instrText xml:space="preserve"> PAGEREF _Toc7142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"_Toc1077" </w:instrText>
      </w:r>
      <w:r>
        <w:fldChar w:fldCharType="separate"/>
      </w:r>
      <w:r>
        <w:rPr>
          <w:rFonts w:ascii="楷体" w:hAnsi="楷体" w:eastAsia="楷体"/>
          <w:szCs w:val="32"/>
        </w:rPr>
        <w:t>（三）</w:t>
      </w:r>
      <w:r>
        <w:rPr>
          <w:rFonts w:hint="eastAsia" w:ascii="楷体" w:hAnsi="楷体" w:eastAsia="楷体"/>
          <w:szCs w:val="32"/>
        </w:rPr>
        <w:t>“十四五”发展目标</w:t>
      </w:r>
      <w:r>
        <w:tab/>
      </w:r>
      <w:r>
        <w:fldChar w:fldCharType="begin"/>
      </w:r>
      <w:r>
        <w:instrText xml:space="preserve"> PAGEREF _Toc1077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"_Toc16148" </w:instrText>
      </w:r>
      <w:r>
        <w:fldChar w:fldCharType="separate"/>
      </w:r>
      <w:r>
        <w:rPr>
          <w:rFonts w:hint="eastAsia" w:hAnsi="黑体" w:eastAsia="黑体"/>
          <w:szCs w:val="32"/>
        </w:rPr>
        <w:t>二、标准体系框架</w:t>
      </w:r>
      <w:r>
        <w:tab/>
      </w:r>
      <w:r>
        <w:fldChar w:fldCharType="begin"/>
      </w:r>
      <w:r>
        <w:instrText xml:space="preserve"> PAGEREF _Toc16148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"_Toc19389" </w:instrText>
      </w:r>
      <w:r>
        <w:fldChar w:fldCharType="separate"/>
      </w:r>
      <w:r>
        <w:rPr>
          <w:rFonts w:hint="eastAsia" w:ascii="楷体" w:hAnsi="楷体" w:eastAsia="楷体"/>
          <w:szCs w:val="32"/>
        </w:rPr>
        <w:t>（一）标准体系的构建思路和原则</w:t>
      </w:r>
      <w:r>
        <w:tab/>
      </w:r>
      <w:r>
        <w:fldChar w:fldCharType="begin"/>
      </w:r>
      <w:r>
        <w:instrText xml:space="preserve"> PAGEREF _Toc19389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"_Toc25573" </w:instrText>
      </w:r>
      <w:r>
        <w:fldChar w:fldCharType="separate"/>
      </w:r>
      <w:r>
        <w:rPr>
          <w:rFonts w:hint="eastAsia" w:ascii="楷体" w:hAnsi="楷体" w:eastAsia="楷体"/>
          <w:szCs w:val="32"/>
        </w:rPr>
        <w:t>（二）标准体系的框架结构和说明</w:t>
      </w:r>
      <w:r>
        <w:tab/>
      </w:r>
      <w:r>
        <w:fldChar w:fldCharType="begin"/>
      </w:r>
      <w:r>
        <w:instrText xml:space="preserve"> PAGEREF _Toc25573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"_Toc16184" </w:instrText>
      </w:r>
      <w:r>
        <w:fldChar w:fldCharType="separate"/>
      </w:r>
      <w:r>
        <w:rPr>
          <w:rFonts w:hint="eastAsia" w:ascii="楷体" w:hAnsi="楷体" w:eastAsia="楷体"/>
          <w:szCs w:val="32"/>
        </w:rPr>
        <w:t>（三）标准体系表编号的规则</w:t>
      </w:r>
      <w:r>
        <w:tab/>
      </w:r>
      <w:r>
        <w:fldChar w:fldCharType="begin"/>
      </w:r>
      <w:r>
        <w:instrText xml:space="preserve"> PAGEREF _Toc16184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"_Toc26447" </w:instrText>
      </w:r>
      <w:r>
        <w:fldChar w:fldCharType="separate"/>
      </w:r>
      <w:r>
        <w:rPr>
          <w:rFonts w:hint="eastAsia" w:hAnsi="黑体" w:eastAsia="黑体"/>
          <w:szCs w:val="32"/>
        </w:rPr>
        <w:t>三、标准体系的现状</w:t>
      </w:r>
      <w:r>
        <w:tab/>
      </w:r>
      <w:r>
        <w:fldChar w:fldCharType="begin"/>
      </w:r>
      <w:r>
        <w:instrText xml:space="preserve"> PAGEREF _Toc26447 </w:instrText>
      </w:r>
      <w:r>
        <w:fldChar w:fldCharType="separate"/>
      </w:r>
      <w:r>
        <w:t>22</w:t>
      </w:r>
      <w:r>
        <w:fldChar w:fldCharType="end"/>
      </w:r>
      <w:r>
        <w:fldChar w:fldCharType="end"/>
      </w:r>
    </w:p>
    <w:p>
      <w:pPr>
        <w:pStyle w:val="11"/>
        <w:tabs>
          <w:tab w:val="right" w:leader="dot" w:pos="8306"/>
        </w:tabs>
      </w:pPr>
      <w:r>
        <w:fldChar w:fldCharType="begin"/>
      </w:r>
      <w:r>
        <w:instrText xml:space="preserve"> HYPERLINK \l "_Toc4233" </w:instrText>
      </w:r>
      <w:r>
        <w:fldChar w:fldCharType="separate"/>
      </w:r>
      <w:r>
        <w:rPr>
          <w:rFonts w:hint="eastAsia" w:ascii="楷体" w:hAnsi="楷体" w:eastAsia="楷体"/>
          <w:szCs w:val="32"/>
        </w:rPr>
        <w:t>（一）现有标准和在研计划情况</w:t>
      </w:r>
      <w:r>
        <w:tab/>
      </w:r>
      <w:r>
        <w:fldChar w:fldCharType="begin"/>
      </w:r>
      <w:r>
        <w:instrText xml:space="preserve"> PAGEREF _Toc4233 </w:instrText>
      </w:r>
      <w:r>
        <w:fldChar w:fldCharType="separate"/>
      </w:r>
      <w:r>
        <w:t>22</w:t>
      </w:r>
      <w:r>
        <w:fldChar w:fldCharType="end"/>
      </w:r>
      <w:r>
        <w:fldChar w:fldCharType="end"/>
      </w:r>
    </w:p>
    <w:p>
      <w:pPr>
        <w:pStyle w:val="11"/>
        <w:tabs>
          <w:tab w:val="right" w:leader="dot" w:pos="8306"/>
        </w:tabs>
      </w:pPr>
      <w:r>
        <w:fldChar w:fldCharType="begin"/>
      </w:r>
      <w:r>
        <w:instrText xml:space="preserve"> HYPERLINK \l "_Toc331" </w:instrText>
      </w:r>
      <w:r>
        <w:fldChar w:fldCharType="separate"/>
      </w:r>
      <w:r>
        <w:rPr>
          <w:rFonts w:hint="eastAsia" w:ascii="楷体" w:hAnsi="楷体" w:eastAsia="楷体"/>
          <w:szCs w:val="32"/>
        </w:rPr>
        <w:t>（二）民爆行业适用的国家标准、其他行业标准</w:t>
      </w:r>
      <w:r>
        <w:tab/>
      </w:r>
      <w:r>
        <w:fldChar w:fldCharType="begin"/>
      </w:r>
      <w:r>
        <w:instrText xml:space="preserve"> PAGEREF _Toc331 </w:instrText>
      </w:r>
      <w:r>
        <w:fldChar w:fldCharType="separate"/>
      </w:r>
      <w:r>
        <w:t>27</w:t>
      </w:r>
      <w:r>
        <w:fldChar w:fldCharType="end"/>
      </w:r>
      <w:r>
        <w:fldChar w:fldCharType="end"/>
      </w:r>
    </w:p>
    <w:p>
      <w:pPr>
        <w:pStyle w:val="11"/>
        <w:tabs>
          <w:tab w:val="right" w:leader="dot" w:pos="8306"/>
        </w:tabs>
      </w:pPr>
      <w:r>
        <w:fldChar w:fldCharType="begin"/>
      </w:r>
      <w:r>
        <w:instrText xml:space="preserve"> HYPERLINK \l "_Toc14048" </w:instrText>
      </w:r>
      <w:r>
        <w:fldChar w:fldCharType="separate"/>
      </w:r>
      <w:r>
        <w:rPr>
          <w:rFonts w:hint="eastAsia" w:ascii="楷体" w:hAnsi="楷体" w:eastAsia="楷体"/>
          <w:szCs w:val="32"/>
        </w:rPr>
        <w:t>（三）标准国际化的情况</w:t>
      </w:r>
      <w:r>
        <w:tab/>
      </w:r>
      <w:r>
        <w:fldChar w:fldCharType="begin"/>
      </w:r>
      <w:r>
        <w:instrText xml:space="preserve"> PAGEREF _Toc14048 </w:instrText>
      </w:r>
      <w:r>
        <w:fldChar w:fldCharType="separate"/>
      </w:r>
      <w:r>
        <w:t>28</w:t>
      </w:r>
      <w:r>
        <w:fldChar w:fldCharType="end"/>
      </w:r>
      <w:r>
        <w:fldChar w:fldCharType="end"/>
      </w:r>
    </w:p>
    <w:p>
      <w:pPr>
        <w:pStyle w:val="6"/>
        <w:tabs>
          <w:tab w:val="right" w:leader="dot" w:pos="8306"/>
        </w:tabs>
      </w:pPr>
      <w:r>
        <w:fldChar w:fldCharType="begin"/>
      </w:r>
      <w:r>
        <w:instrText xml:space="preserve"> HYPERLINK \l "_Toc22271" </w:instrText>
      </w:r>
      <w:r>
        <w:fldChar w:fldCharType="separate"/>
      </w:r>
      <w:r>
        <w:rPr>
          <w:rFonts w:hint="eastAsia" w:ascii="仿宋" w:hAnsi="仿宋" w:eastAsia="仿宋"/>
        </w:rPr>
        <w:t>1．国际标准和国外先进标准的转化情况</w:t>
      </w:r>
      <w:r>
        <w:tab/>
      </w:r>
      <w:r>
        <w:fldChar w:fldCharType="begin"/>
      </w:r>
      <w:r>
        <w:instrText xml:space="preserve"> PAGEREF _Toc22271 </w:instrText>
      </w:r>
      <w:r>
        <w:fldChar w:fldCharType="separate"/>
      </w:r>
      <w:r>
        <w:t>28</w:t>
      </w:r>
      <w:r>
        <w:fldChar w:fldCharType="end"/>
      </w:r>
      <w:r>
        <w:fldChar w:fldCharType="end"/>
      </w:r>
    </w:p>
    <w:p>
      <w:pPr>
        <w:pStyle w:val="6"/>
        <w:tabs>
          <w:tab w:val="right" w:leader="dot" w:pos="8306"/>
        </w:tabs>
      </w:pPr>
      <w:r>
        <w:fldChar w:fldCharType="begin"/>
      </w:r>
      <w:r>
        <w:instrText xml:space="preserve"> HYPERLINK \l "_Toc27320" </w:instrText>
      </w:r>
      <w:r>
        <w:fldChar w:fldCharType="separate"/>
      </w:r>
      <w:r>
        <w:rPr>
          <w:rFonts w:hint="eastAsia" w:ascii="仿宋" w:hAnsi="仿宋" w:eastAsia="仿宋"/>
        </w:rPr>
        <w:t>2．参与和主导国际标准和国外先进标准的制定情况</w:t>
      </w:r>
      <w:r>
        <w:tab/>
      </w:r>
      <w:r>
        <w:fldChar w:fldCharType="begin"/>
      </w:r>
      <w:r>
        <w:instrText xml:space="preserve"> PAGEREF _Toc27320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"_Toc28476" </w:instrText>
      </w:r>
      <w:r>
        <w:fldChar w:fldCharType="separate"/>
      </w:r>
      <w:r>
        <w:rPr>
          <w:rFonts w:hint="eastAsia" w:ascii="仿宋" w:hAnsi="仿宋" w:eastAsia="仿宋"/>
        </w:rPr>
        <w:t>3．承担国际标准化组织秘书处和领导职务的情况</w:t>
      </w:r>
      <w:r>
        <w:tab/>
      </w:r>
      <w:r>
        <w:fldChar w:fldCharType="begin"/>
      </w:r>
      <w:r>
        <w:instrText xml:space="preserve"> PAGEREF _Toc28476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"_Toc3801" </w:instrText>
      </w:r>
      <w:r>
        <w:fldChar w:fldCharType="separate"/>
      </w:r>
      <w:r>
        <w:rPr>
          <w:rFonts w:hint="eastAsia" w:ascii="仿宋" w:hAnsi="仿宋" w:eastAsia="仿宋"/>
        </w:rPr>
        <w:t>4．我国标准的外文版翻译情况</w:t>
      </w:r>
      <w:r>
        <w:tab/>
      </w:r>
      <w:r>
        <w:fldChar w:fldCharType="begin"/>
      </w:r>
      <w:r>
        <w:instrText xml:space="preserve"> PAGEREF _Toc3801 </w:instrText>
      </w:r>
      <w:r>
        <w:fldChar w:fldCharType="separate"/>
      </w:r>
      <w:r>
        <w:t>33</w:t>
      </w:r>
      <w:r>
        <w:fldChar w:fldCharType="end"/>
      </w:r>
      <w:r>
        <w:fldChar w:fldCharType="end"/>
      </w:r>
    </w:p>
    <w:p>
      <w:pPr>
        <w:pStyle w:val="10"/>
        <w:tabs>
          <w:tab w:val="right" w:leader="dot" w:pos="8306"/>
        </w:tabs>
      </w:pPr>
      <w:r>
        <w:fldChar w:fldCharType="begin"/>
      </w:r>
      <w:r>
        <w:instrText xml:space="preserve"> HYPERLINK \l "_Toc9209" </w:instrText>
      </w:r>
      <w:r>
        <w:fldChar w:fldCharType="separate"/>
      </w:r>
      <w:r>
        <w:rPr>
          <w:rFonts w:hint="eastAsia" w:hAnsi="黑体" w:eastAsia="黑体"/>
          <w:szCs w:val="32"/>
        </w:rPr>
        <w:t>四、“十四五”发展的重点领域</w:t>
      </w:r>
      <w:r>
        <w:tab/>
      </w:r>
      <w:r>
        <w:fldChar w:fldCharType="begin"/>
      </w:r>
      <w:r>
        <w:instrText xml:space="preserve"> PAGEREF _Toc9209 </w:instrText>
      </w:r>
      <w:r>
        <w:fldChar w:fldCharType="separate"/>
      </w:r>
      <w:r>
        <w:t>33</w:t>
      </w:r>
      <w:r>
        <w:fldChar w:fldCharType="end"/>
      </w:r>
      <w:r>
        <w:fldChar w:fldCharType="end"/>
      </w:r>
    </w:p>
    <w:p>
      <w:pPr>
        <w:pStyle w:val="11"/>
        <w:tabs>
          <w:tab w:val="right" w:leader="dot" w:pos="8306"/>
        </w:tabs>
      </w:pPr>
      <w:r>
        <w:fldChar w:fldCharType="begin"/>
      </w:r>
      <w:r>
        <w:instrText xml:space="preserve"> HYPERLINK \l "_Toc22115" </w:instrText>
      </w:r>
      <w:r>
        <w:fldChar w:fldCharType="separate"/>
      </w:r>
      <w:r>
        <w:rPr>
          <w:rFonts w:hint="eastAsia" w:ascii="楷体" w:hAnsi="楷体" w:eastAsia="楷体"/>
          <w:szCs w:val="32"/>
        </w:rPr>
        <w:t>（一）产品方面</w:t>
      </w:r>
      <w:r>
        <w:tab/>
      </w:r>
      <w:r>
        <w:fldChar w:fldCharType="begin"/>
      </w:r>
      <w:r>
        <w:instrText xml:space="preserve"> PAGEREF _Toc22115 </w:instrText>
      </w:r>
      <w:r>
        <w:fldChar w:fldCharType="separate"/>
      </w:r>
      <w:r>
        <w:t>33</w:t>
      </w:r>
      <w:r>
        <w:fldChar w:fldCharType="end"/>
      </w:r>
      <w:r>
        <w:fldChar w:fldCharType="end"/>
      </w:r>
    </w:p>
    <w:p>
      <w:pPr>
        <w:pStyle w:val="11"/>
        <w:tabs>
          <w:tab w:val="right" w:leader="dot" w:pos="8306"/>
        </w:tabs>
      </w:pPr>
      <w:r>
        <w:fldChar w:fldCharType="begin"/>
      </w:r>
      <w:r>
        <w:instrText xml:space="preserve"> HYPERLINK \l "_Toc16569" </w:instrText>
      </w:r>
      <w:r>
        <w:fldChar w:fldCharType="separate"/>
      </w:r>
      <w:r>
        <w:rPr>
          <w:rFonts w:hint="eastAsia" w:ascii="楷体" w:hAnsi="楷体" w:eastAsia="楷体"/>
          <w:szCs w:val="32"/>
        </w:rPr>
        <w:t>（二）工艺和智能制造方面</w:t>
      </w:r>
      <w:r>
        <w:tab/>
      </w:r>
      <w:r>
        <w:fldChar w:fldCharType="begin"/>
      </w:r>
      <w:r>
        <w:instrText xml:space="preserve"> PAGEREF _Toc16569 </w:instrText>
      </w:r>
      <w:r>
        <w:fldChar w:fldCharType="separate"/>
      </w:r>
      <w:r>
        <w:t>34</w:t>
      </w:r>
      <w:r>
        <w:fldChar w:fldCharType="end"/>
      </w:r>
      <w:r>
        <w:fldChar w:fldCharType="end"/>
      </w:r>
    </w:p>
    <w:p>
      <w:pPr>
        <w:pStyle w:val="11"/>
        <w:tabs>
          <w:tab w:val="right" w:leader="dot" w:pos="8306"/>
        </w:tabs>
      </w:pPr>
      <w:r>
        <w:fldChar w:fldCharType="begin"/>
      </w:r>
      <w:r>
        <w:instrText xml:space="preserve"> HYPERLINK \l "_Toc14376" </w:instrText>
      </w:r>
      <w:r>
        <w:fldChar w:fldCharType="separate"/>
      </w:r>
      <w:r>
        <w:rPr>
          <w:rFonts w:hint="eastAsia" w:ascii="楷体" w:hAnsi="楷体" w:eastAsia="楷体"/>
          <w:szCs w:val="32"/>
        </w:rPr>
        <w:t>（三）安全生产方面</w:t>
      </w:r>
      <w:r>
        <w:tab/>
      </w:r>
      <w:r>
        <w:fldChar w:fldCharType="begin"/>
      </w:r>
      <w:r>
        <w:instrText xml:space="preserve"> PAGEREF _Toc14376 </w:instrText>
      </w:r>
      <w:r>
        <w:fldChar w:fldCharType="separate"/>
      </w:r>
      <w:r>
        <w:t>35</w:t>
      </w:r>
      <w:r>
        <w:fldChar w:fldCharType="end"/>
      </w:r>
      <w:r>
        <w:fldChar w:fldCharType="end"/>
      </w:r>
    </w:p>
    <w:p>
      <w:pPr>
        <w:pStyle w:val="11"/>
        <w:tabs>
          <w:tab w:val="right" w:leader="dot" w:pos="8306"/>
        </w:tabs>
      </w:pPr>
      <w:r>
        <w:fldChar w:fldCharType="begin"/>
      </w:r>
      <w:r>
        <w:instrText xml:space="preserve"> HYPERLINK \l "_Toc15607" </w:instrText>
      </w:r>
      <w:r>
        <w:fldChar w:fldCharType="separate"/>
      </w:r>
      <w:r>
        <w:rPr>
          <w:rFonts w:hint="eastAsia" w:ascii="楷体" w:hAnsi="楷体" w:eastAsia="楷体"/>
          <w:szCs w:val="32"/>
        </w:rPr>
        <w:t>（四）清洁生产方面</w:t>
      </w:r>
      <w:r>
        <w:tab/>
      </w:r>
      <w:r>
        <w:fldChar w:fldCharType="begin"/>
      </w:r>
      <w:r>
        <w:instrText xml:space="preserve"> PAGEREF _Toc15607 </w:instrText>
      </w:r>
      <w:r>
        <w:fldChar w:fldCharType="separate"/>
      </w:r>
      <w:r>
        <w:t>35</w:t>
      </w:r>
      <w:r>
        <w:fldChar w:fldCharType="end"/>
      </w:r>
      <w:r>
        <w:fldChar w:fldCharType="end"/>
      </w:r>
    </w:p>
    <w:p>
      <w:pPr>
        <w:pStyle w:val="11"/>
        <w:tabs>
          <w:tab w:val="right" w:leader="dot" w:pos="8306"/>
        </w:tabs>
      </w:pPr>
      <w:r>
        <w:fldChar w:fldCharType="begin"/>
      </w:r>
      <w:r>
        <w:instrText xml:space="preserve"> HYPERLINK \l "_Toc482" </w:instrText>
      </w:r>
      <w:r>
        <w:fldChar w:fldCharType="separate"/>
      </w:r>
      <w:r>
        <w:rPr>
          <w:rFonts w:hint="eastAsia" w:ascii="楷体" w:hAnsi="楷体" w:eastAsia="楷体"/>
          <w:szCs w:val="32"/>
        </w:rPr>
        <w:t>（五）国际交流方面</w:t>
      </w:r>
      <w:r>
        <w:tab/>
      </w:r>
      <w:r>
        <w:fldChar w:fldCharType="begin"/>
      </w:r>
      <w:r>
        <w:instrText xml:space="preserve"> PAGEREF _Toc482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"_Toc15115" </w:instrText>
      </w:r>
      <w:r>
        <w:fldChar w:fldCharType="separate"/>
      </w:r>
      <w:r>
        <w:rPr>
          <w:rFonts w:hint="eastAsia" w:hAnsi="黑体" w:eastAsia="黑体"/>
          <w:szCs w:val="32"/>
        </w:rPr>
        <w:t>五、“十四五”技术标准体系的发展目标和主要任务</w:t>
      </w:r>
      <w:r>
        <w:tab/>
      </w:r>
      <w:r>
        <w:fldChar w:fldCharType="begin"/>
      </w:r>
      <w:r>
        <w:instrText xml:space="preserve"> PAGEREF _Toc15115 </w:instrText>
      </w:r>
      <w:r>
        <w:fldChar w:fldCharType="separate"/>
      </w:r>
      <w:r>
        <w:t>36</w:t>
      </w:r>
      <w:r>
        <w:fldChar w:fldCharType="end"/>
      </w:r>
      <w:r>
        <w:fldChar w:fldCharType="end"/>
      </w:r>
    </w:p>
    <w:p>
      <w:pPr>
        <w:pStyle w:val="11"/>
        <w:tabs>
          <w:tab w:val="right" w:leader="dot" w:pos="8306"/>
        </w:tabs>
      </w:pPr>
      <w:r>
        <w:fldChar w:fldCharType="begin"/>
      </w:r>
      <w:r>
        <w:instrText xml:space="preserve"> HYPERLINK \l "_Toc12804" </w:instrText>
      </w:r>
      <w:r>
        <w:fldChar w:fldCharType="separate"/>
      </w:r>
      <w:r>
        <w:rPr>
          <w:rFonts w:hint="eastAsia" w:ascii="楷体" w:hAnsi="楷体" w:eastAsia="楷体"/>
          <w:szCs w:val="32"/>
        </w:rPr>
        <w:t>（一）发展目标和主要任务</w:t>
      </w:r>
      <w:r>
        <w:tab/>
      </w:r>
      <w:r>
        <w:fldChar w:fldCharType="begin"/>
      </w:r>
      <w:r>
        <w:instrText xml:space="preserve"> PAGEREF _Toc12804 </w:instrText>
      </w:r>
      <w:r>
        <w:fldChar w:fldCharType="separate"/>
      </w:r>
      <w:r>
        <w:t>36</w:t>
      </w:r>
      <w:r>
        <w:fldChar w:fldCharType="end"/>
      </w:r>
      <w:r>
        <w:fldChar w:fldCharType="end"/>
      </w:r>
    </w:p>
    <w:p>
      <w:pPr>
        <w:pStyle w:val="11"/>
        <w:tabs>
          <w:tab w:val="right" w:leader="dot" w:pos="8306"/>
        </w:tabs>
      </w:pPr>
      <w:r>
        <w:fldChar w:fldCharType="begin"/>
      </w:r>
      <w:r>
        <w:instrText xml:space="preserve"> HYPERLINK \l "_Toc30504" </w:instrText>
      </w:r>
      <w:r>
        <w:fldChar w:fldCharType="separate"/>
      </w:r>
      <w:r>
        <w:rPr>
          <w:rFonts w:hint="eastAsia" w:ascii="楷体" w:hAnsi="楷体" w:eastAsia="楷体"/>
          <w:szCs w:val="32"/>
        </w:rPr>
        <w:t>（二）标准制定的重点领域</w:t>
      </w:r>
      <w:r>
        <w:tab/>
      </w:r>
      <w:r>
        <w:fldChar w:fldCharType="begin"/>
      </w:r>
      <w:r>
        <w:instrText xml:space="preserve"> PAGEREF _Toc30504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"_Toc13630" </w:instrText>
      </w:r>
      <w:r>
        <w:fldChar w:fldCharType="separate"/>
      </w:r>
      <w:r>
        <w:rPr>
          <w:rFonts w:hint="eastAsia" w:ascii="仿宋_GB2312" w:eastAsia="仿宋_GB2312"/>
          <w:szCs w:val="32"/>
        </w:rPr>
        <w:t>1. 产品标准整合、制修订</w:t>
      </w:r>
      <w:r>
        <w:tab/>
      </w:r>
      <w:r>
        <w:fldChar w:fldCharType="begin"/>
      </w:r>
      <w:r>
        <w:instrText xml:space="preserve"> PAGEREF _Toc13630 </w:instrText>
      </w:r>
      <w:r>
        <w:fldChar w:fldCharType="separate"/>
      </w:r>
      <w:r>
        <w:t>39</w:t>
      </w:r>
      <w:r>
        <w:fldChar w:fldCharType="end"/>
      </w:r>
      <w:r>
        <w:fldChar w:fldCharType="end"/>
      </w:r>
    </w:p>
    <w:p>
      <w:pPr>
        <w:pStyle w:val="6"/>
        <w:tabs>
          <w:tab w:val="right" w:leader="dot" w:pos="8306"/>
        </w:tabs>
      </w:pPr>
      <w:r>
        <w:fldChar w:fldCharType="begin"/>
      </w:r>
      <w:r>
        <w:instrText xml:space="preserve"> HYPERLINK \l "_Toc19688" </w:instrText>
      </w:r>
      <w:r>
        <w:fldChar w:fldCharType="separate"/>
      </w:r>
      <w:r>
        <w:rPr>
          <w:rFonts w:hint="eastAsia" w:ascii="仿宋_GB2312" w:eastAsia="仿宋_GB2312"/>
          <w:szCs w:val="32"/>
        </w:rPr>
        <w:t>2. 检测方法标准制修订</w:t>
      </w:r>
      <w:r>
        <w:tab/>
      </w:r>
      <w:r>
        <w:fldChar w:fldCharType="begin"/>
      </w:r>
      <w:r>
        <w:instrText xml:space="preserve"> PAGEREF _Toc19688 </w:instrText>
      </w:r>
      <w:r>
        <w:fldChar w:fldCharType="separate"/>
      </w:r>
      <w:r>
        <w:t>40</w:t>
      </w:r>
      <w:r>
        <w:fldChar w:fldCharType="end"/>
      </w:r>
      <w:r>
        <w:fldChar w:fldCharType="end"/>
      </w:r>
    </w:p>
    <w:p>
      <w:pPr>
        <w:pStyle w:val="6"/>
        <w:tabs>
          <w:tab w:val="right" w:leader="dot" w:pos="8306"/>
        </w:tabs>
      </w:pPr>
      <w:r>
        <w:fldChar w:fldCharType="begin"/>
      </w:r>
      <w:r>
        <w:instrText xml:space="preserve"> HYPERLINK \l "_Toc5356" </w:instrText>
      </w:r>
      <w:r>
        <w:fldChar w:fldCharType="separate"/>
      </w:r>
      <w:r>
        <w:rPr>
          <w:rFonts w:hint="eastAsia" w:ascii="仿宋_GB2312" w:eastAsia="仿宋_GB2312"/>
          <w:szCs w:val="32"/>
        </w:rPr>
        <w:t>3. 智能制造标准研究及制定</w:t>
      </w:r>
      <w:r>
        <w:tab/>
      </w:r>
      <w:r>
        <w:fldChar w:fldCharType="begin"/>
      </w:r>
      <w:r>
        <w:instrText xml:space="preserve"> PAGEREF _Toc5356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"_Toc19945" </w:instrText>
      </w:r>
      <w:r>
        <w:fldChar w:fldCharType="separate"/>
      </w:r>
      <w:r>
        <w:rPr>
          <w:rFonts w:hint="eastAsia" w:ascii="仿宋_GB2312" w:eastAsia="仿宋_GB2312"/>
          <w:szCs w:val="32"/>
        </w:rPr>
        <w:t>4. 安全生产标准研究及制定</w:t>
      </w:r>
      <w:r>
        <w:tab/>
      </w:r>
      <w:r>
        <w:fldChar w:fldCharType="begin"/>
      </w:r>
      <w:r>
        <w:instrText xml:space="preserve"> PAGEREF _Toc19945 </w:instrText>
      </w:r>
      <w:r>
        <w:fldChar w:fldCharType="separate"/>
      </w:r>
      <w:r>
        <w:t>38</w:t>
      </w:r>
      <w:r>
        <w:fldChar w:fldCharType="end"/>
      </w:r>
      <w:r>
        <w:fldChar w:fldCharType="end"/>
      </w:r>
    </w:p>
    <w:p>
      <w:pPr>
        <w:pStyle w:val="6"/>
        <w:tabs>
          <w:tab w:val="right" w:leader="dot" w:pos="8306"/>
        </w:tabs>
      </w:pPr>
      <w:r>
        <w:fldChar w:fldCharType="begin"/>
      </w:r>
      <w:r>
        <w:instrText xml:space="preserve"> HYPERLINK \l "_Toc6085" </w:instrText>
      </w:r>
      <w:r>
        <w:fldChar w:fldCharType="separate"/>
      </w:r>
      <w:r>
        <w:rPr>
          <w:rFonts w:hint="eastAsia" w:ascii="仿宋_GB2312" w:eastAsia="仿宋_GB2312"/>
          <w:szCs w:val="32"/>
        </w:rPr>
        <w:t>5. 节能减排、清洁生产标准研究及制定</w:t>
      </w:r>
      <w:r>
        <w:tab/>
      </w:r>
      <w:r>
        <w:fldChar w:fldCharType="begin"/>
      </w:r>
      <w:r>
        <w:instrText xml:space="preserve"> PAGEREF _Toc6085 </w:instrText>
      </w:r>
      <w:r>
        <w:fldChar w:fldCharType="separate"/>
      </w:r>
      <w:r>
        <w:t>38</w:t>
      </w:r>
      <w:r>
        <w:fldChar w:fldCharType="end"/>
      </w:r>
      <w:r>
        <w:fldChar w:fldCharType="end"/>
      </w:r>
    </w:p>
    <w:p>
      <w:pPr>
        <w:pStyle w:val="6"/>
        <w:tabs>
          <w:tab w:val="right" w:leader="dot" w:pos="8306"/>
        </w:tabs>
      </w:pPr>
      <w:r>
        <w:fldChar w:fldCharType="begin"/>
      </w:r>
      <w:r>
        <w:instrText xml:space="preserve"> HYPERLINK \l "_Toc9190" </w:instrText>
      </w:r>
      <w:r>
        <w:fldChar w:fldCharType="separate"/>
      </w:r>
      <w:r>
        <w:rPr>
          <w:rFonts w:hint="eastAsia" w:ascii="仿宋_GB2312" w:eastAsia="仿宋_GB2312"/>
          <w:szCs w:val="32"/>
        </w:rPr>
        <w:t>6. 国际标准化</w:t>
      </w:r>
      <w:r>
        <w:tab/>
      </w:r>
      <w:r>
        <w:fldChar w:fldCharType="begin"/>
      </w:r>
      <w:r>
        <w:instrText xml:space="preserve"> PAGEREF _Toc9190 </w:instrText>
      </w:r>
      <w:r>
        <w:fldChar w:fldCharType="separate"/>
      </w:r>
      <w:r>
        <w:t>39</w:t>
      </w:r>
      <w:r>
        <w:fldChar w:fldCharType="end"/>
      </w:r>
      <w:r>
        <w:fldChar w:fldCharType="end"/>
      </w:r>
    </w:p>
    <w:p>
      <w:pPr>
        <w:pStyle w:val="11"/>
        <w:tabs>
          <w:tab w:val="right" w:leader="dot" w:pos="8306"/>
        </w:tabs>
      </w:pPr>
      <w:r>
        <w:fldChar w:fldCharType="begin"/>
      </w:r>
      <w:r>
        <w:instrText xml:space="preserve"> HYPERLINK \l "_Toc10712" </w:instrText>
      </w:r>
      <w:r>
        <w:fldChar w:fldCharType="separate"/>
      </w:r>
      <w:r>
        <w:rPr>
          <w:rFonts w:hint="eastAsia" w:ascii="楷体" w:hAnsi="楷体" w:eastAsia="楷体"/>
          <w:szCs w:val="32"/>
        </w:rPr>
        <w:t>（三）拟制修订标准项目情况</w:t>
      </w:r>
      <w:r>
        <w:tab/>
      </w:r>
      <w:r>
        <w:fldChar w:fldCharType="begin"/>
      </w:r>
      <w:r>
        <w:instrText xml:space="preserve"> PAGEREF _Toc10712 </w:instrText>
      </w:r>
      <w:r>
        <w:fldChar w:fldCharType="separate"/>
      </w:r>
      <w:r>
        <w:t>39</w:t>
      </w:r>
      <w:r>
        <w:fldChar w:fldCharType="end"/>
      </w:r>
      <w:r>
        <w:fldChar w:fldCharType="end"/>
      </w:r>
    </w:p>
    <w:p>
      <w:pPr>
        <w:pStyle w:val="11"/>
        <w:tabs>
          <w:tab w:val="right" w:leader="dot" w:pos="8306"/>
        </w:tabs>
      </w:pPr>
      <w:r>
        <w:fldChar w:fldCharType="begin"/>
      </w:r>
      <w:r>
        <w:instrText xml:space="preserve"> HYPERLINK \l "_Toc8877" </w:instrText>
      </w:r>
      <w:r>
        <w:fldChar w:fldCharType="separate"/>
      </w:r>
      <w:r>
        <w:rPr>
          <w:rFonts w:hint="eastAsia" w:ascii="楷体" w:hAnsi="楷体" w:eastAsia="楷体"/>
          <w:szCs w:val="32"/>
        </w:rPr>
        <w:t>（四）废止及改为推荐性标准情况</w:t>
      </w:r>
      <w:r>
        <w:tab/>
      </w:r>
      <w:r>
        <w:fldChar w:fldCharType="begin"/>
      </w:r>
      <w:r>
        <w:instrText xml:space="preserve"> PAGEREF _Toc8877 </w:instrText>
      </w:r>
      <w:r>
        <w:fldChar w:fldCharType="separate"/>
      </w:r>
      <w:r>
        <w:t>43</w:t>
      </w:r>
      <w:r>
        <w:fldChar w:fldCharType="end"/>
      </w:r>
      <w:r>
        <w:fldChar w:fldCharType="end"/>
      </w:r>
    </w:p>
    <w:p>
      <w:pPr>
        <w:pStyle w:val="10"/>
        <w:tabs>
          <w:tab w:val="right" w:leader="dot" w:pos="8306"/>
        </w:tabs>
      </w:pPr>
      <w:r>
        <w:fldChar w:fldCharType="begin"/>
      </w:r>
      <w:r>
        <w:instrText xml:space="preserve"> HYPERLINK \l "_Toc15131" </w:instrText>
      </w:r>
      <w:r>
        <w:fldChar w:fldCharType="separate"/>
      </w:r>
      <w:r>
        <w:rPr>
          <w:rFonts w:hint="eastAsia" w:hAnsi="黑体" w:eastAsia="黑体"/>
          <w:szCs w:val="32"/>
        </w:rPr>
        <w:t>六、各分领域技术标准体系建设方案</w:t>
      </w:r>
      <w:r>
        <w:tab/>
      </w:r>
      <w:r>
        <w:fldChar w:fldCharType="begin"/>
      </w:r>
      <w:r>
        <w:instrText xml:space="preserve"> PAGEREF _Toc15131 </w:instrText>
      </w:r>
      <w:r>
        <w:fldChar w:fldCharType="separate"/>
      </w:r>
      <w:r>
        <w:t>45</w:t>
      </w:r>
      <w:r>
        <w:fldChar w:fldCharType="end"/>
      </w:r>
      <w:r>
        <w:fldChar w:fldCharType="end"/>
      </w:r>
    </w:p>
    <w:p>
      <w:pPr>
        <w:pStyle w:val="11"/>
        <w:tabs>
          <w:tab w:val="right" w:leader="dot" w:pos="8306"/>
        </w:tabs>
      </w:pPr>
      <w:r>
        <w:fldChar w:fldCharType="begin"/>
      </w:r>
      <w:r>
        <w:instrText xml:space="preserve"> HYPERLINK \l "_Toc16446" </w:instrText>
      </w:r>
      <w:r>
        <w:fldChar w:fldCharType="separate"/>
      </w:r>
      <w:r>
        <w:rPr>
          <w:rFonts w:hint="eastAsia" w:ascii="楷体" w:hAnsi="楷体" w:eastAsia="楷体"/>
          <w:szCs w:val="32"/>
        </w:rPr>
        <w:t>（一）通用</w:t>
      </w:r>
      <w:r>
        <w:tab/>
      </w:r>
      <w:r>
        <w:fldChar w:fldCharType="begin"/>
      </w:r>
      <w:r>
        <w:instrText xml:space="preserve"> PAGEREF _Toc16446 </w:instrText>
      </w:r>
      <w:r>
        <w:fldChar w:fldCharType="separate"/>
      </w:r>
      <w:r>
        <w:t>46</w:t>
      </w:r>
      <w:r>
        <w:fldChar w:fldCharType="end"/>
      </w:r>
      <w:r>
        <w:fldChar w:fldCharType="end"/>
      </w:r>
    </w:p>
    <w:p>
      <w:pPr>
        <w:pStyle w:val="6"/>
        <w:tabs>
          <w:tab w:val="right" w:leader="dot" w:pos="8306"/>
        </w:tabs>
      </w:pPr>
      <w:r>
        <w:fldChar w:fldCharType="begin"/>
      </w:r>
      <w:r>
        <w:instrText xml:space="preserve"> HYPERLINK \l "_Toc1" </w:instrText>
      </w:r>
      <w:r>
        <w:fldChar w:fldCharType="separate"/>
      </w:r>
      <w:r>
        <w:rPr>
          <w:rFonts w:hint="eastAsia" w:ascii="仿宋_GB2312" w:eastAsia="仿宋_GB2312"/>
          <w:szCs w:val="32"/>
        </w:rPr>
        <w:t>1. 标准现状</w:t>
      </w:r>
      <w:r>
        <w:tab/>
      </w:r>
      <w:r>
        <w:fldChar w:fldCharType="begin"/>
      </w:r>
      <w:r>
        <w:instrText xml:space="preserve"> PAGEREF _Toc1 </w:instrText>
      </w:r>
      <w:r>
        <w:fldChar w:fldCharType="separate"/>
      </w:r>
      <w:r>
        <w:t>46</w:t>
      </w:r>
      <w:r>
        <w:fldChar w:fldCharType="end"/>
      </w:r>
      <w:r>
        <w:fldChar w:fldCharType="end"/>
      </w:r>
    </w:p>
    <w:p>
      <w:pPr>
        <w:pStyle w:val="6"/>
        <w:tabs>
          <w:tab w:val="right" w:leader="dot" w:pos="8306"/>
        </w:tabs>
      </w:pPr>
      <w:r>
        <w:fldChar w:fldCharType="begin"/>
      </w:r>
      <w:r>
        <w:instrText xml:space="preserve"> HYPERLINK \l "_Toc25571" </w:instrText>
      </w:r>
      <w:r>
        <w:fldChar w:fldCharType="separate"/>
      </w:r>
      <w:r>
        <w:rPr>
          <w:rFonts w:hint="eastAsia" w:ascii="仿宋_GB2312" w:eastAsia="仿宋_GB2312"/>
          <w:szCs w:val="32"/>
        </w:rPr>
        <w:t>2. “十四五”拟制修订标准</w:t>
      </w:r>
      <w:r>
        <w:tab/>
      </w:r>
      <w:r>
        <w:fldChar w:fldCharType="begin"/>
      </w:r>
      <w:r>
        <w:instrText xml:space="preserve"> PAGEREF _Toc25571 </w:instrText>
      </w:r>
      <w:r>
        <w:fldChar w:fldCharType="separate"/>
      </w:r>
      <w:r>
        <w:t>46</w:t>
      </w:r>
      <w:r>
        <w:fldChar w:fldCharType="end"/>
      </w:r>
      <w:r>
        <w:fldChar w:fldCharType="end"/>
      </w:r>
    </w:p>
    <w:p>
      <w:pPr>
        <w:pStyle w:val="11"/>
        <w:tabs>
          <w:tab w:val="right" w:leader="dot" w:pos="8306"/>
        </w:tabs>
      </w:pPr>
      <w:r>
        <w:fldChar w:fldCharType="begin"/>
      </w:r>
      <w:r>
        <w:instrText xml:space="preserve"> HYPERLINK \l "_Toc23725" </w:instrText>
      </w:r>
      <w:r>
        <w:fldChar w:fldCharType="separate"/>
      </w:r>
      <w:r>
        <w:rPr>
          <w:rFonts w:hint="eastAsia" w:ascii="楷体" w:hAnsi="楷体" w:eastAsia="楷体"/>
          <w:szCs w:val="32"/>
        </w:rPr>
        <w:t>（二）工业炸药及炸药制品</w:t>
      </w:r>
      <w:r>
        <w:tab/>
      </w:r>
      <w:r>
        <w:fldChar w:fldCharType="begin"/>
      </w:r>
      <w:r>
        <w:instrText xml:space="preserve"> PAGEREF _Toc23725 </w:instrText>
      </w:r>
      <w:r>
        <w:fldChar w:fldCharType="separate"/>
      </w:r>
      <w:r>
        <w:t>47</w:t>
      </w:r>
      <w:r>
        <w:fldChar w:fldCharType="end"/>
      </w:r>
      <w:r>
        <w:fldChar w:fldCharType="end"/>
      </w:r>
    </w:p>
    <w:p>
      <w:pPr>
        <w:pStyle w:val="6"/>
        <w:tabs>
          <w:tab w:val="right" w:leader="dot" w:pos="8306"/>
        </w:tabs>
      </w:pPr>
      <w:r>
        <w:fldChar w:fldCharType="begin"/>
      </w:r>
      <w:r>
        <w:instrText xml:space="preserve"> HYPERLINK \l "_Toc6959" </w:instrText>
      </w:r>
      <w:r>
        <w:fldChar w:fldCharType="separate"/>
      </w:r>
      <w:r>
        <w:rPr>
          <w:rFonts w:hint="eastAsia" w:ascii="仿宋_GB2312" w:eastAsia="仿宋_GB2312"/>
          <w:szCs w:val="32"/>
        </w:rPr>
        <w:t>1.标准现状</w:t>
      </w:r>
      <w:r>
        <w:tab/>
      </w:r>
      <w:r>
        <w:fldChar w:fldCharType="begin"/>
      </w:r>
      <w:r>
        <w:instrText xml:space="preserve"> PAGEREF _Toc6959 </w:instrText>
      </w:r>
      <w:r>
        <w:fldChar w:fldCharType="separate"/>
      </w:r>
      <w:r>
        <w:t>47</w:t>
      </w:r>
      <w:r>
        <w:fldChar w:fldCharType="end"/>
      </w:r>
      <w:r>
        <w:fldChar w:fldCharType="end"/>
      </w:r>
    </w:p>
    <w:p>
      <w:pPr>
        <w:pStyle w:val="6"/>
        <w:tabs>
          <w:tab w:val="right" w:leader="dot" w:pos="8306"/>
        </w:tabs>
      </w:pPr>
      <w:r>
        <w:fldChar w:fldCharType="begin"/>
      </w:r>
      <w:r>
        <w:instrText xml:space="preserve"> HYPERLINK \l "_Toc25207" </w:instrText>
      </w:r>
      <w:r>
        <w:fldChar w:fldCharType="separate"/>
      </w:r>
      <w:r>
        <w:rPr>
          <w:rFonts w:hint="eastAsia" w:ascii="仿宋_GB2312" w:eastAsia="仿宋_GB2312"/>
          <w:szCs w:val="32"/>
        </w:rPr>
        <w:t>2.“十四五”拟制修订标准</w:t>
      </w:r>
      <w:r>
        <w:tab/>
      </w:r>
      <w:r>
        <w:fldChar w:fldCharType="begin"/>
      </w:r>
      <w:r>
        <w:instrText xml:space="preserve"> PAGEREF _Toc25207 </w:instrText>
      </w:r>
      <w:r>
        <w:fldChar w:fldCharType="separate"/>
      </w:r>
      <w:r>
        <w:t>47</w:t>
      </w:r>
      <w:r>
        <w:fldChar w:fldCharType="end"/>
      </w:r>
      <w:r>
        <w:fldChar w:fldCharType="end"/>
      </w:r>
    </w:p>
    <w:p>
      <w:pPr>
        <w:pStyle w:val="11"/>
        <w:tabs>
          <w:tab w:val="right" w:leader="dot" w:pos="8306"/>
        </w:tabs>
      </w:pPr>
      <w:r>
        <w:fldChar w:fldCharType="begin"/>
      </w:r>
      <w:r>
        <w:instrText xml:space="preserve"> HYPERLINK \l "_Toc19429" </w:instrText>
      </w:r>
      <w:r>
        <w:fldChar w:fldCharType="separate"/>
      </w:r>
      <w:r>
        <w:rPr>
          <w:rFonts w:hint="eastAsia" w:ascii="楷体" w:hAnsi="楷体" w:eastAsia="楷体"/>
          <w:szCs w:val="32"/>
        </w:rPr>
        <w:t>（三）工业雷管</w:t>
      </w:r>
      <w:r>
        <w:tab/>
      </w:r>
      <w:r>
        <w:fldChar w:fldCharType="begin"/>
      </w:r>
      <w:r>
        <w:instrText xml:space="preserve"> PAGEREF _Toc19429 </w:instrText>
      </w:r>
      <w:r>
        <w:fldChar w:fldCharType="separate"/>
      </w:r>
      <w:r>
        <w:t>48</w:t>
      </w:r>
      <w:r>
        <w:fldChar w:fldCharType="end"/>
      </w:r>
      <w:r>
        <w:fldChar w:fldCharType="end"/>
      </w:r>
    </w:p>
    <w:p>
      <w:pPr>
        <w:pStyle w:val="6"/>
        <w:tabs>
          <w:tab w:val="right" w:leader="dot" w:pos="8306"/>
        </w:tabs>
      </w:pPr>
      <w:r>
        <w:fldChar w:fldCharType="begin"/>
      </w:r>
      <w:r>
        <w:instrText xml:space="preserve"> HYPERLINK \l "_Toc15034" </w:instrText>
      </w:r>
      <w:r>
        <w:fldChar w:fldCharType="separate"/>
      </w:r>
      <w:r>
        <w:rPr>
          <w:rFonts w:hint="eastAsia" w:ascii="仿宋_GB2312" w:eastAsia="仿宋_GB2312"/>
          <w:szCs w:val="32"/>
        </w:rPr>
        <w:t>1. 标准现状</w:t>
      </w:r>
      <w:r>
        <w:tab/>
      </w:r>
      <w:r>
        <w:fldChar w:fldCharType="begin"/>
      </w:r>
      <w:r>
        <w:instrText xml:space="preserve"> PAGEREF _Toc15034 </w:instrText>
      </w:r>
      <w:r>
        <w:fldChar w:fldCharType="separate"/>
      </w:r>
      <w:r>
        <w:t>48</w:t>
      </w:r>
      <w:r>
        <w:fldChar w:fldCharType="end"/>
      </w:r>
      <w:r>
        <w:fldChar w:fldCharType="end"/>
      </w:r>
    </w:p>
    <w:p>
      <w:pPr>
        <w:pStyle w:val="6"/>
        <w:tabs>
          <w:tab w:val="right" w:leader="dot" w:pos="8306"/>
        </w:tabs>
      </w:pPr>
      <w:r>
        <w:fldChar w:fldCharType="begin"/>
      </w:r>
      <w:r>
        <w:instrText xml:space="preserve"> HYPERLINK \l "_Toc29197" </w:instrText>
      </w:r>
      <w:r>
        <w:fldChar w:fldCharType="separate"/>
      </w:r>
      <w:r>
        <w:rPr>
          <w:rFonts w:hint="eastAsia" w:ascii="仿宋_GB2312" w:eastAsia="仿宋_GB2312"/>
          <w:szCs w:val="32"/>
        </w:rPr>
        <w:t>2. “十四五”拟制修订标准</w:t>
      </w:r>
      <w:r>
        <w:tab/>
      </w:r>
      <w:r>
        <w:fldChar w:fldCharType="begin"/>
      </w:r>
      <w:r>
        <w:instrText xml:space="preserve"> PAGEREF _Toc29197 </w:instrText>
      </w:r>
      <w:r>
        <w:fldChar w:fldCharType="separate"/>
      </w:r>
      <w:r>
        <w:t>48</w:t>
      </w:r>
      <w:r>
        <w:fldChar w:fldCharType="end"/>
      </w:r>
      <w:r>
        <w:fldChar w:fldCharType="end"/>
      </w:r>
    </w:p>
    <w:p>
      <w:pPr>
        <w:pStyle w:val="11"/>
        <w:tabs>
          <w:tab w:val="right" w:leader="dot" w:pos="8306"/>
        </w:tabs>
      </w:pPr>
      <w:r>
        <w:fldChar w:fldCharType="begin"/>
      </w:r>
      <w:r>
        <w:instrText xml:space="preserve"> HYPERLINK \l "_Toc28943" </w:instrText>
      </w:r>
      <w:r>
        <w:fldChar w:fldCharType="separate"/>
      </w:r>
      <w:r>
        <w:rPr>
          <w:rFonts w:hint="eastAsia" w:ascii="楷体" w:hAnsi="楷体" w:eastAsia="楷体"/>
          <w:szCs w:val="32"/>
        </w:rPr>
        <w:t>（四）工业索类火工品</w:t>
      </w:r>
      <w:r>
        <w:tab/>
      </w:r>
      <w:r>
        <w:fldChar w:fldCharType="begin"/>
      </w:r>
      <w:r>
        <w:instrText xml:space="preserve"> PAGEREF _Toc28943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"_Toc13254" </w:instrText>
      </w:r>
      <w:r>
        <w:fldChar w:fldCharType="separate"/>
      </w:r>
      <w:r>
        <w:rPr>
          <w:rFonts w:hint="eastAsia" w:ascii="仿宋_GB2312" w:eastAsia="仿宋_GB2312"/>
          <w:szCs w:val="32"/>
        </w:rPr>
        <w:t>1. 标准现状</w:t>
      </w:r>
      <w:r>
        <w:tab/>
      </w:r>
      <w:r>
        <w:fldChar w:fldCharType="begin"/>
      </w:r>
      <w:r>
        <w:instrText xml:space="preserve"> PAGEREF _Toc13254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"_Toc24669" </w:instrText>
      </w:r>
      <w:r>
        <w:fldChar w:fldCharType="separate"/>
      </w:r>
      <w:r>
        <w:rPr>
          <w:rFonts w:hint="eastAsia" w:ascii="仿宋_GB2312" w:eastAsia="仿宋_GB2312"/>
          <w:szCs w:val="32"/>
        </w:rPr>
        <w:t>2. “十四五”拟制修订标准</w:t>
      </w:r>
      <w:r>
        <w:tab/>
      </w:r>
      <w:r>
        <w:fldChar w:fldCharType="begin"/>
      </w:r>
      <w:r>
        <w:instrText xml:space="preserve"> PAGEREF _Toc24669 </w:instrText>
      </w:r>
      <w:r>
        <w:fldChar w:fldCharType="separate"/>
      </w:r>
      <w:r>
        <w:t>50</w:t>
      </w:r>
      <w:r>
        <w:fldChar w:fldCharType="end"/>
      </w:r>
      <w:r>
        <w:fldChar w:fldCharType="end"/>
      </w:r>
    </w:p>
    <w:p>
      <w:pPr>
        <w:pStyle w:val="11"/>
        <w:tabs>
          <w:tab w:val="right" w:leader="dot" w:pos="8306"/>
        </w:tabs>
      </w:pPr>
      <w:r>
        <w:fldChar w:fldCharType="begin"/>
      </w:r>
      <w:r>
        <w:instrText xml:space="preserve"> HYPERLINK \l "_Toc8340" </w:instrText>
      </w:r>
      <w:r>
        <w:fldChar w:fldCharType="separate"/>
      </w:r>
      <w:r>
        <w:rPr>
          <w:rFonts w:hint="eastAsia" w:ascii="楷体" w:hAnsi="楷体" w:eastAsia="楷体"/>
          <w:szCs w:val="32"/>
        </w:rPr>
        <w:t>（五）油气井用爆炸物品</w:t>
      </w:r>
      <w:r>
        <w:tab/>
      </w:r>
      <w:r>
        <w:fldChar w:fldCharType="begin"/>
      </w:r>
      <w:r>
        <w:instrText xml:space="preserve"> PAGEREF _Toc8340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"_Toc24934" </w:instrText>
      </w:r>
      <w:r>
        <w:fldChar w:fldCharType="separate"/>
      </w:r>
      <w:r>
        <w:rPr>
          <w:rFonts w:hint="eastAsia" w:ascii="仿宋_GB2312" w:eastAsia="仿宋_GB2312"/>
          <w:szCs w:val="32"/>
        </w:rPr>
        <w:t>1. 标准现状</w:t>
      </w:r>
      <w:r>
        <w:tab/>
      </w:r>
      <w:r>
        <w:fldChar w:fldCharType="begin"/>
      </w:r>
      <w:r>
        <w:instrText xml:space="preserve"> PAGEREF _Toc24934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"_Toc24640" </w:instrText>
      </w:r>
      <w:r>
        <w:fldChar w:fldCharType="separate"/>
      </w:r>
      <w:r>
        <w:rPr>
          <w:rFonts w:hint="eastAsia" w:ascii="仿宋_GB2312" w:eastAsia="仿宋_GB2312"/>
          <w:szCs w:val="32"/>
        </w:rPr>
        <w:t>2. “十四五”拟制修订标准</w:t>
      </w:r>
      <w:r>
        <w:tab/>
      </w:r>
      <w:r>
        <w:fldChar w:fldCharType="begin"/>
      </w:r>
      <w:r>
        <w:instrText xml:space="preserve"> PAGEREF _Toc24640 </w:instrText>
      </w:r>
      <w:r>
        <w:fldChar w:fldCharType="separate"/>
      </w:r>
      <w:r>
        <w:t>50</w:t>
      </w:r>
      <w:r>
        <w:fldChar w:fldCharType="end"/>
      </w:r>
      <w:r>
        <w:fldChar w:fldCharType="end"/>
      </w:r>
    </w:p>
    <w:p>
      <w:pPr>
        <w:pStyle w:val="11"/>
        <w:tabs>
          <w:tab w:val="right" w:leader="dot" w:pos="8306"/>
        </w:tabs>
      </w:pPr>
      <w:r>
        <w:fldChar w:fldCharType="begin"/>
      </w:r>
      <w:r>
        <w:instrText xml:space="preserve"> HYPERLINK \l "_Toc3765" </w:instrText>
      </w:r>
      <w:r>
        <w:fldChar w:fldCharType="separate"/>
      </w:r>
      <w:r>
        <w:rPr>
          <w:rFonts w:hint="eastAsia" w:ascii="楷体" w:hAnsi="楷体" w:eastAsia="楷体"/>
          <w:szCs w:val="32"/>
        </w:rPr>
        <w:t>（六）其他民用爆炸物品</w:t>
      </w:r>
      <w:r>
        <w:tab/>
      </w:r>
      <w:r>
        <w:fldChar w:fldCharType="begin"/>
      </w:r>
      <w:r>
        <w:instrText xml:space="preserve"> PAGEREF _Toc3765 </w:instrText>
      </w:r>
      <w:r>
        <w:fldChar w:fldCharType="separate"/>
      </w:r>
      <w:r>
        <w:t>51</w:t>
      </w:r>
      <w:r>
        <w:fldChar w:fldCharType="end"/>
      </w:r>
      <w:r>
        <w:fldChar w:fldCharType="end"/>
      </w:r>
    </w:p>
    <w:p>
      <w:pPr>
        <w:pStyle w:val="6"/>
        <w:tabs>
          <w:tab w:val="right" w:leader="dot" w:pos="8306"/>
        </w:tabs>
      </w:pPr>
      <w:r>
        <w:fldChar w:fldCharType="begin"/>
      </w:r>
      <w:r>
        <w:instrText xml:space="preserve"> HYPERLINK \l "_Toc30076" </w:instrText>
      </w:r>
      <w:r>
        <w:fldChar w:fldCharType="separate"/>
      </w:r>
      <w:r>
        <w:rPr>
          <w:rFonts w:hint="eastAsia" w:ascii="仿宋_GB2312" w:eastAsia="仿宋_GB2312"/>
          <w:szCs w:val="32"/>
        </w:rPr>
        <w:t>1. 标准现状</w:t>
      </w:r>
      <w:r>
        <w:tab/>
      </w:r>
      <w:r>
        <w:fldChar w:fldCharType="begin"/>
      </w:r>
      <w:r>
        <w:instrText xml:space="preserve"> PAGEREF _Toc30076 </w:instrText>
      </w:r>
      <w:r>
        <w:fldChar w:fldCharType="separate"/>
      </w:r>
      <w:r>
        <w:t>51</w:t>
      </w:r>
      <w:r>
        <w:fldChar w:fldCharType="end"/>
      </w:r>
      <w:r>
        <w:fldChar w:fldCharType="end"/>
      </w:r>
    </w:p>
    <w:p>
      <w:pPr>
        <w:pStyle w:val="6"/>
        <w:tabs>
          <w:tab w:val="right" w:leader="dot" w:pos="8306"/>
        </w:tabs>
      </w:pPr>
      <w:r>
        <w:fldChar w:fldCharType="begin"/>
      </w:r>
      <w:r>
        <w:instrText xml:space="preserve"> HYPERLINK \l "_Toc20770" </w:instrText>
      </w:r>
      <w:r>
        <w:fldChar w:fldCharType="separate"/>
      </w:r>
      <w:r>
        <w:rPr>
          <w:rFonts w:hint="eastAsia" w:ascii="仿宋_GB2312" w:eastAsia="仿宋_GB2312"/>
          <w:szCs w:val="32"/>
        </w:rPr>
        <w:t>2. “十四五”拟制修订标准</w:t>
      </w:r>
      <w:r>
        <w:tab/>
      </w:r>
      <w:r>
        <w:fldChar w:fldCharType="begin"/>
      </w:r>
      <w:r>
        <w:instrText xml:space="preserve"> PAGEREF _Toc20770 </w:instrText>
      </w:r>
      <w:r>
        <w:fldChar w:fldCharType="separate"/>
      </w:r>
      <w:r>
        <w:t>51</w:t>
      </w:r>
      <w:r>
        <w:fldChar w:fldCharType="end"/>
      </w:r>
      <w:r>
        <w:fldChar w:fldCharType="end"/>
      </w:r>
    </w:p>
    <w:p>
      <w:pPr>
        <w:pStyle w:val="11"/>
        <w:tabs>
          <w:tab w:val="right" w:leader="dot" w:pos="8306"/>
        </w:tabs>
      </w:pPr>
      <w:r>
        <w:fldChar w:fldCharType="begin"/>
      </w:r>
      <w:r>
        <w:instrText xml:space="preserve"> HYPERLINK \l "_Toc6893" </w:instrText>
      </w:r>
      <w:r>
        <w:fldChar w:fldCharType="separate"/>
      </w:r>
      <w:r>
        <w:rPr>
          <w:rFonts w:hint="eastAsia" w:ascii="楷体" w:hAnsi="楷体" w:eastAsia="楷体"/>
          <w:szCs w:val="32"/>
        </w:rPr>
        <w:t>（七）主要原材料、辅料</w:t>
      </w:r>
      <w:r>
        <w:tab/>
      </w:r>
      <w:r>
        <w:fldChar w:fldCharType="begin"/>
      </w:r>
      <w:r>
        <w:instrText xml:space="preserve"> PAGEREF _Toc6893 </w:instrText>
      </w:r>
      <w:r>
        <w:fldChar w:fldCharType="separate"/>
      </w:r>
      <w:r>
        <w:t>52</w:t>
      </w:r>
      <w:r>
        <w:fldChar w:fldCharType="end"/>
      </w:r>
      <w:r>
        <w:fldChar w:fldCharType="end"/>
      </w:r>
    </w:p>
    <w:p>
      <w:pPr>
        <w:pStyle w:val="6"/>
        <w:tabs>
          <w:tab w:val="right" w:leader="dot" w:pos="8306"/>
        </w:tabs>
      </w:pPr>
      <w:r>
        <w:fldChar w:fldCharType="begin"/>
      </w:r>
      <w:r>
        <w:instrText xml:space="preserve"> HYPERLINK \l "_Toc16707" </w:instrText>
      </w:r>
      <w:r>
        <w:fldChar w:fldCharType="separate"/>
      </w:r>
      <w:r>
        <w:rPr>
          <w:rFonts w:hint="eastAsia" w:ascii="仿宋_GB2312" w:eastAsia="仿宋_GB2312"/>
          <w:szCs w:val="32"/>
        </w:rPr>
        <w:t>1. 标准现状</w:t>
      </w:r>
      <w:r>
        <w:tab/>
      </w:r>
      <w:r>
        <w:fldChar w:fldCharType="begin"/>
      </w:r>
      <w:r>
        <w:instrText xml:space="preserve"> PAGEREF _Toc16707 </w:instrText>
      </w:r>
      <w:r>
        <w:fldChar w:fldCharType="separate"/>
      </w:r>
      <w:r>
        <w:t>52</w:t>
      </w:r>
      <w:r>
        <w:fldChar w:fldCharType="end"/>
      </w:r>
      <w:r>
        <w:fldChar w:fldCharType="end"/>
      </w:r>
    </w:p>
    <w:p>
      <w:pPr>
        <w:pStyle w:val="6"/>
        <w:tabs>
          <w:tab w:val="right" w:leader="dot" w:pos="8306"/>
        </w:tabs>
      </w:pPr>
      <w:r>
        <w:fldChar w:fldCharType="begin"/>
      </w:r>
      <w:r>
        <w:instrText xml:space="preserve"> HYPERLINK \l "_Toc13645" </w:instrText>
      </w:r>
      <w:r>
        <w:fldChar w:fldCharType="separate"/>
      </w:r>
      <w:r>
        <w:rPr>
          <w:rFonts w:hint="eastAsia" w:ascii="仿宋_GB2312" w:eastAsia="仿宋_GB2312"/>
          <w:szCs w:val="32"/>
        </w:rPr>
        <w:t>2. “十四五”拟制修订标准</w:t>
      </w:r>
      <w:r>
        <w:tab/>
      </w:r>
      <w:r>
        <w:fldChar w:fldCharType="begin"/>
      </w:r>
      <w:r>
        <w:instrText xml:space="preserve"> PAGEREF _Toc13645 </w:instrText>
      </w:r>
      <w:r>
        <w:fldChar w:fldCharType="separate"/>
      </w:r>
      <w:r>
        <w:t>52</w:t>
      </w:r>
      <w:r>
        <w:fldChar w:fldCharType="end"/>
      </w:r>
      <w:r>
        <w:fldChar w:fldCharType="end"/>
      </w:r>
    </w:p>
    <w:p>
      <w:pPr>
        <w:pStyle w:val="10"/>
        <w:tabs>
          <w:tab w:val="right" w:leader="dot" w:pos="8306"/>
        </w:tabs>
      </w:pPr>
      <w:r>
        <w:fldChar w:fldCharType="begin"/>
      </w:r>
      <w:r>
        <w:instrText xml:space="preserve"> HYPERLINK \l "_Toc3451" </w:instrText>
      </w:r>
      <w:r>
        <w:fldChar w:fldCharType="separate"/>
      </w:r>
      <w:r>
        <w:rPr>
          <w:rFonts w:hint="eastAsia" w:ascii="仿宋_GB2312" w:eastAsia="仿宋_GB2312"/>
          <w:szCs w:val="28"/>
        </w:rPr>
        <w:t>附件</w:t>
      </w:r>
      <w:r>
        <w:rPr>
          <w:rFonts w:hint="eastAsia" w:ascii="仿宋_GB2312" w:eastAsia="仿宋_GB2312"/>
          <w:szCs w:val="28"/>
        </w:rPr>
        <w:fldChar w:fldCharType="end"/>
      </w:r>
      <w:r>
        <w:rPr>
          <w:rFonts w:hint="eastAsia" w:eastAsia="仿宋"/>
          <w:bCs/>
          <w:szCs w:val="30"/>
        </w:rPr>
        <w:t xml:space="preserve">  </w:t>
      </w:r>
      <w:r>
        <w:fldChar w:fldCharType="begin"/>
      </w:r>
      <w:r>
        <w:instrText xml:space="preserve"> HYPERLINK \l "_Toc27578" </w:instrText>
      </w:r>
      <w:r>
        <w:fldChar w:fldCharType="separate"/>
      </w:r>
      <w:r>
        <w:rPr>
          <w:rFonts w:hint="eastAsia" w:ascii="仿宋_GB2312" w:eastAsia="仿宋_GB2312"/>
          <w:szCs w:val="28"/>
        </w:rPr>
        <w:t>民爆行业标准体系明细表</w:t>
      </w:r>
      <w:r>
        <w:tab/>
      </w:r>
      <w:r>
        <w:fldChar w:fldCharType="begin"/>
      </w:r>
      <w:r>
        <w:instrText xml:space="preserve"> PAGEREF _Toc27578 </w:instrText>
      </w:r>
      <w:r>
        <w:fldChar w:fldCharType="separate"/>
      </w:r>
      <w:r>
        <w:t>53</w:t>
      </w:r>
      <w:r>
        <w:fldChar w:fldCharType="end"/>
      </w:r>
      <w:r>
        <w:fldChar w:fldCharType="end"/>
      </w:r>
    </w:p>
    <w:p>
      <w:pPr>
        <w:rPr>
          <w:rFonts w:ascii="Times New Roman" w:hAnsi="Times New Roman" w:eastAsia="仿宋" w:cs="Times New Roman"/>
          <w:sz w:val="30"/>
          <w:szCs w:val="30"/>
        </w:rPr>
      </w:pPr>
      <w:r>
        <w:rPr>
          <w:rFonts w:ascii="Times New Roman" w:hAnsi="Times New Roman" w:eastAsia="仿宋" w:cs="Times New Roman"/>
          <w:bCs/>
          <w:szCs w:val="30"/>
          <w:lang w:val="zh-CN"/>
        </w:rPr>
        <w:fldChar w:fldCharType="end"/>
      </w:r>
    </w:p>
    <w:p>
      <w:pPr>
        <w:jc w:val="center"/>
        <w:rPr>
          <w:rFonts w:ascii="Times New Roman" w:hAnsi="黑体" w:eastAsia="黑体"/>
          <w:sz w:val="32"/>
          <w:szCs w:val="32"/>
        </w:rPr>
      </w:pPr>
    </w:p>
    <w:p>
      <w:pPr>
        <w:jc w:val="center"/>
        <w:rPr>
          <w:rFonts w:ascii="Times New Roman" w:hAnsi="黑体" w:eastAsia="黑体"/>
          <w:sz w:val="32"/>
          <w:szCs w:val="32"/>
        </w:rPr>
      </w:pPr>
    </w:p>
    <w:p>
      <w:pPr>
        <w:jc w:val="center"/>
        <w:rPr>
          <w:rFonts w:ascii="Times New Roman" w:hAnsi="黑体" w:eastAsia="黑体"/>
          <w:sz w:val="32"/>
          <w:szCs w:val="32"/>
        </w:rPr>
        <w:sectPr>
          <w:pgSz w:w="11906" w:h="16838"/>
          <w:pgMar w:top="1440" w:right="1800" w:bottom="1440" w:left="1800" w:header="851" w:footer="992" w:gutter="0"/>
          <w:pgNumType w:fmt="upperRoman" w:start="1"/>
          <w:cols w:space="720" w:num="1"/>
          <w:docGrid w:type="lines" w:linePitch="312" w:charSpace="0"/>
        </w:sectPr>
      </w:pPr>
      <w:bookmarkStart w:id="100" w:name="_GoBack"/>
      <w:bookmarkEnd w:id="100"/>
    </w:p>
    <w:p>
      <w:pPr>
        <w:jc w:val="center"/>
        <w:rPr>
          <w:rFonts w:ascii="Times New Roman" w:hAnsi="黑体" w:eastAsia="黑体"/>
          <w:sz w:val="32"/>
          <w:szCs w:val="32"/>
        </w:rPr>
      </w:pPr>
      <w:r>
        <w:rPr>
          <w:rFonts w:hint="eastAsia" w:ascii="Times New Roman" w:hAnsi="黑体" w:eastAsia="黑体"/>
          <w:sz w:val="32"/>
          <w:szCs w:val="32"/>
        </w:rPr>
        <w:t>“十四五”民</w:t>
      </w:r>
      <w:r>
        <w:rPr>
          <w:rFonts w:hint="eastAsia" w:ascii="Times New Roman" w:hAnsi="黑体" w:eastAsia="黑体"/>
          <w:sz w:val="32"/>
          <w:szCs w:val="32"/>
          <w:lang w:val="en-US" w:eastAsia="zh-CN"/>
        </w:rPr>
        <w:t>用</w:t>
      </w:r>
      <w:r>
        <w:rPr>
          <w:rFonts w:hint="eastAsia" w:ascii="Times New Roman" w:hAnsi="黑体" w:eastAsia="黑体"/>
          <w:sz w:val="32"/>
          <w:szCs w:val="32"/>
        </w:rPr>
        <w:t>爆</w:t>
      </w:r>
      <w:r>
        <w:rPr>
          <w:rFonts w:hint="eastAsia" w:ascii="Times New Roman" w:hAnsi="黑体" w:eastAsia="黑体"/>
          <w:sz w:val="32"/>
          <w:szCs w:val="32"/>
          <w:lang w:val="en-US" w:eastAsia="zh-CN"/>
        </w:rPr>
        <w:t>炸物品</w:t>
      </w:r>
      <w:r>
        <w:rPr>
          <w:rFonts w:hint="eastAsia" w:ascii="Times New Roman" w:hAnsi="黑体" w:eastAsia="黑体"/>
          <w:sz w:val="32"/>
          <w:szCs w:val="32"/>
        </w:rPr>
        <w:t>行业标准体系建设方案</w:t>
      </w:r>
    </w:p>
    <w:p>
      <w:pPr>
        <w:jc w:val="center"/>
        <w:rPr>
          <w:rFonts w:ascii="Times New Roman" w:hAnsi="黑体" w:eastAsia="黑体"/>
          <w:sz w:val="32"/>
          <w:szCs w:val="32"/>
        </w:rPr>
      </w:pPr>
    </w:p>
    <w:p>
      <w:pPr>
        <w:ind w:firstLine="640" w:firstLineChars="200"/>
        <w:outlineLvl w:val="0"/>
        <w:rPr>
          <w:rFonts w:ascii="Times New Roman" w:hAnsi="黑体" w:eastAsia="黑体"/>
          <w:sz w:val="32"/>
          <w:szCs w:val="32"/>
        </w:rPr>
      </w:pPr>
      <w:bookmarkStart w:id="0" w:name="_Toc26917"/>
      <w:r>
        <w:rPr>
          <w:rFonts w:hint="eastAsia" w:ascii="Times New Roman" w:hAnsi="黑体" w:eastAsia="黑体"/>
          <w:sz w:val="32"/>
          <w:szCs w:val="32"/>
        </w:rPr>
        <w:t>一、行业发展概述</w:t>
      </w:r>
      <w:bookmarkEnd w:id="0"/>
    </w:p>
    <w:p>
      <w:pPr>
        <w:ind w:firstLine="643" w:firstLineChars="200"/>
        <w:outlineLvl w:val="1"/>
        <w:rPr>
          <w:rFonts w:ascii="楷体" w:hAnsi="楷体" w:eastAsia="楷体"/>
          <w:b/>
          <w:sz w:val="32"/>
          <w:szCs w:val="32"/>
        </w:rPr>
      </w:pPr>
      <w:bookmarkStart w:id="1" w:name="_Toc27460"/>
      <w:r>
        <w:rPr>
          <w:rFonts w:hint="eastAsia" w:ascii="楷体" w:hAnsi="楷体" w:eastAsia="楷体"/>
          <w:b/>
          <w:sz w:val="32"/>
          <w:szCs w:val="32"/>
        </w:rPr>
        <w:t>（一）行业概述</w:t>
      </w:r>
      <w:bookmarkEnd w:id="1"/>
    </w:p>
    <w:p>
      <w:pPr>
        <w:ind w:firstLine="640" w:firstLineChars="200"/>
        <w:rPr>
          <w:rFonts w:ascii="仿宋_GB2312" w:eastAsia="仿宋_GB2312"/>
          <w:sz w:val="32"/>
          <w:szCs w:val="32"/>
        </w:rPr>
      </w:pPr>
      <w:r>
        <w:rPr>
          <w:rFonts w:hint="eastAsia" w:ascii="仿宋_GB2312" w:eastAsia="仿宋_GB2312"/>
          <w:sz w:val="32"/>
          <w:szCs w:val="32"/>
        </w:rPr>
        <w:t>民用爆炸物品行业（以下简称“</w:t>
      </w:r>
      <w:r>
        <w:rPr>
          <w:rFonts w:hint="eastAsia" w:ascii="仿宋_GB2312" w:eastAsia="仿宋_GB2312" w:cs="Times New Roman"/>
          <w:sz w:val="32"/>
          <w:szCs w:val="32"/>
        </w:rPr>
        <w:t>民爆行业”）是我国工业体系中的基础性产业，对我国国民经济发展具有重要作用。</w:t>
      </w:r>
      <w:r>
        <w:rPr>
          <w:rFonts w:hint="eastAsia" w:ascii="仿宋_GB2312" w:eastAsia="仿宋_GB2312"/>
          <w:sz w:val="32"/>
          <w:szCs w:val="32"/>
        </w:rPr>
        <w:t>主要产品有工业炸药、工业雷管、工业索类火工品、油气井用爆炸物品和其他爆破器材。我国民爆产品主要用于煤炭、金属和非金属矿山开采、铁路道路和水利水电等基础建设、工程除险、石油勘探与开采、增雨防雹等领域。</w:t>
      </w:r>
    </w:p>
    <w:p>
      <w:pPr>
        <w:ind w:firstLine="640" w:firstLineChars="200"/>
        <w:rPr>
          <w:rFonts w:ascii="仿宋_GB2312" w:eastAsia="仿宋_GB2312"/>
          <w:color w:val="FF0000"/>
          <w:sz w:val="32"/>
          <w:szCs w:val="32"/>
        </w:rPr>
      </w:pPr>
      <w:r>
        <w:rPr>
          <w:rFonts w:hint="eastAsia" w:ascii="仿宋_GB2312" w:eastAsia="仿宋_GB2312"/>
          <w:sz w:val="32"/>
          <w:szCs w:val="32"/>
        </w:rPr>
        <w:t>“十四五”以来，民爆行业积极应对国内外经济形势变化，产品产业结构持续优化，安全、科技和信息化发展水平明显提升，民爆行业规模效益稳步增长。20</w:t>
      </w:r>
      <w:r>
        <w:rPr>
          <w:rFonts w:ascii="仿宋_GB2312" w:eastAsia="仿宋_GB2312"/>
          <w:sz w:val="32"/>
          <w:szCs w:val="32"/>
        </w:rPr>
        <w:t>21</w:t>
      </w:r>
      <w:r>
        <w:rPr>
          <w:rFonts w:hint="eastAsia" w:ascii="仿宋_GB2312" w:eastAsia="仿宋_GB2312"/>
          <w:sz w:val="32"/>
          <w:szCs w:val="32"/>
        </w:rPr>
        <w:t>年，民爆行业生产企业完成生产总值344.38亿元，同比增长2.53%；实现利润总额53.86亿元，同比增长1.80%。</w:t>
      </w:r>
    </w:p>
    <w:p>
      <w:pPr>
        <w:ind w:firstLine="643" w:firstLineChars="200"/>
        <w:outlineLvl w:val="1"/>
        <w:rPr>
          <w:rFonts w:ascii="楷体" w:hAnsi="楷体" w:eastAsia="楷体"/>
          <w:b/>
          <w:sz w:val="32"/>
          <w:szCs w:val="32"/>
        </w:rPr>
      </w:pPr>
      <w:bookmarkStart w:id="2" w:name="_Toc7142"/>
      <w:r>
        <w:rPr>
          <w:rFonts w:hint="eastAsia" w:ascii="楷体" w:hAnsi="楷体" w:eastAsia="楷体"/>
          <w:b/>
          <w:sz w:val="32"/>
          <w:szCs w:val="32"/>
        </w:rPr>
        <w:t>（二）发展现状和趋势</w:t>
      </w:r>
      <w:bookmarkEnd w:id="2"/>
    </w:p>
    <w:p>
      <w:pPr>
        <w:ind w:firstLine="640" w:firstLineChars="200"/>
        <w:rPr>
          <w:rFonts w:ascii="仿宋_GB2312" w:eastAsia="仿宋_GB2312"/>
          <w:sz w:val="32"/>
          <w:szCs w:val="32"/>
        </w:rPr>
      </w:pPr>
      <w:r>
        <w:rPr>
          <w:rFonts w:hint="eastAsia" w:ascii="仿宋_GB2312" w:eastAsia="仿宋_GB2312"/>
          <w:sz w:val="32"/>
          <w:szCs w:val="32"/>
        </w:rPr>
        <w:t>随着国家对安全生产、节能减排、环保等方面要求的加强，以及行业重组整合的深入，民爆行业的发展呈现出以下趋势：</w:t>
      </w:r>
    </w:p>
    <w:p>
      <w:pPr>
        <w:numPr>
          <w:ilvl w:val="0"/>
          <w:numId w:val="1"/>
        </w:numPr>
        <w:outlineLvl w:val="3"/>
        <w:rPr>
          <w:rFonts w:ascii="仿宋_GB2312" w:eastAsia="仿宋_GB2312" w:cs="Times New Roman"/>
          <w:b/>
          <w:sz w:val="32"/>
          <w:szCs w:val="32"/>
        </w:rPr>
      </w:pPr>
      <w:r>
        <w:rPr>
          <w:rFonts w:hint="eastAsia" w:ascii="仿宋_GB2312" w:eastAsia="仿宋_GB2312" w:cs="Times New Roman"/>
          <w:b/>
          <w:sz w:val="32"/>
          <w:szCs w:val="32"/>
        </w:rPr>
        <w:t>产品结构优化</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随着爆破技术水平的发展，我国工业炸药年产量稳步回升、工业雷管需求量呈逐年下降的趋势。今后，我国民用爆炸物品将进一步发展新型、安全、可靠产品。工业炸药向多品种、系列化、散装化、低污染、低感度、性能优良、安全可靠的方向发展；工业雷管向高精度、高可靠性、高安全性、环保型、信息可追溯方向发展。此外，现场混装炸药在工业炸药中占比逐年提高；民爆行业正在由单纯提供产品向提供一体化服务转变，生产、销售、配送、爆破服务一体化已经成为民爆行业发展趋势。</w:t>
      </w:r>
    </w:p>
    <w:p>
      <w:pPr>
        <w:numPr>
          <w:ilvl w:val="0"/>
          <w:numId w:val="1"/>
        </w:numPr>
        <w:outlineLvl w:val="3"/>
        <w:rPr>
          <w:rFonts w:ascii="仿宋_GB2312" w:eastAsia="仿宋_GB2312" w:cs="Times New Roman"/>
          <w:b/>
          <w:sz w:val="32"/>
          <w:szCs w:val="32"/>
        </w:rPr>
      </w:pPr>
      <w:r>
        <w:rPr>
          <w:rFonts w:hint="eastAsia" w:ascii="仿宋_GB2312" w:eastAsia="仿宋_GB2312" w:cs="Times New Roman"/>
          <w:b/>
          <w:sz w:val="32"/>
          <w:szCs w:val="32"/>
        </w:rPr>
        <w:t>信息化、智能化建设有序推进</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爆行业在推进信息化方面取得了显著成绩，形成了较为完善的民爆生产销售系统数据信息化、危险场所视频监控全覆盖、生产现场安全参数（采集、存贮、处理和上传）数据化、产品全生命周期数据库及管控信息平台等。智能化方面，按照《工业和信息化部办公厅关于印发&lt;民用爆炸物品行业技术发展方向及目标（2018年版）&gt;的通知》（工信厅安全〔2018〕94号）、《工业和信息化部关于推进民爆行业高质量发展的意见》（工信部安全〔2018〕237号）等文件要求，全行业积极推动工业炸药和工业雷管等主要产品生产线技术改造，通过采用自动化生产手段，民爆行业主导产品已改变原来的手工、半机械化生产方式，基本实现了连续化、自动化生产，并向信息化、智能化发展迈出了步伐</w:t>
      </w:r>
      <w:r>
        <w:rPr>
          <w:rFonts w:hint="eastAsia" w:ascii="仿宋_GB2312" w:eastAsia="仿宋_GB2312" w:cs="Times New Roman"/>
          <w:sz w:val="32"/>
          <w:szCs w:val="32"/>
          <w:lang w:eastAsia="zh-CN"/>
        </w:rPr>
        <w:t>，</w:t>
      </w:r>
      <w:r>
        <w:rPr>
          <w:rFonts w:hint="eastAsia" w:ascii="仿宋_GB2312" w:eastAsia="仿宋_GB2312" w:cs="Times New Roman"/>
          <w:sz w:val="32"/>
          <w:szCs w:val="32"/>
        </w:rPr>
        <w:t>自动化、智能化装备广泛应用，本质安全水平显著提升。但行业整体信息化水平还有待进一步提升。推进信息化与工业化的深度融合，不仅是经济社会发展的趋势，而且也是民爆行业发展的内在需求和全行业</w:t>
      </w:r>
      <w:r>
        <w:rPr>
          <w:rFonts w:ascii="仿宋_GB2312" w:eastAsia="仿宋_GB2312" w:cs="Times New Roman"/>
          <w:sz w:val="32"/>
          <w:szCs w:val="32"/>
        </w:rPr>
        <w:t>的历史使命。</w:t>
      </w:r>
      <w:r>
        <w:rPr>
          <w:rFonts w:hint="eastAsia" w:ascii="仿宋_GB2312" w:eastAsia="仿宋_GB2312" w:cs="Times New Roman"/>
          <w:sz w:val="32"/>
          <w:szCs w:val="32"/>
        </w:rPr>
        <w:t>《工业和信息化部关于印发民爆行业“工业互联网＋安全生产”实施指南的通知》（工安全函〔2021〕221号）、《工业和信息化部关于发布“十四五”民用爆炸物品行业安全发展规划的通知》（工信部规[2021]183号）等的发布，将有效促进民爆行业信息化工作。</w:t>
      </w:r>
    </w:p>
    <w:p>
      <w:pPr>
        <w:numPr>
          <w:ilvl w:val="0"/>
          <w:numId w:val="1"/>
        </w:numPr>
        <w:outlineLvl w:val="3"/>
        <w:rPr>
          <w:rFonts w:ascii="仿宋_GB2312" w:eastAsia="仿宋_GB2312" w:cs="Times New Roman"/>
          <w:b/>
          <w:sz w:val="32"/>
          <w:szCs w:val="32"/>
        </w:rPr>
      </w:pPr>
      <w:r>
        <w:rPr>
          <w:rFonts w:ascii="仿宋_GB2312" w:eastAsia="仿宋_GB2312" w:cs="Times New Roman"/>
          <w:b/>
          <w:sz w:val="32"/>
          <w:szCs w:val="32"/>
        </w:rPr>
        <w:t>行业监管效能明显增强</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民用</w:t>
      </w:r>
      <w:r>
        <w:rPr>
          <w:rFonts w:ascii="仿宋_GB2312" w:eastAsia="仿宋_GB2312" w:cs="Times New Roman"/>
          <w:sz w:val="32"/>
          <w:szCs w:val="32"/>
        </w:rPr>
        <w:t>爆</w:t>
      </w:r>
      <w:r>
        <w:rPr>
          <w:rFonts w:hint="eastAsia" w:ascii="仿宋_GB2312" w:eastAsia="仿宋_GB2312" w:cs="Times New Roman"/>
          <w:sz w:val="32"/>
          <w:szCs w:val="32"/>
        </w:rPr>
        <w:t>炸物</w:t>
      </w:r>
      <w:r>
        <w:rPr>
          <w:rFonts w:ascii="仿宋_GB2312" w:eastAsia="仿宋_GB2312" w:cs="Times New Roman"/>
          <w:sz w:val="32"/>
          <w:szCs w:val="32"/>
        </w:rPr>
        <w:t>品</w:t>
      </w:r>
      <w:r>
        <w:rPr>
          <w:rFonts w:hint="eastAsia" w:ascii="仿宋_GB2312" w:eastAsia="仿宋_GB2312" w:cs="Times New Roman"/>
          <w:sz w:val="32"/>
          <w:szCs w:val="32"/>
        </w:rPr>
        <w:t>属于</w:t>
      </w:r>
      <w:r>
        <w:rPr>
          <w:rFonts w:ascii="仿宋_GB2312" w:eastAsia="仿宋_GB2312" w:cs="Times New Roman"/>
          <w:sz w:val="32"/>
          <w:szCs w:val="32"/>
        </w:rPr>
        <w:t>易燃易爆物品，</w:t>
      </w:r>
      <w:r>
        <w:rPr>
          <w:rFonts w:hint="eastAsia" w:ascii="仿宋_GB2312" w:eastAsia="仿宋_GB2312" w:cs="Times New Roman"/>
          <w:sz w:val="32"/>
          <w:szCs w:val="32"/>
        </w:rPr>
        <w:t>安全生产是民爆行业的重中之重</w:t>
      </w:r>
      <w:r>
        <w:rPr>
          <w:rFonts w:ascii="仿宋_GB2312" w:eastAsia="仿宋_GB2312" w:cs="Times New Roman"/>
          <w:sz w:val="32"/>
          <w:szCs w:val="32"/>
        </w:rPr>
        <w:t>。</w:t>
      </w:r>
      <w:r>
        <w:rPr>
          <w:rFonts w:hint="eastAsia" w:ascii="仿宋_GB2312" w:eastAsia="仿宋_GB2312" w:cs="Times New Roman"/>
          <w:sz w:val="32"/>
          <w:szCs w:val="32"/>
        </w:rPr>
        <w:t>目前，民爆行业已建立健全国家、省、市、县四级管理机构，形成了较为完善的安全监管体系，推进</w:t>
      </w:r>
      <w:r>
        <w:rPr>
          <w:rFonts w:ascii="仿宋_GB2312" w:eastAsia="仿宋_GB2312" w:cs="Times New Roman"/>
          <w:sz w:val="32"/>
          <w:szCs w:val="32"/>
        </w:rPr>
        <w:t>安全生产标准化建设</w:t>
      </w:r>
      <w:r>
        <w:rPr>
          <w:rFonts w:hint="eastAsia" w:ascii="仿宋_GB2312" w:eastAsia="仿宋_GB2312" w:cs="Times New Roman"/>
          <w:sz w:val="32"/>
          <w:szCs w:val="32"/>
        </w:rPr>
        <w:t>，规范</w:t>
      </w:r>
      <w:r>
        <w:rPr>
          <w:rFonts w:ascii="仿宋_GB2312" w:eastAsia="仿宋_GB2312" w:cs="Times New Roman"/>
          <w:sz w:val="32"/>
          <w:szCs w:val="32"/>
        </w:rPr>
        <w:t>安全生产</w:t>
      </w:r>
      <w:r>
        <w:rPr>
          <w:rFonts w:hint="eastAsia" w:ascii="仿宋_GB2312" w:eastAsia="仿宋_GB2312" w:cs="Times New Roman"/>
          <w:sz w:val="32"/>
          <w:szCs w:val="32"/>
        </w:rPr>
        <w:t>行为，提升了安全生产管理水平。企业安全生产主题责任较好落实，安全监管效能明显增强。从2</w:t>
      </w:r>
      <w:r>
        <w:rPr>
          <w:rFonts w:ascii="仿宋_GB2312" w:eastAsia="仿宋_GB2312" w:cs="Times New Roman"/>
          <w:sz w:val="32"/>
          <w:szCs w:val="32"/>
        </w:rPr>
        <w:t>018</w:t>
      </w:r>
      <w:r>
        <w:rPr>
          <w:rFonts w:hint="eastAsia" w:ascii="仿宋_GB2312" w:eastAsia="仿宋_GB2312" w:cs="Times New Roman"/>
          <w:sz w:val="32"/>
          <w:szCs w:val="32"/>
        </w:rPr>
        <w:t>年末至今未发生较大及以上生产安全事故。但仍存在少数企业疏忽安全管理，安全管理规章制度不完善、不健全，现场安全管理制度执行不严格，超生产许可品种、超员、超量、违反操作规程行为等违法违章行为也时有发生。新《安全生产法》在强化生产经营单位主体责任、增强政府监管力度、明确法律责任方面进一步做了补充和完善，补充完善了相关法规标准，是民爆行业切实做好安全生产的手段之一。</w:t>
      </w:r>
    </w:p>
    <w:p>
      <w:pPr>
        <w:numPr>
          <w:ilvl w:val="0"/>
          <w:numId w:val="1"/>
        </w:numPr>
        <w:outlineLvl w:val="3"/>
        <w:rPr>
          <w:rFonts w:ascii="仿宋_GB2312" w:eastAsia="仿宋_GB2312" w:cs="Times New Roman"/>
          <w:b/>
          <w:sz w:val="32"/>
          <w:szCs w:val="32"/>
        </w:rPr>
      </w:pPr>
      <w:r>
        <w:rPr>
          <w:rFonts w:hint="eastAsia" w:ascii="仿宋_GB2312" w:eastAsia="仿宋_GB2312" w:cs="Times New Roman"/>
          <w:b/>
          <w:sz w:val="32"/>
          <w:szCs w:val="32"/>
        </w:rPr>
        <w:t>绿色低碳发展是必然趋势</w:t>
      </w:r>
    </w:p>
    <w:p>
      <w:pPr>
        <w:ind w:firstLine="640" w:firstLineChars="200"/>
        <w:rPr>
          <w:rFonts w:ascii="Times New Roman" w:hAnsi="Times New Roman" w:eastAsia="仿宋_GB2312"/>
          <w:sz w:val="32"/>
          <w:szCs w:val="32"/>
        </w:rPr>
      </w:pPr>
      <w:r>
        <w:rPr>
          <w:rFonts w:hint="eastAsia" w:ascii="仿宋_GB2312" w:eastAsia="仿宋_GB2312" w:cs="Times New Roman"/>
          <w:sz w:val="32"/>
          <w:szCs w:val="32"/>
        </w:rPr>
        <w:t>节能减排、低碳绿色发展是工业发展的趋势，是国家重点关注的环节，</w:t>
      </w:r>
      <w:r>
        <w:rPr>
          <w:rFonts w:ascii="仿宋_GB2312" w:eastAsia="仿宋_GB2312" w:cs="Times New Roman"/>
          <w:sz w:val="32"/>
          <w:szCs w:val="32"/>
        </w:rPr>
        <w:t>随着新修订的《环境保护法》实施，</w:t>
      </w:r>
      <w:r>
        <w:rPr>
          <w:rFonts w:hint="eastAsia" w:ascii="仿宋_GB2312" w:eastAsia="仿宋_GB2312" w:cs="Times New Roman"/>
          <w:sz w:val="32"/>
          <w:szCs w:val="32"/>
        </w:rPr>
        <w:t>对</w:t>
      </w:r>
      <w:r>
        <w:rPr>
          <w:rFonts w:ascii="仿宋_GB2312" w:eastAsia="仿宋_GB2312" w:cs="Times New Roman"/>
          <w:sz w:val="32"/>
          <w:szCs w:val="32"/>
        </w:rPr>
        <w:t>企业的环境保护责任提出了新的要求</w:t>
      </w:r>
      <w:r>
        <w:rPr>
          <w:rFonts w:hint="eastAsia" w:ascii="仿宋_GB2312" w:eastAsia="仿宋_GB2312" w:cs="Times New Roman"/>
          <w:sz w:val="32"/>
          <w:szCs w:val="32"/>
        </w:rPr>
        <w:t>。民用爆炸物品</w:t>
      </w:r>
      <w:r>
        <w:rPr>
          <w:rFonts w:ascii="仿宋_GB2312" w:eastAsia="仿宋_GB2312" w:cs="Times New Roman"/>
          <w:sz w:val="32"/>
          <w:szCs w:val="32"/>
        </w:rPr>
        <w:t>在</w:t>
      </w:r>
      <w:r>
        <w:rPr>
          <w:rFonts w:hint="eastAsia" w:ascii="仿宋_GB2312" w:eastAsia="仿宋_GB2312" w:cs="Times New Roman"/>
          <w:sz w:val="32"/>
          <w:szCs w:val="32"/>
        </w:rPr>
        <w:t>试制</w:t>
      </w:r>
      <w:r>
        <w:rPr>
          <w:rFonts w:ascii="仿宋_GB2312" w:eastAsia="仿宋_GB2312" w:cs="Times New Roman"/>
          <w:sz w:val="32"/>
          <w:szCs w:val="32"/>
        </w:rPr>
        <w:t>、生产</w:t>
      </w:r>
      <w:r>
        <w:rPr>
          <w:rFonts w:hint="eastAsia" w:ascii="仿宋_GB2312" w:eastAsia="仿宋_GB2312" w:cs="Times New Roman"/>
          <w:sz w:val="32"/>
          <w:szCs w:val="32"/>
        </w:rPr>
        <w:t>、</w:t>
      </w:r>
      <w:r>
        <w:rPr>
          <w:rFonts w:ascii="仿宋_GB2312" w:eastAsia="仿宋_GB2312" w:cs="Times New Roman"/>
          <w:sz w:val="32"/>
          <w:szCs w:val="32"/>
        </w:rPr>
        <w:t>包装</w:t>
      </w:r>
      <w:r>
        <w:rPr>
          <w:rFonts w:hint="eastAsia" w:ascii="仿宋_GB2312" w:eastAsia="仿宋_GB2312" w:cs="Times New Roman"/>
          <w:sz w:val="32"/>
          <w:szCs w:val="32"/>
        </w:rPr>
        <w:t>、</w:t>
      </w:r>
      <w:r>
        <w:rPr>
          <w:rFonts w:ascii="仿宋_GB2312" w:eastAsia="仿宋_GB2312" w:cs="Times New Roman"/>
          <w:sz w:val="32"/>
          <w:szCs w:val="32"/>
        </w:rPr>
        <w:t>运输、</w:t>
      </w:r>
      <w:r>
        <w:rPr>
          <w:rFonts w:hint="eastAsia" w:ascii="仿宋_GB2312" w:eastAsia="仿宋_GB2312" w:cs="Times New Roman"/>
          <w:sz w:val="32"/>
          <w:szCs w:val="32"/>
        </w:rPr>
        <w:t>储存</w:t>
      </w:r>
      <w:r>
        <w:rPr>
          <w:rFonts w:ascii="仿宋_GB2312" w:eastAsia="仿宋_GB2312" w:cs="Times New Roman"/>
          <w:sz w:val="32"/>
          <w:szCs w:val="32"/>
        </w:rPr>
        <w:t>过程中涉及到大量的危险化学品，一旦发生事故不仅会危及公众的生命财产安全、而且可能造成相当严重的环境影响</w:t>
      </w:r>
      <w:r>
        <w:rPr>
          <w:rFonts w:hint="eastAsia" w:ascii="仿宋_GB2312" w:eastAsia="仿宋_GB2312" w:cs="Times New Roman"/>
          <w:sz w:val="32"/>
          <w:szCs w:val="32"/>
        </w:rPr>
        <w:t>。</w:t>
      </w:r>
      <w:r>
        <w:rPr>
          <w:rFonts w:ascii="仿宋_GB2312" w:eastAsia="仿宋_GB2312" w:cs="Times New Roman"/>
          <w:sz w:val="32"/>
          <w:szCs w:val="32"/>
        </w:rPr>
        <w:t>提</w:t>
      </w:r>
      <w:r>
        <w:rPr>
          <w:rFonts w:hint="eastAsia" w:ascii="仿宋_GB2312" w:eastAsia="仿宋_GB2312" w:cs="Times New Roman"/>
          <w:sz w:val="32"/>
          <w:szCs w:val="32"/>
        </w:rPr>
        <w:t>高</w:t>
      </w:r>
      <w:r>
        <w:rPr>
          <w:rFonts w:ascii="仿宋_GB2312" w:eastAsia="仿宋_GB2312" w:cs="Times New Roman"/>
          <w:sz w:val="32"/>
          <w:szCs w:val="32"/>
        </w:rPr>
        <w:t>节能减排</w:t>
      </w:r>
      <w:r>
        <w:rPr>
          <w:rFonts w:hint="eastAsia" w:ascii="仿宋_GB2312" w:eastAsia="仿宋_GB2312" w:cs="Times New Roman"/>
          <w:sz w:val="32"/>
          <w:szCs w:val="32"/>
        </w:rPr>
        <w:t>技术</w:t>
      </w:r>
      <w:r>
        <w:rPr>
          <w:rFonts w:ascii="仿宋_GB2312" w:eastAsia="仿宋_GB2312" w:cs="Times New Roman"/>
          <w:sz w:val="32"/>
          <w:szCs w:val="32"/>
        </w:rPr>
        <w:t>水平</w:t>
      </w:r>
      <w:r>
        <w:rPr>
          <w:rFonts w:hint="eastAsia" w:ascii="仿宋_GB2312" w:eastAsia="仿宋_GB2312" w:cs="Times New Roman"/>
          <w:sz w:val="32"/>
          <w:szCs w:val="32"/>
        </w:rPr>
        <w:t>，</w:t>
      </w:r>
      <w:r>
        <w:rPr>
          <w:rFonts w:ascii="仿宋_GB2312" w:eastAsia="仿宋_GB2312" w:cs="Times New Roman"/>
          <w:sz w:val="32"/>
          <w:szCs w:val="32"/>
        </w:rPr>
        <w:t>建立健全</w:t>
      </w:r>
      <w:r>
        <w:rPr>
          <w:rFonts w:hint="eastAsia" w:ascii="仿宋_GB2312" w:eastAsia="仿宋_GB2312" w:cs="Times New Roman"/>
          <w:sz w:val="32"/>
          <w:szCs w:val="32"/>
        </w:rPr>
        <w:t>绿色</w:t>
      </w:r>
      <w:r>
        <w:rPr>
          <w:rFonts w:ascii="仿宋_GB2312" w:eastAsia="仿宋_GB2312" w:cs="Times New Roman"/>
          <w:sz w:val="32"/>
          <w:szCs w:val="32"/>
        </w:rPr>
        <w:t>发展长效机制</w:t>
      </w:r>
      <w:r>
        <w:rPr>
          <w:rFonts w:hint="eastAsia" w:ascii="仿宋_GB2312" w:eastAsia="仿宋_GB2312" w:cs="Times New Roman"/>
          <w:sz w:val="32"/>
          <w:szCs w:val="32"/>
        </w:rPr>
        <w:t>，</w:t>
      </w:r>
      <w:r>
        <w:rPr>
          <w:rFonts w:ascii="仿宋_GB2312" w:eastAsia="仿宋_GB2312" w:cs="Times New Roman"/>
          <w:sz w:val="32"/>
          <w:szCs w:val="32"/>
        </w:rPr>
        <w:t>解决传统起爆药污染</w:t>
      </w:r>
      <w:r>
        <w:rPr>
          <w:rFonts w:hint="eastAsia" w:ascii="仿宋_GB2312" w:eastAsia="仿宋_GB2312" w:cs="Times New Roman"/>
          <w:sz w:val="32"/>
          <w:szCs w:val="32"/>
        </w:rPr>
        <w:t>环境问题，</w:t>
      </w:r>
      <w:r>
        <w:rPr>
          <w:rFonts w:ascii="仿宋_GB2312" w:eastAsia="仿宋_GB2312" w:cs="Times New Roman"/>
          <w:sz w:val="32"/>
          <w:szCs w:val="32"/>
        </w:rPr>
        <w:t>加强重点污染源防治</w:t>
      </w:r>
      <w:r>
        <w:rPr>
          <w:rFonts w:hint="eastAsia" w:ascii="仿宋_GB2312" w:eastAsia="仿宋_GB2312" w:cs="Times New Roman"/>
          <w:sz w:val="32"/>
          <w:szCs w:val="32"/>
        </w:rPr>
        <w:t>是民爆行业需要重点关注的问题。</w:t>
      </w:r>
    </w:p>
    <w:p>
      <w:pPr>
        <w:pStyle w:val="21"/>
        <w:numPr>
          <w:ilvl w:val="0"/>
          <w:numId w:val="2"/>
        </w:numPr>
        <w:ind w:firstLineChars="0"/>
        <w:outlineLvl w:val="1"/>
        <w:rPr>
          <w:rFonts w:ascii="楷体" w:hAnsi="楷体" w:eastAsia="楷体"/>
          <w:b/>
          <w:sz w:val="32"/>
          <w:szCs w:val="32"/>
        </w:rPr>
      </w:pPr>
      <w:bookmarkStart w:id="3" w:name="_Toc1077"/>
      <w:r>
        <w:rPr>
          <w:rFonts w:hint="eastAsia" w:ascii="楷体" w:hAnsi="楷体" w:eastAsia="楷体"/>
          <w:b/>
          <w:sz w:val="32"/>
          <w:szCs w:val="32"/>
        </w:rPr>
        <w:t>“十四五”发展目标</w:t>
      </w:r>
      <w:bookmarkEnd w:id="3"/>
    </w:p>
    <w:p>
      <w:pPr>
        <w:numPr>
          <w:ilvl w:val="0"/>
          <w:numId w:val="3"/>
        </w:numPr>
        <w:outlineLvl w:val="3"/>
        <w:rPr>
          <w:rFonts w:ascii="仿宋_GB2312" w:eastAsia="仿宋_GB2312" w:cs="Times New Roman"/>
          <w:b/>
          <w:sz w:val="32"/>
          <w:szCs w:val="32"/>
        </w:rPr>
      </w:pPr>
      <w:r>
        <w:rPr>
          <w:rFonts w:ascii="仿宋_GB2312" w:eastAsia="仿宋_GB2312" w:cs="Times New Roman"/>
          <w:b/>
          <w:sz w:val="32"/>
          <w:szCs w:val="32"/>
        </w:rPr>
        <w:t>安全水平再上新台阶</w:t>
      </w:r>
    </w:p>
    <w:p>
      <w:pPr>
        <w:ind w:firstLine="640" w:firstLineChars="200"/>
        <w:rPr>
          <w:rFonts w:ascii="仿宋_GB2312" w:eastAsia="仿宋_GB2312" w:cs="Times New Roman"/>
          <w:sz w:val="32"/>
          <w:szCs w:val="32"/>
        </w:rPr>
      </w:pPr>
      <w:r>
        <w:rPr>
          <w:rFonts w:ascii="仿宋_GB2312" w:eastAsia="仿宋_GB2312" w:cs="Times New Roman"/>
          <w:sz w:val="32"/>
          <w:szCs w:val="32"/>
        </w:rPr>
        <w:t>安全管理基础更加牢固，安全准入标准进一步提高，安全生产责任制有效落实，企业安全生产标准化水平整体达到二级及以上，持续推进危险岗位机器</w:t>
      </w:r>
      <w:r>
        <w:rPr>
          <w:rFonts w:hint="eastAsia" w:ascii="仿宋_GB2312" w:eastAsia="仿宋_GB2312" w:cs="Times New Roman"/>
          <w:sz w:val="32"/>
          <w:szCs w:val="32"/>
        </w:rPr>
        <w:t>换人</w:t>
      </w:r>
      <w:r>
        <w:rPr>
          <w:rFonts w:ascii="仿宋_GB2312" w:eastAsia="仿宋_GB2312" w:cs="Times New Roman"/>
          <w:sz w:val="32"/>
          <w:szCs w:val="32"/>
        </w:rPr>
        <w:t>计划，初步建成“工业互联网+安全生产”支撑体系，本质安全水平显著提升，杜绝重特大生产安全事故，力争不发生较大生产安全事故。</w:t>
      </w:r>
    </w:p>
    <w:p>
      <w:pPr>
        <w:numPr>
          <w:ilvl w:val="0"/>
          <w:numId w:val="3"/>
        </w:numPr>
        <w:outlineLvl w:val="3"/>
        <w:rPr>
          <w:rFonts w:ascii="仿宋_GB2312" w:eastAsia="仿宋_GB2312" w:cs="Times New Roman"/>
          <w:b/>
          <w:sz w:val="32"/>
          <w:szCs w:val="32"/>
        </w:rPr>
      </w:pPr>
      <w:r>
        <w:rPr>
          <w:rFonts w:hint="eastAsia" w:ascii="仿宋_GB2312" w:eastAsia="仿宋_GB2312" w:cs="Times New Roman"/>
          <w:b/>
          <w:sz w:val="32"/>
          <w:szCs w:val="32"/>
        </w:rPr>
        <w:t>创新能力得到新提升</w:t>
      </w:r>
    </w:p>
    <w:p>
      <w:pPr>
        <w:ind w:firstLine="640" w:firstLineChars="200"/>
        <w:rPr>
          <w:rFonts w:ascii="仿宋_GB2312" w:eastAsia="仿宋_GB2312" w:cs="Times New Roman"/>
          <w:sz w:val="32"/>
          <w:szCs w:val="32"/>
        </w:rPr>
      </w:pPr>
      <w:r>
        <w:rPr>
          <w:rFonts w:ascii="仿宋_GB2312" w:eastAsia="仿宋_GB2312" w:cs="Times New Roman"/>
          <w:sz w:val="32"/>
          <w:szCs w:val="32"/>
        </w:rPr>
        <w:t>技术创新机制进一步健全，企业创新能力明显增强，基础研究、关键共性技术研发取得新进展，工艺及装备研发取得突破性成果，智能制造和数字技术与行业融合度有效提升，创新驱动安全发展、高质量发展能力更加显著。</w:t>
      </w:r>
    </w:p>
    <w:p>
      <w:pPr>
        <w:numPr>
          <w:ilvl w:val="0"/>
          <w:numId w:val="3"/>
        </w:numPr>
        <w:outlineLvl w:val="3"/>
        <w:rPr>
          <w:rFonts w:ascii="仿宋_GB2312" w:eastAsia="仿宋_GB2312" w:cs="Times New Roman"/>
          <w:b/>
          <w:sz w:val="32"/>
          <w:szCs w:val="32"/>
        </w:rPr>
      </w:pPr>
      <w:r>
        <w:rPr>
          <w:rFonts w:hint="eastAsia" w:ascii="仿宋_GB2312" w:eastAsia="仿宋_GB2312" w:cs="Times New Roman"/>
          <w:b/>
          <w:sz w:val="32"/>
          <w:szCs w:val="32"/>
        </w:rPr>
        <w:t>结构调整取得新成效</w:t>
      </w:r>
    </w:p>
    <w:p>
      <w:pPr>
        <w:ind w:firstLine="640" w:firstLineChars="200"/>
        <w:rPr>
          <w:rFonts w:ascii="仿宋_GB2312" w:eastAsia="仿宋_GB2312" w:cs="Times New Roman"/>
          <w:sz w:val="32"/>
          <w:szCs w:val="32"/>
        </w:rPr>
      </w:pPr>
      <w:r>
        <w:rPr>
          <w:rFonts w:ascii="仿宋_GB2312" w:eastAsia="仿宋_GB2312" w:cs="Times New Roman"/>
          <w:sz w:val="32"/>
          <w:szCs w:val="32"/>
        </w:rPr>
        <w:t>产业集中度持续提高，企业数量进一步减少，形成3-5家具有较强行业带动力、国际竞争力的大型民爆一体化企业（集团）。产能布局更加合理，产品结构更加优化，产能严重过剩矛盾得到有效化解。</w:t>
      </w:r>
    </w:p>
    <w:p>
      <w:pPr>
        <w:numPr>
          <w:ilvl w:val="0"/>
          <w:numId w:val="3"/>
        </w:numPr>
        <w:outlineLvl w:val="3"/>
        <w:rPr>
          <w:rFonts w:ascii="仿宋_GB2312" w:eastAsia="仿宋_GB2312" w:cs="Times New Roman"/>
          <w:b/>
          <w:sz w:val="32"/>
          <w:szCs w:val="32"/>
        </w:rPr>
      </w:pPr>
      <w:r>
        <w:rPr>
          <w:rFonts w:hint="eastAsia" w:ascii="仿宋_GB2312" w:eastAsia="仿宋_GB2312" w:cs="Times New Roman"/>
          <w:b/>
          <w:sz w:val="32"/>
          <w:szCs w:val="32"/>
        </w:rPr>
        <w:t>高质量发展达到新水平</w:t>
      </w:r>
    </w:p>
    <w:p>
      <w:pPr>
        <w:ind w:firstLine="640" w:firstLineChars="200"/>
        <w:rPr>
          <w:rFonts w:ascii="仿宋_GB2312" w:eastAsia="仿宋_GB2312" w:cs="Times New Roman"/>
          <w:sz w:val="32"/>
          <w:szCs w:val="32"/>
        </w:rPr>
      </w:pPr>
      <w:r>
        <w:rPr>
          <w:rFonts w:ascii="仿宋_GB2312" w:eastAsia="仿宋_GB2312" w:cs="Times New Roman"/>
          <w:sz w:val="32"/>
          <w:szCs w:val="32"/>
        </w:rPr>
        <w:t>产业链供应链更加稳固</w:t>
      </w:r>
      <w:r>
        <w:rPr>
          <w:rFonts w:hint="eastAsia" w:ascii="仿宋_GB2312" w:eastAsia="仿宋_GB2312" w:cs="Times New Roman"/>
          <w:sz w:val="32"/>
          <w:szCs w:val="32"/>
        </w:rPr>
        <w:t>齐全</w:t>
      </w:r>
      <w:r>
        <w:rPr>
          <w:rFonts w:ascii="仿宋_GB2312" w:eastAsia="仿宋_GB2312" w:cs="Times New Roman"/>
          <w:sz w:val="32"/>
          <w:szCs w:val="32"/>
        </w:rPr>
        <w:t>，一体化发展水平显著增强，中高端产品基本实现有效供给，区域发展更加平衡，从业人员收入水平稳步增长，行业高质量发展水平持续提升</w:t>
      </w:r>
      <w:r>
        <w:rPr>
          <w:rFonts w:hint="eastAsia" w:ascii="仿宋_GB2312" w:eastAsia="仿宋_GB2312" w:cs="Times New Roman"/>
          <w:sz w:val="32"/>
          <w:szCs w:val="32"/>
        </w:rPr>
        <w:t>。</w:t>
      </w:r>
    </w:p>
    <w:p>
      <w:pPr>
        <w:numPr>
          <w:ilvl w:val="0"/>
          <w:numId w:val="3"/>
        </w:numPr>
        <w:outlineLvl w:val="3"/>
        <w:rPr>
          <w:rFonts w:ascii="仿宋_GB2312" w:eastAsia="仿宋_GB2312" w:cs="Times New Roman"/>
          <w:b/>
          <w:sz w:val="32"/>
          <w:szCs w:val="32"/>
        </w:rPr>
      </w:pPr>
      <w:r>
        <w:rPr>
          <w:rFonts w:hint="eastAsia" w:ascii="仿宋_GB2312" w:eastAsia="仿宋_GB2312" w:cs="Times New Roman"/>
          <w:b/>
          <w:sz w:val="32"/>
          <w:szCs w:val="32"/>
        </w:rPr>
        <w:t>治理效能得到新提高</w:t>
      </w:r>
    </w:p>
    <w:p>
      <w:pPr>
        <w:ind w:firstLine="640" w:firstLineChars="200"/>
        <w:rPr>
          <w:rFonts w:ascii="仿宋_GB2312" w:eastAsia="仿宋_GB2312" w:cs="Times New Roman"/>
          <w:sz w:val="32"/>
          <w:szCs w:val="32"/>
        </w:rPr>
      </w:pPr>
      <w:r>
        <w:rPr>
          <w:rFonts w:ascii="仿宋_GB2312" w:eastAsia="仿宋_GB2312" w:cs="Times New Roman"/>
          <w:sz w:val="32"/>
          <w:szCs w:val="32"/>
        </w:rPr>
        <w:t>行业管理和安全监管体系更加健全，“放管服”改革取得新进展，营商环境持续优化，高效规范、公平竞争的市场秩序基本形成，安全监管效能和行业管理水平显著提升。</w:t>
      </w:r>
    </w:p>
    <w:p>
      <w:pPr>
        <w:ind w:firstLine="640" w:firstLineChars="200"/>
        <w:outlineLvl w:val="0"/>
        <w:rPr>
          <w:rFonts w:ascii="Times New Roman" w:hAnsi="黑体" w:eastAsia="黑体"/>
          <w:sz w:val="32"/>
          <w:szCs w:val="32"/>
        </w:rPr>
      </w:pPr>
      <w:bookmarkStart w:id="4" w:name="_Toc16148"/>
      <w:r>
        <w:rPr>
          <w:rFonts w:hint="eastAsia" w:ascii="Times New Roman" w:hAnsi="黑体" w:eastAsia="黑体"/>
          <w:sz w:val="32"/>
          <w:szCs w:val="32"/>
        </w:rPr>
        <w:t>二、标准体系框架</w:t>
      </w:r>
      <w:bookmarkEnd w:id="4"/>
    </w:p>
    <w:p>
      <w:pPr>
        <w:ind w:firstLine="643" w:firstLineChars="200"/>
        <w:outlineLvl w:val="1"/>
        <w:rPr>
          <w:rFonts w:ascii="楷体" w:hAnsi="楷体" w:eastAsia="楷体"/>
          <w:b/>
          <w:sz w:val="32"/>
          <w:szCs w:val="32"/>
        </w:rPr>
      </w:pPr>
      <w:bookmarkStart w:id="5" w:name="_Toc19389"/>
      <w:r>
        <w:rPr>
          <w:rFonts w:hint="eastAsia" w:ascii="楷体" w:hAnsi="楷体" w:eastAsia="楷体"/>
          <w:b/>
          <w:sz w:val="32"/>
          <w:szCs w:val="32"/>
        </w:rPr>
        <w:t>（一）标准体系的构建思路和原则</w:t>
      </w:r>
      <w:bookmarkEnd w:id="5"/>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民爆行业标准体系的构建主要考虑标准化工作发展趋势、标准与政策法规文件的衔接以及产业结构调整、行业安全、高质量发展等方面对标准的需求。</w:t>
      </w:r>
    </w:p>
    <w:p>
      <w:pPr>
        <w:ind w:firstLine="643" w:firstLineChars="200"/>
        <w:outlineLvl w:val="3"/>
        <w:rPr>
          <w:rFonts w:ascii="仿宋_GB2312" w:eastAsia="仿宋_GB2312" w:cs="Times New Roman"/>
          <w:b/>
          <w:sz w:val="32"/>
          <w:szCs w:val="32"/>
        </w:rPr>
      </w:pPr>
      <w:r>
        <w:rPr>
          <w:rFonts w:hint="eastAsia" w:ascii="仿宋_GB2312" w:eastAsia="仿宋_GB2312" w:cs="Times New Roman"/>
          <w:b/>
          <w:sz w:val="32"/>
          <w:szCs w:val="32"/>
        </w:rPr>
        <w:t>1.</w:t>
      </w:r>
      <w:bookmarkStart w:id="6" w:name="_Toc427845300"/>
      <w:r>
        <w:rPr>
          <w:rFonts w:hint="eastAsia" w:ascii="仿宋_GB2312" w:eastAsia="仿宋_GB2312" w:cs="Times New Roman"/>
          <w:b/>
          <w:sz w:val="32"/>
          <w:szCs w:val="32"/>
        </w:rPr>
        <w:t>标准化工作发展形势</w:t>
      </w:r>
      <w:bookmarkEnd w:id="6"/>
    </w:p>
    <w:p>
      <w:pPr>
        <w:ind w:firstLine="640" w:firstLineChars="200"/>
        <w:rPr>
          <w:rFonts w:ascii="仿宋_GB2312" w:eastAsia="仿宋_GB2312" w:cs="Times New Roman"/>
          <w:sz w:val="32"/>
          <w:szCs w:val="32"/>
        </w:rPr>
      </w:pPr>
      <w:bookmarkStart w:id="7" w:name="OLE_LINK6"/>
      <w:bookmarkStart w:id="8" w:name="OLE_LINK5"/>
      <w:r>
        <w:rPr>
          <w:rFonts w:hint="eastAsia" w:ascii="仿宋_GB2312" w:eastAsia="仿宋_GB2312" w:cs="Times New Roman"/>
          <w:sz w:val="32"/>
          <w:szCs w:val="32"/>
        </w:rPr>
        <w:t>——构建新型标准体系。根据《国务院关于印发深化标准化工作改革方案的通知》（国发[2015]13号）确定的标准化工作改革方向，“十四五”期间，由政府单一供给的现行标准体系将转变为由政府主导制定的标准和市场自主制定的标准协同发展、协调配套的新型标准体系。政府主导制定强制性国家标准、推荐性国家标准、推荐性行业标准和推荐性地方标准，侧重于保基本；市场自主制定团体标准和企业标准，侧重于提高竞争力。</w:t>
      </w:r>
      <w:bookmarkEnd w:id="7"/>
      <w:bookmarkEnd w:id="8"/>
      <w:r>
        <w:rPr>
          <w:rFonts w:hint="eastAsia" w:ascii="仿宋_GB2312" w:eastAsia="仿宋_GB2312" w:cs="Times New Roman"/>
          <w:sz w:val="32"/>
          <w:szCs w:val="32"/>
        </w:rPr>
        <w:t>强制性国家标准严格限定在保障人身健康和生命财产安全、国家安全、生态环境安全和满足社会经济管理基本要求的范围之内，推荐性国家标准重点制定基础通用、与强制性国家标准配套的标准；推荐性行业标准重点制定本行业领域的重要产品、工程技术、服务和行业管理标准。政府主导的标准将逐步向政府职责范围内的公益类标准过渡，标准数量和规模将逐步缩减。</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w:t>
      </w:r>
      <w:r>
        <w:rPr>
          <w:rFonts w:ascii="仿宋_GB2312" w:eastAsia="仿宋_GB2312" w:cs="Times New Roman"/>
          <w:sz w:val="32"/>
          <w:szCs w:val="32"/>
        </w:rPr>
        <w:t>标准</w:t>
      </w:r>
      <w:r>
        <w:rPr>
          <w:rFonts w:hint="eastAsia" w:ascii="仿宋_GB2312" w:eastAsia="仿宋_GB2312" w:cs="Times New Roman"/>
          <w:sz w:val="32"/>
          <w:szCs w:val="32"/>
        </w:rPr>
        <w:t>提高</w:t>
      </w:r>
      <w:r>
        <w:rPr>
          <w:rFonts w:ascii="仿宋_GB2312" w:eastAsia="仿宋_GB2312" w:cs="Times New Roman"/>
          <w:sz w:val="32"/>
          <w:szCs w:val="32"/>
        </w:rPr>
        <w:t>安全</w:t>
      </w:r>
      <w:r>
        <w:rPr>
          <w:rFonts w:hint="eastAsia" w:ascii="仿宋_GB2312" w:eastAsia="仿宋_GB2312" w:cs="Times New Roman"/>
          <w:sz w:val="32"/>
          <w:szCs w:val="32"/>
        </w:rPr>
        <w:t>管理</w:t>
      </w:r>
      <w:r>
        <w:rPr>
          <w:rFonts w:ascii="仿宋_GB2312" w:eastAsia="仿宋_GB2312" w:cs="Times New Roman"/>
          <w:sz w:val="32"/>
          <w:szCs w:val="32"/>
        </w:rPr>
        <w:t>水平</w:t>
      </w:r>
      <w:r>
        <w:rPr>
          <w:rFonts w:hint="eastAsia" w:ascii="仿宋_GB2312" w:eastAsia="仿宋_GB2312" w:cs="Times New Roman"/>
          <w:sz w:val="32"/>
          <w:szCs w:val="32"/>
        </w:rPr>
        <w:t>。《“十四五”民用爆炸物品行业安全发展规划》（工信部规[2021]183号）从“夯实企业安全基础、提高本质安全水平、提升安全监管效能”</w:t>
      </w:r>
      <w:r>
        <w:rPr>
          <w:rFonts w:hint="eastAsia" w:ascii="仿宋_GB2312" w:eastAsia="仿宋_GB2312" w:cs="Times New Roman"/>
          <w:sz w:val="32"/>
          <w:szCs w:val="32"/>
          <w:lang w:val="en-US" w:eastAsia="zh-CN"/>
        </w:rPr>
        <w:t>三</w:t>
      </w:r>
      <w:r>
        <w:rPr>
          <w:rFonts w:hint="eastAsia" w:ascii="仿宋_GB2312" w:eastAsia="仿宋_GB2312" w:cs="Times New Roman"/>
          <w:sz w:val="32"/>
          <w:szCs w:val="32"/>
        </w:rPr>
        <w:t>个方面对行业提高安全发展水平提出了要求。在此趋势下，民爆行业标准体系应更侧重于安全、职业健康、环保、节能等行业管理和工程技术、重要产品及其检测方法等方面，对于那些与安全、环保、节能、人身健康无关的标准和指标将逐步放开，给团体标准和企业标准留出发展的空间，以促进产品和技术的进步。发挥标准体系的顶层规划作用，通过标准体系体现行业管理和行业发展的重点。</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——智能制造助力行业提高智能制造水平和生产线本质安全水平。《</w:t>
      </w:r>
      <w:r>
        <w:rPr>
          <w:rFonts w:ascii="仿宋_GB2312" w:eastAsia="仿宋_GB2312" w:cs="Times New Roman"/>
          <w:sz w:val="32"/>
          <w:szCs w:val="32"/>
        </w:rPr>
        <w:t>关于推进民爆行业高质量发展的意见</w:t>
      </w:r>
      <w:r>
        <w:rPr>
          <w:rFonts w:hint="eastAsia" w:ascii="仿宋_GB2312" w:eastAsia="仿宋_GB2312" w:cs="Times New Roman"/>
          <w:sz w:val="32"/>
          <w:szCs w:val="32"/>
        </w:rPr>
        <w:t>》（工信部安全</w:t>
      </w:r>
      <w:r>
        <w:rPr>
          <w:rFonts w:ascii="Helvetica" w:hAnsi="Helvetica" w:cs="宋体"/>
          <w:color w:val="394051"/>
          <w:kern w:val="0"/>
          <w:sz w:val="27"/>
          <w:szCs w:val="27"/>
        </w:rPr>
        <w:t>〔2018〕237号</w:t>
      </w:r>
      <w:r>
        <w:rPr>
          <w:rFonts w:hint="eastAsia" w:ascii="仿宋_GB2312" w:eastAsia="仿宋_GB2312" w:cs="Times New Roman"/>
          <w:sz w:val="32"/>
          <w:szCs w:val="32"/>
        </w:rPr>
        <w:t>）和《“十四五”民用爆炸物品行业安全发展规划》（工信部规[2021]183号）中明确提出建立并完善民爆行业智能制造标准体系，与民爆产品、安全等标准优化协同，形成面向智能制造典型应用场景的标准群，在行业内开展应用试点。加强产学研用联合创新，推动先进工艺推动智能制造技术的推广应用，不断提高行业智能制造水平和生产线本质安全水平。在工业炸药制药、装药、包装、装卸等危险岗位实现少（无）人化操作，在工业雷管、火工药剂、震源药柱等生产过程中的高风险岗位实现人机隔离操作；推广数码电子雷管装配自动化生产技术和设备。</w:t>
      </w:r>
    </w:p>
    <w:p>
      <w:pPr>
        <w:ind w:firstLine="643" w:firstLineChars="200"/>
        <w:outlineLvl w:val="3"/>
        <w:rPr>
          <w:rFonts w:ascii="仿宋_GB2312" w:eastAsia="仿宋_GB2312" w:cs="Times New Roman"/>
          <w:b/>
          <w:sz w:val="32"/>
          <w:szCs w:val="32"/>
        </w:rPr>
      </w:pPr>
      <w:bookmarkStart w:id="9" w:name="_Toc427845301"/>
      <w:r>
        <w:rPr>
          <w:rFonts w:hint="eastAsia" w:ascii="仿宋_GB2312" w:eastAsia="仿宋_GB2312" w:cs="Times New Roman"/>
          <w:b/>
          <w:sz w:val="32"/>
          <w:szCs w:val="32"/>
        </w:rPr>
        <w:t>2.标准与政策法规文件的衔接</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标准是政策法规文件在技术层面的具体落实，是政策法规文件的补充。政策法规文件侧重于解决程序、职责、奖惩、发展方向等方面的问题，标准侧重于解决技术、方法、评价指标等方面的问题。行业标准是主管部门实施行业管理的重要依据，行业标准体系的构建需要考虑标准与政策法规的协调配套关系，一方面做到标准与政策法规文件不矛盾，另一方面做到细化政策法规文件，使其更有可操作性。</w:t>
      </w:r>
    </w:p>
    <w:p>
      <w:pPr>
        <w:ind w:firstLine="640" w:firstLineChars="200"/>
        <w:rPr>
          <w:rFonts w:ascii="仿宋" w:hAnsi="仿宋" w:eastAsia="仿宋"/>
          <w:sz w:val="32"/>
          <w:szCs w:val="32"/>
        </w:rPr>
      </w:pPr>
      <w:r>
        <w:rPr>
          <w:rFonts w:hint="eastAsia" w:ascii="仿宋" w:hAnsi="仿宋" w:eastAsia="仿宋"/>
          <w:sz w:val="32"/>
          <w:szCs w:val="32"/>
        </w:rPr>
        <w:t>民爆行业用到的法律法规由宪法、法律、行政法规和国务院文件、部门规章和规范性文件组成，发文单位涉及到全国人大、国务院、工业和信息化部、公安部、国家应急管理部、财政部、国家市场监管总局、国家卫健委、交通部、发改委等机构和部门。涉及的行业监管要素包括：综合、行政许可、科技质量、进出口、应急管理等方面。经搜集整理，与民爆行业相关的法律法规约有150余项，民爆行业主管部门出台的法律法规文件约有100余项。民爆行业法律法规体系见图2。</w:t>
      </w:r>
    </w:p>
    <w:p>
      <w:pPr>
        <w:jc w:val="center"/>
        <w:rPr>
          <w:rFonts w:ascii="仿宋" w:hAnsi="仿宋" w:eastAsia="仿宋"/>
          <w:sz w:val="32"/>
          <w:szCs w:val="32"/>
        </w:rPr>
      </w:pPr>
      <w:r>
        <w:object>
          <v:shape id="_x0000_i1025" o:spt="75" type="#_x0000_t75" style="height:265.65pt;width:485.3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 xml:space="preserve">  民爆行业法律法规体系</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行业标准体系的构建应该摸清行业管理的要素，掌握行业管理的内容，制定与相关政策协调互补的标准，满足行业管理的需要，促进标准与政策法规文件共同构成完善的管理体系。</w:t>
      </w:r>
    </w:p>
    <w:p>
      <w:pPr>
        <w:ind w:firstLine="643" w:firstLineChars="200"/>
        <w:outlineLvl w:val="3"/>
        <w:rPr>
          <w:rFonts w:ascii="仿宋_GB2312" w:eastAsia="仿宋_GB2312" w:cs="Times New Roman"/>
          <w:b/>
          <w:sz w:val="32"/>
          <w:szCs w:val="32"/>
        </w:rPr>
      </w:pPr>
      <w:r>
        <w:rPr>
          <w:rFonts w:hint="eastAsia" w:ascii="仿宋_GB2312" w:eastAsia="仿宋_GB2312" w:cs="Times New Roman"/>
          <w:b/>
          <w:sz w:val="32"/>
          <w:szCs w:val="32"/>
        </w:rPr>
        <w:t>3.标准需求分析</w:t>
      </w:r>
      <w:bookmarkEnd w:id="9"/>
    </w:p>
    <w:p>
      <w:pPr>
        <w:ind w:firstLine="643" w:firstLineChars="200"/>
        <w:outlineLvl w:val="4"/>
        <w:rPr>
          <w:rFonts w:ascii="仿宋_GB2312" w:eastAsia="仿宋_GB2312" w:cs="Times New Roman"/>
          <w:b/>
          <w:color w:val="FF0000"/>
          <w:sz w:val="32"/>
          <w:szCs w:val="32"/>
        </w:rPr>
      </w:pPr>
      <w:bookmarkStart w:id="10" w:name="_Toc427845303"/>
      <w:r>
        <w:rPr>
          <w:rFonts w:hint="eastAsia" w:ascii="仿宋_GB2312" w:eastAsia="仿宋_GB2312" w:cs="Times New Roman"/>
          <w:b/>
          <w:sz w:val="32"/>
          <w:szCs w:val="32"/>
        </w:rPr>
        <w:t>（1）产业、产品结构调整对标准的需求</w:t>
      </w:r>
      <w:bookmarkEnd w:id="10"/>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十四五”期间严格执行工业雷管减量置换为工业数码电子雷管政策，全面推广工业数码电子雷管，除保留少量产能用于出口或其它经许可的特殊用途外，2022年6月底前停止生产、8月底前停止销售除工业数码电子雷管外的其它工业雷管。继续压减包装型工业炸药许可产能，稳步提升企业（集团）现场混装炸药许可产能占比。鼓励企业依据市场需求有序释放产能，引导过剩产能加快退出。</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现场混装炸药方面，目前没有专门针对现场混装炸药产品及其检测方法的标准，采用的是普通产品标准及其检测方法。在现场混装炸药车方面，有五项标准，分别规定了现场混装重铵油炸药车（JB/T 8432.1-2006）、现场混装粒状铵油炸药车（JB/T 8432.2-2006）、现场混装乳化炸药车（JB/T 8432.3-2006）、移动式地面辅助设施（JB/T 10173-2000）、地面辅助设施（JB/T 8433-2006）的型式与基本参数、技术要求、试验方法、检验规则、标志、包装、运输与贮存等内容。随着现场混装炸药使用比例的增加，需要逐步加强对现场混装设备、基质站、基质配送车、现场混装炸药生产信息数据监管及半成品标准的制定。</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工业炸药及制品方面，目前有产品标准</w:t>
      </w:r>
      <w:r>
        <w:rPr>
          <w:rFonts w:ascii="仿宋_GB2312" w:eastAsia="仿宋_GB2312" w:cs="Times New Roman"/>
          <w:sz w:val="32"/>
          <w:szCs w:val="32"/>
        </w:rPr>
        <w:t>7</w:t>
      </w:r>
      <w:r>
        <w:rPr>
          <w:rFonts w:hint="eastAsia" w:ascii="仿宋_GB2312" w:eastAsia="仿宋_GB2312" w:cs="Times New Roman"/>
          <w:sz w:val="32"/>
          <w:szCs w:val="32"/>
        </w:rPr>
        <w:t>项，涵盖了水胶炸药、乳化炸药、膨化硝铵炸药、粉状乳化炸药、改性铵油炸药、煤矿瓦斯抽采水胶药柱、含火药含水工业炸药、胶质硝化甘油炸药等产品。试验方法标准2</w:t>
      </w:r>
      <w:r>
        <w:rPr>
          <w:rFonts w:ascii="仿宋_GB2312" w:eastAsia="仿宋_GB2312" w:cs="Times New Roman"/>
          <w:sz w:val="32"/>
          <w:szCs w:val="32"/>
        </w:rPr>
        <w:t>0</w:t>
      </w:r>
      <w:r>
        <w:rPr>
          <w:rFonts w:hint="eastAsia" w:ascii="仿宋_GB2312" w:eastAsia="仿宋_GB2312" w:cs="Times New Roman"/>
          <w:sz w:val="32"/>
          <w:szCs w:val="32"/>
        </w:rPr>
        <w:t>项，涵盖了炸药密度、水分、殉爆距离、感度（摩擦感度、撞击感度、含水炸药热感度）、作功能力（铅壔法、弹道抛掷法）、猛度（铅柱压缩法）、爆速、爆热、热安定性、最小起爆药量、爆炸后有毒气体含量、可燃气安全度、热力学性能等性能参数的试验。这些标准虽然涵盖了工业炸药大部分产品和试验方法，但有的是国家标准、有的是行业标准，甚至同是行业标准，兵器行业标准与煤炭行业标准规定的内容又有差异，系统性、协调性较差，需要进行整合。随着工业炸药向着多品种、系列化、散装化、低污染、低感度、性能优良、安全可靠的方向发展，应逐步减少产品标准，加强产品安全性、环保性、可靠性方面试验方法和试验条件的建立和完善。</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工业雷管方面，目前有产品标准</w:t>
      </w:r>
      <w:r>
        <w:rPr>
          <w:rFonts w:ascii="仿宋_GB2312" w:eastAsia="仿宋_GB2312" w:cs="Times New Roman"/>
          <w:sz w:val="32"/>
          <w:szCs w:val="32"/>
        </w:rPr>
        <w:t>6</w:t>
      </w:r>
      <w:r>
        <w:rPr>
          <w:rFonts w:hint="eastAsia" w:ascii="仿宋_GB2312" w:eastAsia="仿宋_GB2312" w:cs="Times New Roman"/>
          <w:sz w:val="32"/>
          <w:szCs w:val="32"/>
        </w:rPr>
        <w:t>项，涵盖了基础雷管、工业电雷管、导爆管雷管、数码电子雷管、起爆药等产品；试验方法标准23项，涉及工业雷管抗杂散电流、射频感度、静电感度、射频阻抗、延期时间、浸水试验、发火冲能、耐温、耐温耐压、最小发火电流、作功能力、抗拉性能、可燃气安全度及雷管脚线电容、绝缘电阻和绝缘击穿性能、导爆管的不导电性能等方面。这些标准中，国家标准和行业标准并存，存在标准散、系统性不强的问题。随着工业雷管向以电子雷管为主体的高精度、高可靠性、高安全性、环保型产品发展，需要制定有利于电子雷管推广应用的相关配套标准（如电子雷管点火集成模块通用技术要求、电子雷管放炮器通用技术要求和电子雷管电参数检测通讯接口规程）；建立系统、完善的试验方法系列标准，保证产品的安全性、可靠性；建立安全、环保型起爆药标准，减少污染。</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工业索类火工品方面，目前有产品标准</w:t>
      </w:r>
      <w:r>
        <w:rPr>
          <w:rFonts w:ascii="仿宋_GB2312" w:eastAsia="仿宋_GB2312" w:cs="Times New Roman"/>
          <w:sz w:val="32"/>
          <w:szCs w:val="32"/>
        </w:rPr>
        <w:t>2</w:t>
      </w:r>
      <w:r>
        <w:rPr>
          <w:rFonts w:hint="eastAsia" w:ascii="仿宋_GB2312" w:eastAsia="仿宋_GB2312" w:cs="Times New Roman"/>
          <w:sz w:val="32"/>
          <w:szCs w:val="32"/>
        </w:rPr>
        <w:t>项，涵盖工业导爆索、塑料导爆管等；试验方法标准</w:t>
      </w:r>
      <w:r>
        <w:rPr>
          <w:rFonts w:ascii="仿宋_GB2312" w:eastAsia="仿宋_GB2312" w:cs="Times New Roman"/>
          <w:sz w:val="32"/>
          <w:szCs w:val="32"/>
        </w:rPr>
        <w:t>1</w:t>
      </w:r>
      <w:r>
        <w:rPr>
          <w:rFonts w:hint="eastAsia" w:ascii="仿宋_GB2312" w:eastAsia="仿宋_GB2312" w:cs="Times New Roman"/>
          <w:sz w:val="32"/>
          <w:szCs w:val="32"/>
        </w:rPr>
        <w:t>项，涵盖油气井用导爆索检测方法和导爆管不导电性能检测。索类火工品产销量不大，但作为民用爆炸物品的一类，其产品标准和试验方法标准应该得到完善。今后，应梳理工业索类火工品产品标准，完善试验方法并建立相应标准。</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油气井用爆炸物品，目前有分类命名标准2项，产品标准</w:t>
      </w:r>
      <w:r>
        <w:rPr>
          <w:rFonts w:ascii="仿宋_GB2312" w:eastAsia="仿宋_GB2312" w:cs="Times New Roman"/>
          <w:sz w:val="32"/>
          <w:szCs w:val="32"/>
        </w:rPr>
        <w:t>6</w:t>
      </w:r>
      <w:r>
        <w:rPr>
          <w:rFonts w:hint="eastAsia" w:ascii="仿宋_GB2312" w:eastAsia="仿宋_GB2312" w:cs="Times New Roman"/>
          <w:sz w:val="32"/>
          <w:szCs w:val="32"/>
        </w:rPr>
        <w:t>项，主要包括油气井用爆破器材和高能气体压裂弹；试验方法标准1项，油气井聚能射孔器材性能试验方法。应对现有标准进行梳理整合，增强标准的配套性、系统性。</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其他民用爆炸物品方面，对于增雨防雹火箭弹、安全气囊气体发生器用点火具、海上救生烟火信号等</w:t>
      </w:r>
      <w:r>
        <w:rPr>
          <w:rFonts w:hint="eastAsia" w:ascii="仿宋_GB2312" w:eastAsia="仿宋_GB2312" w:cs="Times New Roman"/>
          <w:sz w:val="32"/>
          <w:szCs w:val="32"/>
          <w:lang w:val="en-US" w:eastAsia="zh-CN"/>
        </w:rPr>
        <w:t>燃爆</w:t>
      </w:r>
      <w:r>
        <w:rPr>
          <w:rFonts w:hint="eastAsia" w:ascii="仿宋_GB2312" w:eastAsia="仿宋_GB2312" w:cs="Times New Roman"/>
          <w:sz w:val="32"/>
          <w:szCs w:val="32"/>
        </w:rPr>
        <w:t>物品，目前没有制定产品标准和相应的检测方法标准。应梳理其他民用爆炸物品的种类，分析制定行业标准的必要性，完善产品和试验方法标准。</w:t>
      </w:r>
    </w:p>
    <w:p>
      <w:pPr>
        <w:ind w:firstLine="643" w:firstLineChars="200"/>
        <w:outlineLvl w:val="4"/>
        <w:rPr>
          <w:rFonts w:ascii="仿宋_GB2312" w:eastAsia="仿宋_GB2312" w:cs="Times New Roman"/>
          <w:b/>
          <w:sz w:val="32"/>
          <w:szCs w:val="32"/>
        </w:rPr>
      </w:pPr>
      <w:bookmarkStart w:id="11" w:name="_Toc427845307"/>
      <w:r>
        <w:rPr>
          <w:rFonts w:hint="eastAsia" w:ascii="仿宋_GB2312" w:eastAsia="仿宋_GB2312" w:cs="Times New Roman"/>
          <w:b/>
          <w:sz w:val="32"/>
          <w:szCs w:val="32"/>
        </w:rPr>
        <w:t>（2）产品可靠性、安全性检测对标准的需求</w:t>
      </w:r>
      <w:bookmarkEnd w:id="11"/>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用爆炸物品及其原材料多属于易燃易爆物品，在其生产、储存、运输、使用过程中，一旦发生事故，后果非常严重。因此，对产品可靠性、安全性相关的特性参数和爆炸效应检测是保障民用爆炸物品安全性、可靠性和产品性能的重要手段。我国民用爆炸物品试验方法标准比较关注产品的爆炸性能，对于产品的安全性、可靠性方面的标准尚未健全。如：工业雷管防殉爆检测方法，工业雷管导线</w:t>
      </w:r>
      <w:r>
        <w:rPr>
          <w:rFonts w:ascii="仿宋_GB2312" w:eastAsia="仿宋_GB2312" w:cs="Times New Roman"/>
          <w:sz w:val="32"/>
          <w:szCs w:val="32"/>
        </w:rPr>
        <w:t>耐低温断裂性</w:t>
      </w:r>
      <w:r>
        <w:rPr>
          <w:rFonts w:hint="eastAsia" w:ascii="仿宋_GB2312" w:eastAsia="仿宋_GB2312" w:cs="Times New Roman"/>
          <w:sz w:val="32"/>
          <w:szCs w:val="32"/>
        </w:rPr>
        <w:t>等</w:t>
      </w:r>
      <w:r>
        <w:rPr>
          <w:rFonts w:ascii="仿宋_GB2312" w:eastAsia="仿宋_GB2312" w:cs="Times New Roman"/>
          <w:sz w:val="32"/>
          <w:szCs w:val="32"/>
        </w:rPr>
        <w:t>的测定</w:t>
      </w:r>
      <w:r>
        <w:rPr>
          <w:rFonts w:hint="eastAsia" w:ascii="仿宋_GB2312" w:eastAsia="仿宋_GB2312" w:cs="Times New Roman"/>
          <w:sz w:val="32"/>
          <w:szCs w:val="32"/>
        </w:rPr>
        <w:t>尚未制定标准。这些标准的缺失导致我国民用爆炸物品质量和检测水平较发达国家还有不小的差距，产品安全性、可靠性不高。同时，与国外标准相比，我国民用爆炸物品试验方法标准不系统，标准分布在国家标准、兵器行业标准、煤炭行业标准、公共安全标准等，标准之间存在交叉、重复的现象，不利于标准的使用和管理。</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民用爆炸物品检测方法标准应在梳理现有试验方法标准的基础上，完善试验方法、建立试验条件。</w:t>
      </w:r>
    </w:p>
    <w:p>
      <w:pPr>
        <w:ind w:firstLine="643" w:firstLineChars="200"/>
        <w:outlineLvl w:val="4"/>
        <w:rPr>
          <w:rFonts w:ascii="仿宋_GB2312" w:eastAsia="仿宋_GB2312" w:cs="Times New Roman"/>
          <w:b/>
          <w:sz w:val="32"/>
          <w:szCs w:val="32"/>
        </w:rPr>
      </w:pPr>
      <w:bookmarkStart w:id="12" w:name="_Toc427845305"/>
      <w:bookmarkStart w:id="13" w:name="_Toc427845304"/>
      <w:r>
        <w:rPr>
          <w:rFonts w:hint="eastAsia" w:ascii="仿宋_GB2312" w:eastAsia="仿宋_GB2312" w:cs="Times New Roman"/>
          <w:b/>
          <w:sz w:val="32"/>
          <w:szCs w:val="32"/>
        </w:rPr>
        <w:t>（3）自动化、智能化装备应用对标准的需求</w:t>
      </w:r>
      <w:bookmarkEnd w:id="12"/>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按照《民用爆炸物品行业技术进步指导意见》、《关于提升工业炸药生产线本质安全水平的指导意见》、《关于加强工业雷管安全生产基础条件建设的指导意见》、《关于推进民爆行业高质量发展的意见》、《“十四五”民用爆炸物品行业安全发展规划》等文件要求，民爆行业主要产品生产线技术基本实现连续化、自动化生产，并向信息化、智能化发展迈出了步伐。下一步将</w:t>
      </w:r>
      <w:r>
        <w:rPr>
          <w:rFonts w:ascii="仿宋_GB2312" w:eastAsia="仿宋_GB2312" w:cs="Times New Roman"/>
          <w:sz w:val="32"/>
          <w:szCs w:val="32"/>
        </w:rPr>
        <w:t>探索建立民爆行业智能制造标准体系，与民爆产品、安全等标准优化协同，形成面向智能制造典型应用场景的标准群，在行业内开展应用试点。加强产学研用联合创新，推动先进工艺、信息技术与制造装备深入融合，带动民爆通用、专用智能制造装备加速研制和迭代升级。支持智能制造系统解决方案供应商与民爆企业加强供需互动、联合创新，推进工艺、装备、软件、网络的系统集成和深度融合，开发面向生产、销售全过程各环节以及民爆物品全生命周期安全管控等典型场景的解决方案。协同推进网络安全、信息安全和功能安全，加强商用密码在数字化智能化生产、仓储、运输体系中的应用，充分发挥基础保障作用。</w:t>
      </w:r>
      <w:r>
        <w:rPr>
          <w:rFonts w:hint="eastAsia" w:ascii="仿宋_GB2312" w:eastAsia="仿宋_GB2312" w:cs="Times New Roman"/>
          <w:sz w:val="32"/>
          <w:szCs w:val="32"/>
        </w:rPr>
        <w:t>为促进新技术、新设备的推广应用，使我国民爆行业智能制造装备的质量、安全、节能、环保等逐步达到国际先进水平，应建立民爆专用自动化、智能化装备标准体系，从装备的研制、采购、使用、维护、报废以及智能装备的互联互通等方面制定标准。</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（4）安全生产对标准的需求</w:t>
      </w:r>
      <w:bookmarkEnd w:id="13"/>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安全生产是民爆行业发展重中之重，安全生产标准是贯彻落实国家安全生产法律法规、规范安全生产管理、固化安全生产技术的手段。目前民爆行业共有安全生产相关标准</w:t>
      </w:r>
      <w:r>
        <w:rPr>
          <w:rFonts w:ascii="仿宋_GB2312" w:eastAsia="仿宋_GB2312" w:cs="Times New Roman"/>
          <w:sz w:val="32"/>
          <w:szCs w:val="32"/>
        </w:rPr>
        <w:t>2</w:t>
      </w:r>
      <w:r>
        <w:rPr>
          <w:rFonts w:hint="eastAsia" w:ascii="仿宋_GB2312" w:eastAsia="仿宋_GB2312" w:cs="Times New Roman"/>
          <w:sz w:val="32"/>
          <w:szCs w:val="32"/>
        </w:rPr>
        <w:t>2项，包括民用爆炸物品生产、销售企业安全管理规程，增雨防雹火箭弹、海上救生烟火信号产品生产安全技术条件，报废生产线销爆安全管理规程等。新的《安全生产法》等一系列与安全生产相关的法律法规制度相继出台。压实企业安全生产主体责任，严格实行企业全员安全生产责任制，健全“层层负责、人人有责、各负其责”的安全生产责任体系。完善企业安全生产管理体系，保障安全生产条件，推动企业（集团）安全管理水平一致化。健全风险防控和隐患排查治理体系，严格执行安全隐患排查治理“双报告”制度。加强生产安全事故应急工作，完善应急工作预案，及时开展应急演练，提升应急管理水平。依法依规对从业人员进行安全生产教育培训。通过标准推动实施民爆行业“工业互联网+安全生产”专项行动的开展。在当前民爆行业安全生产形势依然严峻，安全生产要求日益严格的背景下，民爆行业应加强安全技术研究和标准制定，制定满足</w:t>
      </w:r>
      <w:r>
        <w:rPr>
          <w:rFonts w:ascii="仿宋_GB2312" w:eastAsia="仿宋_GB2312" w:cs="Times New Roman"/>
          <w:sz w:val="32"/>
          <w:szCs w:val="32"/>
        </w:rPr>
        <w:t>生产、</w:t>
      </w:r>
      <w:r>
        <w:rPr>
          <w:rFonts w:hint="eastAsia" w:ascii="仿宋_GB2312" w:eastAsia="仿宋_GB2312" w:cs="Times New Roman"/>
          <w:sz w:val="32"/>
          <w:szCs w:val="32"/>
        </w:rPr>
        <w:t>销售</w:t>
      </w:r>
      <w:r>
        <w:rPr>
          <w:rFonts w:ascii="仿宋_GB2312" w:eastAsia="仿宋_GB2312" w:cs="Times New Roman"/>
          <w:sz w:val="32"/>
          <w:szCs w:val="32"/>
        </w:rPr>
        <w:t>、爆破服务一体化</w:t>
      </w:r>
      <w:r>
        <w:rPr>
          <w:rFonts w:hint="eastAsia" w:ascii="仿宋_GB2312" w:eastAsia="仿宋_GB2312" w:cs="Times New Roman"/>
          <w:sz w:val="32"/>
          <w:szCs w:val="32"/>
        </w:rPr>
        <w:t>发展</w:t>
      </w:r>
      <w:r>
        <w:rPr>
          <w:rFonts w:ascii="仿宋_GB2312" w:eastAsia="仿宋_GB2312" w:cs="Times New Roman"/>
          <w:sz w:val="32"/>
          <w:szCs w:val="32"/>
        </w:rPr>
        <w:t>的安全</w:t>
      </w:r>
      <w:r>
        <w:rPr>
          <w:rFonts w:hint="eastAsia" w:ascii="仿宋_GB2312" w:eastAsia="仿宋_GB2312" w:cs="Times New Roman"/>
          <w:sz w:val="32"/>
          <w:szCs w:val="32"/>
        </w:rPr>
        <w:t>风险评估、隐患排查治理等标准，建立完善的安全生产管理标准体系。</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（5）</w:t>
      </w:r>
      <w:bookmarkStart w:id="14" w:name="_Toc427845306"/>
      <w:r>
        <w:rPr>
          <w:rFonts w:ascii="仿宋_GB2312" w:eastAsia="仿宋_GB2312" w:cs="Times New Roman"/>
          <w:b/>
          <w:sz w:val="32"/>
          <w:szCs w:val="32"/>
        </w:rPr>
        <w:t>节能减排</w:t>
      </w:r>
      <w:r>
        <w:rPr>
          <w:rFonts w:hint="eastAsia" w:ascii="仿宋_GB2312" w:eastAsia="仿宋_GB2312" w:cs="Times New Roman"/>
          <w:b/>
          <w:sz w:val="32"/>
          <w:szCs w:val="32"/>
        </w:rPr>
        <w:t>、清洁生产对标准的需求</w:t>
      </w:r>
      <w:bookmarkEnd w:id="14"/>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十四五”民用爆炸物品行业安全发展规划》中明确提出加快实施绿色制造。以节能降耗、清洁生产、清洁能源利用等为重点，加快推进民爆行业绿色清洁转型。支持民爆产品、工艺技术、装备绿色化改造，鼓励低（无）污染起爆药、工业炸药及制品等产品和技术研发推广，加快在线质量检测技术、装备研发应用，减少工业炸药、雷管爆炸性破坏试验。严格落实节能环保法律法规政策，鼓励企业提升重点用能设备效能，开展污水资源化利用和节水工艺提升。鼓励企业减少产品包装数量，采用可降解绿色包装，采用环保技术做好固体废物和不合格品处理，鼓励生产设备制造企业对废旧设备、材料实行统一、专业集中回收处置。鼓励有条件的企业使用可再生能源，推动余能利用，提高能源效率。</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目前，民爆行业在节能减排、清洁生产方面仅制定了一项标准：WJ/T 9080－2013《民用爆炸物品生产企业能耗通用要求》，相关的标准有GB 14470.1-2002《兵器工业水污染物排放标准 火炸药》和GB 14470.2-2002《兵器工业水污染物排放标准 火工药剂》。在</w:t>
      </w:r>
      <w:r>
        <w:rPr>
          <w:rFonts w:ascii="仿宋_GB2312" w:eastAsia="仿宋_GB2312" w:cs="Times New Roman"/>
          <w:sz w:val="32"/>
          <w:szCs w:val="32"/>
        </w:rPr>
        <w:t>工业废水综合治理和综合利用</w:t>
      </w:r>
      <w:r>
        <w:rPr>
          <w:rFonts w:hint="eastAsia" w:ascii="仿宋_GB2312" w:eastAsia="仿宋_GB2312" w:cs="Times New Roman"/>
          <w:sz w:val="32"/>
          <w:szCs w:val="32"/>
        </w:rPr>
        <w:t>、</w:t>
      </w:r>
      <w:r>
        <w:rPr>
          <w:rFonts w:ascii="仿宋_GB2312" w:eastAsia="仿宋_GB2312" w:cs="Times New Roman"/>
          <w:sz w:val="32"/>
          <w:szCs w:val="32"/>
        </w:rPr>
        <w:t>污染物达标排放</w:t>
      </w:r>
      <w:r>
        <w:rPr>
          <w:rFonts w:hint="eastAsia" w:ascii="仿宋_GB2312" w:eastAsia="仿宋_GB2312" w:cs="Times New Roman"/>
          <w:sz w:val="32"/>
          <w:szCs w:val="32"/>
        </w:rPr>
        <w:t>、应用新型包装材料、</w:t>
      </w:r>
      <w:r>
        <w:rPr>
          <w:rFonts w:ascii="仿宋_GB2312" w:eastAsia="仿宋_GB2312" w:cs="Times New Roman"/>
          <w:sz w:val="32"/>
          <w:szCs w:val="32"/>
        </w:rPr>
        <w:t>淘汰落后产能</w:t>
      </w:r>
      <w:r>
        <w:rPr>
          <w:rFonts w:hint="eastAsia" w:ascii="仿宋_GB2312" w:eastAsia="仿宋_GB2312" w:cs="Times New Roman"/>
          <w:sz w:val="32"/>
          <w:szCs w:val="32"/>
        </w:rPr>
        <w:t>等方面存在标准缺失。</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（6）加强标准国际化工作的需求</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十四五”民用爆炸物品行业安全发展规划》扩大国际交流合作。发挥比较优势，推动民爆企业加强国际合作。以“一带一路”沿线资源条件好、配套能力强、市场潜力大的国家为重点，以矿山、高铁、电力等企业“走出去”为牵引，支持优势企业到海外投资建设生产基地和开展“一体化”服务。鼓励国内民爆企业参与进出口贸易，与国际先进民爆企业和技术研发机构等开展联合研发或合资合作，积极拓展产业链高端环节国际合作，加强产业链互补，提升国际化运营能力。积极开展多边交流互鉴，及时了解国际民爆领域新理念和经验，收集国际主流民爆标准、加大中国良好举措和实践的对外宣介力度。利用联合国危险货物运输安全委员会工作平台，介绍和推荐中国民爆物品信息化管理体系，推动国际民爆物品电子信息标识标志国际标准编制工作</w:t>
      </w:r>
      <w:r>
        <w:rPr>
          <w:rFonts w:hint="eastAsia" w:ascii="仿宋_GB2312" w:eastAsia="仿宋_GB2312" w:cs="Times New Roman"/>
          <w:sz w:val="32"/>
          <w:szCs w:val="32"/>
          <w:lang w:eastAsia="zh-CN"/>
        </w:rPr>
        <w:t>。</w:t>
      </w:r>
      <w:r>
        <w:rPr>
          <w:rFonts w:hint="eastAsia" w:ascii="仿宋_GB2312" w:eastAsia="仿宋_GB2312" w:cs="Times New Roman"/>
          <w:sz w:val="32"/>
          <w:szCs w:val="32"/>
        </w:rPr>
        <w:t>今后，民爆行业应加大国际标准跟踪、评估和转化力度，提升民爆行业标准国际化水平。</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（7）推动民爆行业高质量发展的需求</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2018年11月，工信部发布了《工业和信息化部关于推进民爆行业高质量发展的意见》（工信部安全〔2018〕237号），从安全发展角度提出提升安全生产水平的目标；从有效供给角度提出优化工业炸药、工业雷管产品结构的目标；从并购重组角度提出提高产业集中度的目标；从创新驱动角度提出提高科技创新能力的目标；从质量角度提出改善质量保障能力的目标；从扩大对外开放，加强国际交流合作的角度提出提高“走出去”能力水平、引进国外先进技术和管理经验的政策导向。民爆行业安全发展、高质量发展的过程中，标准化工作是基础、保障和推动力。</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（8）促进民爆行业技术进步的需求</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2018年12月，工信部发布了《民用爆炸物品行业技术发展方向及目标（2018版）》（工信厅安全〔2018〕94号），针对工业炸药、工业雷管及索类、工业炸药制品三大类民爆产品，从基础理论、产品与服务、工艺装备方面提出发展方向，并提出第一阶段（到2020年底）目标和第二阶段（到2025年底）目标。伴随着技术发展，标准一方面要与技术发展相匹配协调，另一方面要起到引领技术发展的作用。</w:t>
      </w:r>
    </w:p>
    <w:p>
      <w:pPr>
        <w:ind w:firstLine="643" w:firstLineChars="200"/>
        <w:outlineLvl w:val="3"/>
        <w:rPr>
          <w:rFonts w:ascii="仿宋_GB2312" w:eastAsia="仿宋_GB2312" w:cs="Times New Roman"/>
          <w:b/>
          <w:sz w:val="32"/>
          <w:szCs w:val="32"/>
        </w:rPr>
      </w:pPr>
      <w:bookmarkStart w:id="15" w:name="_Toc427845309"/>
      <w:r>
        <w:rPr>
          <w:rFonts w:hint="eastAsia" w:ascii="仿宋_GB2312" w:eastAsia="仿宋_GB2312" w:cs="Times New Roman"/>
          <w:b/>
          <w:sz w:val="32"/>
          <w:szCs w:val="32"/>
        </w:rPr>
        <w:t>4.基本原则</w:t>
      </w:r>
      <w:bookmarkEnd w:id="15"/>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（1）统筹规划、服务行业</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民爆标准体系的构建，应当服从和服务于民爆产业发展的需要，做好全行业的统筹规划工作，以标准规范行业管理，以标准促进技术进步，以标准保障安全生产，以标准提升产品质量水平。</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（2）立足全局，强化基础</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爆标准体系应当尽量全面地涵盖行业内各方面的内容，这就要求我们站在全行业的高度，划分好各层次标准的内容。同时，要加强民爆行业标准化工作基础的研究，为标准化工作的全面开展提供强有力的基础支撑。</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（3）结合国情，接轨国际</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民爆标准体系的构建离不开我国的具体国情，同时也应当力求符合国际通行规则，与国际接轨。因此，要广泛、深入地分析研究民爆行业相关的国际标准和国外先进标准，结合国情积极采用国际标准和国外先进标准，加快民爆标准与国际标准接轨的步伐，提升我国民爆行业的国际竞争力。</w:t>
      </w:r>
    </w:p>
    <w:p>
      <w:pPr>
        <w:ind w:firstLine="643" w:firstLineChars="200"/>
        <w:outlineLvl w:val="4"/>
        <w:rPr>
          <w:rFonts w:ascii="仿宋_GB2312" w:eastAsia="仿宋_GB2312" w:cs="Times New Roman"/>
          <w:b/>
          <w:sz w:val="32"/>
          <w:szCs w:val="32"/>
        </w:rPr>
      </w:pPr>
      <w:r>
        <w:rPr>
          <w:rFonts w:hint="eastAsia" w:ascii="仿宋_GB2312" w:eastAsia="仿宋_GB2312" w:cs="Times New Roman"/>
          <w:b/>
          <w:sz w:val="32"/>
          <w:szCs w:val="32"/>
        </w:rPr>
        <w:t>（4）突出重点，分清层次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一个标准体系中所涵盖的标准数目非常多，要把这些标准全部建立起来需要很长一段时间，因此，我们要集中有限资源，突出重点领域、重点技术，选取有代表性的、有推动作用的、发展成熟的工作项目，开展重点标准制、修订及研究工作，集中解决民爆行业发展中急需解决的关键问题和共性问题。</w:t>
      </w:r>
    </w:p>
    <w:p>
      <w:pPr>
        <w:ind w:firstLine="643" w:firstLineChars="200"/>
        <w:outlineLvl w:val="3"/>
        <w:rPr>
          <w:rFonts w:ascii="仿宋_GB2312" w:eastAsia="仿宋_GB2312" w:cs="Times New Roman"/>
          <w:b/>
          <w:sz w:val="32"/>
          <w:szCs w:val="32"/>
        </w:rPr>
      </w:pPr>
      <w:bookmarkStart w:id="16" w:name="_Toc427845310"/>
      <w:bookmarkStart w:id="17" w:name="_Toc347240821"/>
      <w:r>
        <w:rPr>
          <w:rFonts w:hint="eastAsia" w:ascii="仿宋_GB2312" w:eastAsia="仿宋_GB2312" w:cs="Times New Roman"/>
          <w:b/>
          <w:sz w:val="32"/>
          <w:szCs w:val="32"/>
        </w:rPr>
        <w:t>5.体系目标</w:t>
      </w:r>
      <w:bookmarkEnd w:id="16"/>
      <w:bookmarkEnd w:id="17"/>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（1）优化体系结构，使其更加适应行业管理需要，促进技术进步，保障安全生产，提升产品质量水平。</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（2）继续开展产品、试验方法标准的整合和制修订，完善安全生产、节能环保标准，初步建立自动化、智能化装备标准子体系。形成内容全面、精炼、有效的标准体系。</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3）提高国际国外标准采标率，促使我国民爆行业标准逐步与国际、国外先进水平接轨，提高标准技术水平，促进产品国际贸易。同时，促进我国民爆行业标准向国际标准发展，增加我国民用爆炸物品在国际上的话语权。</w:t>
      </w:r>
    </w:p>
    <w:p>
      <w:pPr>
        <w:ind w:firstLine="643" w:firstLineChars="200"/>
        <w:outlineLvl w:val="1"/>
        <w:rPr>
          <w:rFonts w:ascii="楷体" w:hAnsi="楷体" w:eastAsia="楷体"/>
          <w:b/>
          <w:sz w:val="32"/>
          <w:szCs w:val="32"/>
        </w:rPr>
      </w:pPr>
      <w:bookmarkStart w:id="18" w:name="_Toc25573"/>
      <w:r>
        <w:rPr>
          <w:rFonts w:hint="eastAsia" w:ascii="楷体" w:hAnsi="楷体" w:eastAsia="楷体"/>
          <w:b/>
          <w:sz w:val="32"/>
          <w:szCs w:val="32"/>
        </w:rPr>
        <w:t>（二）标准体系的框架结构和说明</w:t>
      </w:r>
      <w:bookmarkEnd w:id="18"/>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民爆行业标准体系框架结构见图1。体系编号规则见图2。</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根据民爆行业所涉及的产品类别，民爆行业标准体系分为七个领域，即通用（涉及两种及以上产品种类）、工业炸药及炸药制品、工业雷管</w:t>
      </w:r>
      <w:r>
        <w:rPr>
          <w:rFonts w:hint="eastAsia" w:ascii="Times New Roman" w:hAnsi="Times New Roman" w:eastAsia="仿宋_GB2312"/>
          <w:color w:val="FF0000"/>
          <w:sz w:val="32"/>
          <w:szCs w:val="32"/>
        </w:rPr>
        <w:t>、</w:t>
      </w:r>
      <w:r>
        <w:rPr>
          <w:rFonts w:hint="eastAsia" w:ascii="Times New Roman" w:hAnsi="Times New Roman" w:eastAsia="仿宋_GB2312"/>
          <w:sz w:val="32"/>
          <w:szCs w:val="32"/>
        </w:rPr>
        <w:t>工业索类火工品、油气井用爆炸物品、其他民用爆炸物品和主要原材料、辅料。按照标准发挥的作用又分为基础通用、关键技术和行业管理三个子体系。其中：</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）基础通用标准，包括术语、分类、命名、代码标准，标志、标识标准及其他基础通用标准，是制定其他标准和实施行业管理的基础。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（2）关键技术标准，包括产品标准，检验检测、试验方法标准，工艺装备、智能制造标准及其他关键技术标准，是保证民爆行业产品质量、体现技术水平的一类标准。</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产品标准</w:t>
      </w:r>
      <w:r>
        <w:rPr>
          <w:rFonts w:hint="eastAsia" w:ascii="Times New Roman" w:hAnsi="Times New Roman" w:eastAsia="仿宋_GB2312"/>
          <w:sz w:val="32"/>
          <w:szCs w:val="32"/>
        </w:rPr>
        <w:t>，包括工业炸药、工业炸药制品、工业雷管、工业索类火工品、油气井用爆炸物品、其他民用爆炸物品及主要原材料、辅料标准，每类产品均有一个通用技术要求，规定每类产品与安全、环保等方面的指标要求。</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检验检测、试验方法标准</w:t>
      </w:r>
      <w:r>
        <w:rPr>
          <w:rFonts w:hint="eastAsia" w:ascii="Times New Roman" w:hAnsi="Times New Roman" w:eastAsia="仿宋_GB2312"/>
          <w:sz w:val="32"/>
          <w:szCs w:val="32"/>
        </w:rPr>
        <w:t>，与产品标准配套的检验检测、试验方法标准。</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工艺装备、智能制造标准</w:t>
      </w:r>
      <w:r>
        <w:rPr>
          <w:rFonts w:hint="eastAsia" w:ascii="Times New Roman" w:hAnsi="Times New Roman" w:eastAsia="仿宋_GB2312"/>
          <w:sz w:val="32"/>
          <w:szCs w:val="32"/>
        </w:rPr>
        <w:t>，民用爆炸物品生产涉及的主要工艺、关键设备以及智能制造相关的互联互通、数据采集传输等方面的标准。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（3）行业管理标准，包括工程建设、安全生产与职业健康、节能与综合利用及其他行业管理标准，是实施行业监管，保障民爆行业安全健康发展的一类标准。</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工程建设标准，</w:t>
      </w:r>
      <w:r>
        <w:rPr>
          <w:rFonts w:hint="eastAsia" w:ascii="Times New Roman" w:hAnsi="Times New Roman" w:eastAsia="仿宋_GB2312"/>
          <w:sz w:val="32"/>
          <w:szCs w:val="32"/>
        </w:rPr>
        <w:t>是民爆物品生产、仓储设施的选址、、建设的重要依据，也是实施行业准入重点关注的方面。</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安全生产与职业健康标准，安全生产</w:t>
      </w:r>
      <w:r>
        <w:rPr>
          <w:rFonts w:hint="eastAsia" w:ascii="Times New Roman" w:hAnsi="Times New Roman" w:eastAsia="仿宋_GB2312"/>
          <w:sz w:val="32"/>
          <w:szCs w:val="32"/>
        </w:rPr>
        <w:t>是民爆行业的重中之重，这方面的标准贯穿民爆产品生产、销售、储存、运输、销毁的全寿命周期，涵盖综合管理、风险管理、隐患判定、应急管理、事故管理等方面内容。</w:t>
      </w:r>
      <w:r>
        <w:rPr>
          <w:rFonts w:hint="eastAsia" w:ascii="Times New Roman" w:hAnsi="Times New Roman" w:eastAsia="仿宋_GB2312"/>
          <w:b/>
          <w:sz w:val="32"/>
          <w:szCs w:val="32"/>
        </w:rPr>
        <w:t>职业健康</w:t>
      </w:r>
      <w:r>
        <w:rPr>
          <w:rFonts w:hint="eastAsia" w:ascii="Times New Roman" w:hAnsi="Times New Roman" w:eastAsia="仿宋_GB2312"/>
          <w:sz w:val="32"/>
          <w:szCs w:val="32"/>
        </w:rPr>
        <w:t>方面，目前没有专门针对民爆行业制定的标准，按照《中共中央国务院关于推进安全生产领域改革发展的意见》中“管安全生产必须管职业健康”的要求，将职业健康标准与安全生产标准归入同一类。以贯彻落实国家现有标准为主，今后根据民爆行业的需求开展相关标准的制修订工作。</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sectPr>
          <w:pgSz w:w="11906" w:h="16838"/>
          <w:pgMar w:top="1440" w:right="1800" w:bottom="1440" w:left="1800" w:header="851" w:footer="992" w:gutter="0"/>
          <w:pgNumType w:start="1"/>
          <w:cols w:space="720" w:num="1"/>
          <w:docGrid w:type="lines" w:linePitch="312" w:charSpace="0"/>
        </w:sectPr>
      </w:pPr>
    </w:p>
    <w:p>
      <w:pPr>
        <w:jc w:val="center"/>
      </w:pPr>
      <w:r>
        <w:drawing>
          <wp:inline distT="0" distB="0" distL="0" distR="0">
            <wp:extent cx="6421755" cy="44977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21755" cy="4497705"/>
                    </a:xfrm>
                    <a:prstGeom prst="rect">
                      <a:avLst/>
                    </a:prstGeom>
                    <a:noFill/>
                    <a:ln>
                      <a:noFill/>
                    </a:ln>
                  </pic:spPr>
                </pic:pic>
              </a:graphicData>
            </a:graphic>
          </wp:inline>
        </w:drawing>
      </w:r>
    </w:p>
    <w:p>
      <w:pPr>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图</w:t>
      </w:r>
      <w:r>
        <w:rPr>
          <w:rFonts w:ascii="Times New Roman" w:hAnsi="Times New Roman" w:eastAsia="仿宋_GB2312"/>
          <w:sz w:val="32"/>
          <w:szCs w:val="32"/>
        </w:rPr>
        <w:t>1</w:t>
      </w:r>
      <w:r>
        <w:rPr>
          <w:rFonts w:hint="eastAsia" w:ascii="Times New Roman" w:hAnsi="Times New Roman" w:eastAsia="仿宋_GB2312"/>
          <w:sz w:val="32"/>
          <w:szCs w:val="32"/>
        </w:rPr>
        <w:t xml:space="preserve">  民爆行业标准体系框架</w:t>
      </w:r>
    </w:p>
    <w:p>
      <w:pPr>
        <w:ind w:firstLine="640" w:firstLineChars="200"/>
        <w:rPr>
          <w:rFonts w:ascii="Times New Roman" w:hAnsi="Times New Roman" w:eastAsia="仿宋_GB2312"/>
          <w:sz w:val="32"/>
          <w:szCs w:val="32"/>
        </w:rPr>
        <w:sectPr>
          <w:pgSz w:w="16838" w:h="11906" w:orient="landscape"/>
          <w:pgMar w:top="1800" w:right="1440" w:bottom="1800" w:left="1440" w:header="851" w:footer="992" w:gutter="0"/>
          <w:cols w:space="720" w:num="1"/>
          <w:docGrid w:type="lines" w:linePitch="312" w:charSpace="0"/>
        </w:sectPr>
      </w:pPr>
    </w:p>
    <w:p>
      <w:pPr>
        <w:ind w:firstLine="643" w:firstLineChars="200"/>
        <w:outlineLvl w:val="1"/>
        <w:rPr>
          <w:rFonts w:ascii="楷体" w:hAnsi="楷体" w:eastAsia="楷体"/>
          <w:b/>
          <w:sz w:val="32"/>
          <w:szCs w:val="32"/>
        </w:rPr>
      </w:pPr>
      <w:bookmarkStart w:id="19" w:name="_Toc16184"/>
      <w:r>
        <w:rPr>
          <w:rFonts w:hint="eastAsia" w:ascii="楷体" w:hAnsi="楷体" w:eastAsia="楷体"/>
          <w:b/>
          <w:sz w:val="32"/>
          <w:szCs w:val="32"/>
        </w:rPr>
        <w:t>（三）标准体系表编号的规则</w:t>
      </w:r>
      <w:bookmarkEnd w:id="19"/>
    </w:p>
    <w:p>
      <w:pPr>
        <w:jc w:val="center"/>
        <w:rPr>
          <w:rFonts w:ascii="Times New Roman" w:hAnsi="Times New Roman" w:eastAsia="仿宋_GB2312"/>
          <w:sz w:val="32"/>
          <w:szCs w:val="32"/>
        </w:rPr>
      </w:pPr>
      <w:r>
        <w:drawing>
          <wp:inline distT="0" distB="0" distL="0" distR="0">
            <wp:extent cx="5645150" cy="21615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45150" cy="2161540"/>
                    </a:xfrm>
                    <a:prstGeom prst="rect">
                      <a:avLst/>
                    </a:prstGeom>
                    <a:noFill/>
                    <a:ln>
                      <a:noFill/>
                    </a:ln>
                  </pic:spPr>
                </pic:pic>
              </a:graphicData>
            </a:graphic>
          </wp:inline>
        </w:drawing>
      </w:r>
      <w:r>
        <w:rPr>
          <w:rFonts w:hint="eastAsia" w:ascii="Times New Roman" w:hAnsi="Times New Roman" w:eastAsia="仿宋_GB2312"/>
          <w:sz w:val="32"/>
          <w:szCs w:val="32"/>
        </w:rPr>
        <w:t>图</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 xml:space="preserve">  标准体系编号规则</w:t>
      </w:r>
    </w:p>
    <w:p>
      <w:pPr>
        <w:ind w:firstLine="640" w:firstLineChars="200"/>
        <w:outlineLvl w:val="0"/>
        <w:rPr>
          <w:rFonts w:ascii="Times New Roman" w:hAnsi="黑体" w:eastAsia="黑体"/>
          <w:sz w:val="32"/>
          <w:szCs w:val="32"/>
        </w:rPr>
      </w:pPr>
      <w:bookmarkStart w:id="20" w:name="_Toc26447"/>
      <w:r>
        <w:rPr>
          <w:rFonts w:hint="eastAsia" w:ascii="Times New Roman" w:hAnsi="黑体" w:eastAsia="黑体"/>
          <w:sz w:val="32"/>
          <w:szCs w:val="32"/>
        </w:rPr>
        <w:t>三、标准体系的现状</w:t>
      </w:r>
      <w:bookmarkEnd w:id="20"/>
    </w:p>
    <w:p>
      <w:pPr>
        <w:ind w:firstLine="643" w:firstLineChars="200"/>
        <w:outlineLvl w:val="1"/>
        <w:rPr>
          <w:rFonts w:ascii="楷体" w:hAnsi="楷体" w:eastAsia="楷体"/>
          <w:b/>
          <w:sz w:val="32"/>
          <w:szCs w:val="32"/>
        </w:rPr>
      </w:pPr>
      <w:bookmarkStart w:id="21" w:name="_Toc4233"/>
      <w:r>
        <w:rPr>
          <w:rFonts w:hint="eastAsia" w:ascii="楷体" w:hAnsi="楷体" w:eastAsia="楷体"/>
          <w:b/>
          <w:sz w:val="32"/>
          <w:szCs w:val="32"/>
        </w:rPr>
        <w:t>（一）现有标准和在研计划情况</w:t>
      </w:r>
      <w:bookmarkEnd w:id="21"/>
    </w:p>
    <w:p>
      <w:pPr>
        <w:spacing w:line="276" w:lineRule="auto"/>
        <w:ind w:firstLine="640" w:firstLineChars="200"/>
        <w:contextualSpacing/>
        <w:rPr>
          <w:rFonts w:ascii="Times New Roman" w:hAnsi="Times New Roman" w:eastAsia="仿宋_GB2312"/>
          <w:sz w:val="32"/>
          <w:szCs w:val="32"/>
        </w:rPr>
      </w:pPr>
      <w:r>
        <w:rPr>
          <w:rFonts w:hint="eastAsia" w:ascii="仿宋" w:hAnsi="仿宋" w:eastAsia="仿宋" w:cs="仿宋_GB2312"/>
          <w:sz w:val="32"/>
          <w:szCs w:val="32"/>
        </w:rPr>
        <w:t>截至2022年12月，民爆行业制定并发布标准11</w:t>
      </w:r>
      <w:r>
        <w:rPr>
          <w:rFonts w:ascii="仿宋" w:hAnsi="仿宋" w:eastAsia="仿宋" w:cs="仿宋_GB2312"/>
          <w:sz w:val="32"/>
          <w:szCs w:val="32"/>
        </w:rPr>
        <w:t>1</w:t>
      </w:r>
      <w:r>
        <w:rPr>
          <w:rFonts w:hint="eastAsia" w:ascii="仿宋" w:hAnsi="仿宋" w:eastAsia="仿宋" w:cs="仿宋_GB2312"/>
          <w:sz w:val="32"/>
          <w:szCs w:val="32"/>
        </w:rPr>
        <w:t>项，其中国家标准3</w:t>
      </w:r>
      <w:r>
        <w:rPr>
          <w:rFonts w:ascii="仿宋" w:hAnsi="仿宋" w:eastAsia="仿宋" w:cs="仿宋_GB2312"/>
          <w:sz w:val="32"/>
          <w:szCs w:val="32"/>
        </w:rPr>
        <w:t>0</w:t>
      </w:r>
      <w:r>
        <w:rPr>
          <w:rFonts w:hint="eastAsia" w:ascii="仿宋" w:hAnsi="仿宋" w:eastAsia="仿宋" w:cs="仿宋_GB2312"/>
          <w:sz w:val="32"/>
          <w:szCs w:val="32"/>
        </w:rPr>
        <w:t>项，WJ行业标准8</w:t>
      </w:r>
      <w:r>
        <w:rPr>
          <w:rFonts w:ascii="仿宋" w:hAnsi="仿宋" w:eastAsia="仿宋" w:cs="仿宋_GB2312"/>
          <w:sz w:val="32"/>
          <w:szCs w:val="32"/>
        </w:rPr>
        <w:t>1</w:t>
      </w:r>
      <w:r>
        <w:rPr>
          <w:rFonts w:hint="eastAsia" w:ascii="仿宋" w:hAnsi="仿宋" w:eastAsia="仿宋" w:cs="仿宋_GB2312"/>
          <w:sz w:val="32"/>
          <w:szCs w:val="32"/>
        </w:rPr>
        <w:t>项；强制性标准</w:t>
      </w:r>
      <w:r>
        <w:rPr>
          <w:rFonts w:ascii="仿宋" w:hAnsi="仿宋" w:eastAsia="仿宋" w:cs="仿宋_GB2312"/>
          <w:sz w:val="32"/>
          <w:szCs w:val="32"/>
        </w:rPr>
        <w:t>19</w:t>
      </w:r>
      <w:r>
        <w:rPr>
          <w:rFonts w:hint="eastAsia" w:ascii="仿宋" w:hAnsi="仿宋" w:eastAsia="仿宋" w:cs="仿宋_GB2312"/>
          <w:sz w:val="32"/>
          <w:szCs w:val="32"/>
        </w:rPr>
        <w:t>项，推荐性标准92项。2022年全年发布标准3项，其中行业标准3项，在研标准</w:t>
      </w:r>
      <w:r>
        <w:rPr>
          <w:rFonts w:ascii="仿宋" w:hAnsi="仿宋" w:eastAsia="仿宋" w:cs="仿宋_GB2312"/>
          <w:sz w:val="32"/>
          <w:szCs w:val="32"/>
        </w:rPr>
        <w:t>19</w:t>
      </w:r>
      <w:r>
        <w:rPr>
          <w:rFonts w:hint="eastAsia" w:ascii="仿宋" w:hAnsi="仿宋" w:eastAsia="仿宋" w:cs="仿宋_GB2312"/>
          <w:sz w:val="32"/>
          <w:szCs w:val="32"/>
        </w:rPr>
        <w:t>项，其中强制性国家标准5项，行业标准1</w:t>
      </w:r>
      <w:r>
        <w:rPr>
          <w:rFonts w:ascii="仿宋" w:hAnsi="仿宋" w:eastAsia="仿宋" w:cs="仿宋_GB2312"/>
          <w:sz w:val="32"/>
          <w:szCs w:val="32"/>
        </w:rPr>
        <w:t>4</w:t>
      </w:r>
      <w:r>
        <w:rPr>
          <w:rFonts w:hint="eastAsia" w:ascii="仿宋" w:hAnsi="仿宋" w:eastAsia="仿宋" w:cs="仿宋_GB2312"/>
          <w:sz w:val="32"/>
          <w:szCs w:val="32"/>
        </w:rPr>
        <w:t>项</w:t>
      </w:r>
      <w:r>
        <w:rPr>
          <w:rFonts w:hint="eastAsia" w:ascii="仿宋_GB2312" w:eastAsia="仿宋_GB2312" w:cs="Times New Roman"/>
          <w:sz w:val="32"/>
          <w:szCs w:val="32"/>
        </w:rPr>
        <w:t>，涉及民用爆炸物品生产、销售环节的基础、产品、方法、安全生产等方面</w:t>
      </w:r>
      <w:r>
        <w:rPr>
          <w:rFonts w:hint="eastAsia" w:ascii="仿宋" w:hAnsi="仿宋" w:eastAsia="仿宋" w:cs="仿宋_GB2312"/>
          <w:sz w:val="32"/>
          <w:szCs w:val="32"/>
        </w:rPr>
        <w:t>。现有标准清单见表1。</w:t>
      </w:r>
      <w:r>
        <w:rPr>
          <w:rFonts w:hint="eastAsia" w:ascii="仿宋_GB2312" w:eastAsia="仿宋_GB2312" w:cs="Times New Roman"/>
          <w:sz w:val="32"/>
          <w:szCs w:val="32"/>
        </w:rPr>
        <w:t>在研标准计划清单见表2。</w:t>
      </w:r>
    </w:p>
    <w:p>
      <w:pPr>
        <w:jc w:val="center"/>
        <w:rPr>
          <w:rFonts w:ascii="Times New Roman" w:hAnsi="Times New Roman" w:eastAsia="仿宋_GB2312"/>
          <w:sz w:val="30"/>
          <w:szCs w:val="30"/>
        </w:rPr>
      </w:pPr>
      <w:r>
        <w:rPr>
          <w:rFonts w:hint="eastAsia" w:ascii="Times New Roman" w:hAnsi="Times New Roman" w:eastAsia="仿宋_GB2312"/>
          <w:sz w:val="30"/>
          <w:szCs w:val="30"/>
        </w:rPr>
        <w:t>表1  现有标准清单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2"/>
        <w:gridCol w:w="2042"/>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序号</w:t>
            </w:r>
          </w:p>
        </w:tc>
        <w:tc>
          <w:tcPr>
            <w:tcW w:w="1225" w:type="pct"/>
            <w:vAlign w:val="center"/>
          </w:tcPr>
          <w:p>
            <w:pPr>
              <w:widowControl/>
              <w:spacing w:line="276" w:lineRule="auto"/>
              <w:ind w:left="80" w:leftChars="38" w:firstLine="0" w:firstLineChars="0"/>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标准号</w:t>
            </w:r>
          </w:p>
        </w:tc>
        <w:tc>
          <w:tcPr>
            <w:tcW w:w="3360" w:type="pct"/>
            <w:vAlign w:val="center"/>
          </w:tcPr>
          <w:p>
            <w:pPr>
              <w:widowControl/>
              <w:spacing w:line="276" w:lineRule="auto"/>
              <w:ind w:left="99" w:leftChars="47" w:firstLine="0" w:firstLineChars="0"/>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8031-2015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12436-1990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炸药作功能力试验铅铸法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12440-1990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炸药猛度试验铅柱压缩法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14493-2003</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15563-2005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震源药柱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19417-2003</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导爆管雷管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28261-2012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安全气囊气体发生器用点火具生产安全技术条件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28263-2012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民用爆炸物品生产、销售企业安全管理规程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 28286-2012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12435-2015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工业黑索今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13224-1991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工业导爆索试验方法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13225-1991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工业雷管延期时间测定方法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13226-1991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工业雷管铅板试验方法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13227-1991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工业雷管浸水试验方法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13228-2015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工业炸药爆速测定方法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13889-2015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油气井用电雷管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14659-2015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17582-2011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工业炸药分类和命名规则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18096-2000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煤矿许用电雷管可燃气安全度试验方法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18097-2000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煤矿许用炸药可燃气安全度试验方法及判定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18098-2000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工业炸药爆炸后有毒气体含量的测定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20061-2006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煤矿许用炸药抗爆燃性能测试方法及判定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20488-2006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油气井聚能射孔器材性能试验方法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20489-2006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油气井聚能射孔器材通用技术条件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27601-2011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工业电雷管抗杂散电流试验方法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27602-2011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工业电雷管射频感度测定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27603-2011</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工业电雷管射频阻抗测定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28262-2012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火工品及药剂专用测试仪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29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32071-2015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胶质硝化甘油炸药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GB/T 9786-2015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工业导爆索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9035-2002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油气井用导爆索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9045-2004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起爆具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9063-2010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民用爆炸物品生产专用设备安全使用年限管理规定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9064-2010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增雨防雹火箭弹生产安全技术条件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9065-2010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民用爆炸物品危险作业场所监控系统设置要求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9067-2010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海上救生烟火信号产品生产安全技术条件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9068-2010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民用爆破器材企业报废生产线销爆安全管理规程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9072-2012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现场混装炸药生产安全管理规程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39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9073-2012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民用爆炸物品运输车安全技术条件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9082-2015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含火药含水工业炸药安全生产技术条件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9083-2015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含火药含水工业炸药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 9085-2015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工业数码电子雷管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2019-2004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塑料导爆管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9004-1992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工业炸药爆热测定法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9006-2006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工业索类火工品分类与命名规则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9009-1992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六硝基茋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9010-2015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工业雷管包装用瓦楞纸箱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9016-1994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聚黑</w:t>
            </w:r>
            <w:r>
              <w:rPr>
                <w:rStyle w:val="80"/>
              </w:rPr>
              <w:t>-16</w:t>
            </w:r>
            <w:r>
              <w:rPr>
                <w:rStyle w:val="79"/>
                <w:rFonts w:hint="default" w:ascii="Times New Roman" w:hAnsi="Times New Roman" w:cs="Times New Roman"/>
              </w:rPr>
              <w:t>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49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9022-1995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油、气井用爆破器材命名规则聚能射孔弹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9023-1995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油、气井用爆破器材命名规则聚能切割弹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9029-2004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工业梯恩梯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9030-2004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炸药作功能力试验用铅壔</w:t>
            </w:r>
            <w:r>
              <w:rPr>
                <w:rStyle w:val="8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9031-2018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工业雷管分类与命名规则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9036-2002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油气井用套管爆炸整形弹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9037-2002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油气井用聚能切割弹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9038.1-2004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工业火工药剂试验方法第</w:t>
            </w:r>
            <w:r>
              <w:rPr>
                <w:rStyle w:val="80"/>
              </w:rPr>
              <w:t>1</w:t>
            </w:r>
            <w:r>
              <w:rPr>
                <w:rStyle w:val="79"/>
                <w:rFonts w:hint="default" w:ascii="Times New Roman" w:hAnsi="Times New Roman" w:cs="Times New Roman"/>
              </w:rPr>
              <w:t>部分：撞击感度试验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9038.2-2004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工业火工药剂试验方法第</w:t>
            </w:r>
            <w:r>
              <w:rPr>
                <w:rStyle w:val="80"/>
              </w:rPr>
              <w:t>2</w:t>
            </w:r>
            <w:r>
              <w:rPr>
                <w:rStyle w:val="79"/>
                <w:rFonts w:hint="default" w:ascii="Times New Roman" w:hAnsi="Times New Roman" w:cs="Times New Roman"/>
              </w:rPr>
              <w:t>部分：摩擦感度试验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9038.3-2004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工业火工药剂试验方法第</w:t>
            </w:r>
            <w:r>
              <w:rPr>
                <w:rStyle w:val="80"/>
              </w:rPr>
              <w:t>3</w:t>
            </w:r>
            <w:r>
              <w:rPr>
                <w:rStyle w:val="79"/>
                <w:rFonts w:hint="default" w:ascii="Times New Roman" w:hAnsi="Times New Roman" w:cs="Times New Roman"/>
              </w:rPr>
              <w:t>部分：静电火花感度试验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59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9038.4-2004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工业火工药剂试验方法第</w:t>
            </w:r>
            <w:r>
              <w:rPr>
                <w:rStyle w:val="80"/>
              </w:rPr>
              <w:t>4</w:t>
            </w:r>
            <w:r>
              <w:rPr>
                <w:rStyle w:val="79"/>
                <w:rFonts w:hint="default" w:ascii="Times New Roman" w:hAnsi="Times New Roman" w:cs="Times New Roman"/>
              </w:rPr>
              <w:t>部分：爆发点试验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9039-2004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工业电雷管发火冲能测试方法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9040-2004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80"/>
              </w:rPr>
              <w:t>GTG</w:t>
            </w:r>
            <w:r>
              <w:rPr>
                <w:rStyle w:val="79"/>
                <w:rFonts w:hint="default" w:ascii="Times New Roman" w:hAnsi="Times New Roman" w:cs="Times New Roman"/>
              </w:rPr>
              <w:t>起爆药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9041-2004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9042-2004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工业电雷管静电感度试验方法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9043.1-2004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工业电雷管温度和压力试验方法第</w:t>
            </w:r>
            <w:r>
              <w:rPr>
                <w:rStyle w:val="80"/>
              </w:rPr>
              <w:t>1</w:t>
            </w:r>
            <w:r>
              <w:rPr>
                <w:rStyle w:val="79"/>
                <w:rFonts w:hint="default" w:ascii="Times New Roman" w:hAnsi="Times New Roman" w:cs="Times New Roman"/>
              </w:rPr>
              <w:t>部分：耐温试验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9043.2-2004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工业电雷管温度和压力试验方法第</w:t>
            </w:r>
            <w:r>
              <w:rPr>
                <w:rStyle w:val="80"/>
              </w:rPr>
              <w:t>2</w:t>
            </w:r>
            <w:r>
              <w:rPr>
                <w:rStyle w:val="79"/>
                <w:rFonts w:hint="default" w:ascii="Times New Roman" w:hAnsi="Times New Roman" w:cs="Times New Roman"/>
              </w:rPr>
              <w:t>部分：耐温耐压试验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9044-2004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工业电雷管最小发火电流试验方法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9046-2004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工业炸药爆速测试仪校准规范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9047-2004</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工业电雷管电参数测试仪校准规范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69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9048-2010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民用爆破器材安全评价导则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9050-2006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农用硝酸铵抗爆性能试验方法及判定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9052.1-2006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工业炸药感度试验方法第</w:t>
            </w:r>
            <w:r>
              <w:rPr>
                <w:rStyle w:val="80"/>
              </w:rPr>
              <w:t>1</w:t>
            </w:r>
            <w:r>
              <w:rPr>
                <w:rStyle w:val="79"/>
                <w:rFonts w:hint="default" w:ascii="Times New Roman" w:hAnsi="Times New Roman" w:cs="Times New Roman"/>
              </w:rPr>
              <w:t>部分：摩擦感度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9052.2-2006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工业炸药感度试验方法第</w:t>
            </w:r>
            <w:r>
              <w:rPr>
                <w:rStyle w:val="80"/>
              </w:rPr>
              <w:t>2</w:t>
            </w:r>
            <w:r>
              <w:rPr>
                <w:rStyle w:val="79"/>
                <w:rFonts w:hint="default" w:ascii="Times New Roman" w:hAnsi="Times New Roman" w:cs="Times New Roman"/>
              </w:rPr>
              <w:t>部分：撞击感度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9052.3-2006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工业炸药感度试验方法第</w:t>
            </w:r>
            <w:r>
              <w:rPr>
                <w:rStyle w:val="80"/>
              </w:rPr>
              <w:t>3</w:t>
            </w:r>
            <w:r>
              <w:rPr>
                <w:rStyle w:val="79"/>
                <w:rFonts w:hint="default" w:ascii="Times New Roman" w:hAnsi="Times New Roman" w:cs="Times New Roman"/>
              </w:rPr>
              <w:t>部分：含水炸药热感度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9054-2006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工业炸药热安定性试验方法差示扫描量热法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9055-2006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工业炸药殉爆距离试验方法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9056.1-2006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工业炸药密度测定方法第</w:t>
            </w:r>
            <w:r>
              <w:rPr>
                <w:rStyle w:val="80"/>
              </w:rPr>
              <w:t>1</w:t>
            </w:r>
            <w:r>
              <w:rPr>
                <w:rStyle w:val="79"/>
                <w:rFonts w:hint="default" w:ascii="Times New Roman" w:hAnsi="Times New Roman" w:cs="Times New Roman"/>
              </w:rPr>
              <w:t>部分：药卷密度测定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9056.2-2006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工业炸药密度测定方法第</w:t>
            </w:r>
            <w:r>
              <w:rPr>
                <w:rStyle w:val="80"/>
              </w:rPr>
              <w:t>2</w:t>
            </w:r>
            <w:r>
              <w:rPr>
                <w:rStyle w:val="79"/>
                <w:rFonts w:hint="default" w:ascii="Times New Roman" w:hAnsi="Times New Roman" w:cs="Times New Roman"/>
              </w:rPr>
              <w:t>部分：炸药密度测定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9061-2008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工业炸药试验方法作功能力试验弹道抛掷法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79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9066-2018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煤矿瓦斯抽采水胶药柱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9069-2012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工业炸药药卷自动包装机技术条件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9070-2012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工业电雷管运输车使用卫星定位导航终端的安全要求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9071-2012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无雷管感度工业炸药最小起爆药量测定方法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9074-2012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工业雷管撞击感度试验方法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9075.1-2012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1</w:t>
            </w:r>
            <w:r>
              <w:rPr>
                <w:rStyle w:val="79"/>
                <w:rFonts w:hint="default" w:ascii="Times New Roman" w:hAnsi="Times New Roman" w:cs="Times New Roman"/>
              </w:rPr>
              <w:t>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9075.2-2012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2</w:t>
            </w:r>
            <w:r>
              <w:rPr>
                <w:rStyle w:val="79"/>
                <w:rFonts w:hint="default" w:ascii="Times New Roman" w:hAnsi="Times New Roman" w:cs="Times New Roman"/>
              </w:rPr>
              <w:t>部分：生产企业综合安全管理及总体安全条件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9075.3-2012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3</w:t>
            </w:r>
            <w:r>
              <w:rPr>
                <w:rStyle w:val="79"/>
                <w:rFonts w:hint="default" w:ascii="Times New Roman" w:hAnsi="Times New Roman" w:cs="Times New Roman"/>
              </w:rPr>
              <w:t>部分：工业炸药及其制品生产线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9075.4-2012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4</w:t>
            </w:r>
            <w:r>
              <w:rPr>
                <w:rStyle w:val="79"/>
                <w:rFonts w:hint="default" w:ascii="Times New Roman" w:hAnsi="Times New Roman" w:cs="Times New Roman"/>
              </w:rPr>
              <w:t>部分：工业雷管生产线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9075.5-2012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5</w:t>
            </w:r>
            <w:r>
              <w:rPr>
                <w:rStyle w:val="79"/>
                <w:rFonts w:hint="default" w:ascii="Times New Roman" w:hAnsi="Times New Roman" w:cs="Times New Roman"/>
              </w:rPr>
              <w:t>部分：工业索类火工品生产线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89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9075.6-2012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6</w:t>
            </w:r>
            <w:r>
              <w:rPr>
                <w:rStyle w:val="79"/>
                <w:rFonts w:hint="default" w:ascii="Times New Roman" w:hAnsi="Times New Roman" w:cs="Times New Roman"/>
              </w:rPr>
              <w:t>部分：油气井用及其他爆破器材生产线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9075.7-2012</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民用爆破器材企业安全检查方法检查表法第</w:t>
            </w:r>
            <w:r>
              <w:rPr>
                <w:rStyle w:val="80"/>
              </w:rPr>
              <w:t>7</w:t>
            </w:r>
            <w:r>
              <w:rPr>
                <w:rStyle w:val="79"/>
                <w:rFonts w:hint="default" w:ascii="Times New Roman" w:hAnsi="Times New Roman" w:cs="Times New Roman"/>
              </w:rPr>
              <w:t>部分：销售企业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9080-2013</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民用爆炸物品单位产量可比综合能耗计算方法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9084-2015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导爆管的不导电性能测定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9086-2015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工业雷管抗拉性能试验方法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9087-2015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雷管脚线电容、绝缘电阻和绝缘击穿性能测定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9088-2015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工业炸药热力学性能的计算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9089-2015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工业雷管作功能力测定水下爆炸法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9090-2015</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Style w:val="79"/>
                <w:rFonts w:hint="default" w:ascii="Times New Roman" w:hAnsi="Times New Roman" w:cs="Times New Roman"/>
              </w:rPr>
              <w:t>民用爆炸物品生产企业向用户提供产品信息规则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9091.1-2016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民用爆炸物品工艺技术文件管理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99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9091.2-2016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民用爆炸物品工艺技术文件管理  第2部分：编制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9091.3-2016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民用爆炸物品工艺技术文件管理  第3部分：图样格式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9091.4-2016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民用爆炸物品工艺技术文件管理  第4部分：规程格式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102</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9091.5-2016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民用爆炸物品工艺技术文件管理  第5部分：编号和编册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103</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9091.6-2016</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 w:val="22"/>
              </w:rPr>
            </w:pPr>
            <w:r>
              <w:rPr>
                <w:rFonts w:ascii="Times New Roman" w:hAnsi="Times New Roman" w:cs="Times New Roman"/>
                <w:color w:val="000000"/>
                <w:kern w:val="0"/>
                <w:sz w:val="22"/>
              </w:rPr>
              <w:t>民用爆炸物品工艺技术文件管理  第6部分：更改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104</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9092-2018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民用爆炸物品企业安全生产标准化实施细则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105</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9093-2018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 民用爆炸物品重大危险源辨识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106</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9094-2018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工业炸药生产企业硝酸铵溶液贮罐（区）安全管理规程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107</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9095-2018</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乳化炸药不合格品及废料处理安全技术条件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sz w:val="22"/>
              </w:rPr>
            </w:pPr>
            <w:r>
              <w:rPr>
                <w:rFonts w:ascii="Times New Roman" w:hAnsi="Times New Roman" w:cs="Times New Roman"/>
                <w:color w:val="000000"/>
                <w:kern w:val="0"/>
                <w:sz w:val="22"/>
              </w:rPr>
              <w:t>108</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Fonts w:hint="eastAsia"/>
              </w:rPr>
              <w:t>WJ/T 9096-2020</w:t>
            </w:r>
          </w:p>
        </w:tc>
        <w:tc>
          <w:tcPr>
            <w:tcW w:w="3360" w:type="pct"/>
            <w:vAlign w:val="center"/>
          </w:tcPr>
          <w:p>
            <w:pPr>
              <w:widowControl/>
              <w:spacing w:line="276" w:lineRule="auto"/>
              <w:ind w:left="99" w:leftChars="47" w:firstLine="0" w:firstLineChars="0"/>
              <w:contextualSpacing/>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增雨防雹炮弹生产安全技术条件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kern w:val="0"/>
                <w:sz w:val="22"/>
              </w:rPr>
            </w:pPr>
            <w:r>
              <w:rPr>
                <w:rFonts w:hint="eastAsia" w:ascii="Times New Roman" w:hAnsi="Times New Roman" w:cs="Times New Roman"/>
                <w:color w:val="000000"/>
                <w:kern w:val="0"/>
                <w:sz w:val="22"/>
              </w:rPr>
              <w:t>109</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 9100-2022</w:t>
            </w:r>
          </w:p>
        </w:tc>
        <w:tc>
          <w:tcPr>
            <w:tcW w:w="3360" w:type="pct"/>
            <w:vAlign w:val="center"/>
          </w:tcPr>
          <w:p>
            <w:pPr>
              <w:spacing w:line="276" w:lineRule="auto"/>
              <w:ind w:left="99" w:leftChars="47" w:firstLine="0" w:firstLineChars="0"/>
              <w:contextualSpacing/>
              <w:rPr>
                <w:rFonts w:ascii="宋体" w:hAnsi="宋体" w:cs="宋体"/>
                <w:sz w:val="22"/>
              </w:rPr>
            </w:pPr>
            <w:r>
              <w:rPr>
                <w:rFonts w:hint="eastAsia"/>
                <w:sz w:val="22"/>
              </w:rPr>
              <w:t>民用爆炸物品生产、销售企业生产安全事故隐患排查治理体系建设指南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kern w:val="0"/>
                <w:sz w:val="22"/>
              </w:rPr>
            </w:pPr>
            <w:r>
              <w:rPr>
                <w:rFonts w:hint="eastAsia" w:ascii="Times New Roman" w:hAnsi="Times New Roman" w:cs="Times New Roman"/>
                <w:color w:val="000000"/>
                <w:kern w:val="0"/>
                <w:sz w:val="22"/>
              </w:rPr>
              <w:t>1</w:t>
            </w:r>
            <w:r>
              <w:rPr>
                <w:rFonts w:ascii="Times New Roman" w:hAnsi="Times New Roman" w:cs="Times New Roman"/>
                <w:color w:val="000000"/>
                <w:kern w:val="0"/>
                <w:sz w:val="22"/>
              </w:rPr>
              <w:t>10</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Pr>
              <w:t>WJ/T9101-2022</w:t>
            </w:r>
          </w:p>
        </w:tc>
        <w:tc>
          <w:tcPr>
            <w:tcW w:w="3360" w:type="pct"/>
            <w:vAlign w:val="center"/>
          </w:tcPr>
          <w:p>
            <w:pPr>
              <w:spacing w:line="276" w:lineRule="auto"/>
              <w:ind w:left="99" w:leftChars="47" w:firstLine="0" w:firstLineChars="0"/>
              <w:contextualSpacing/>
              <w:rPr>
                <w:rFonts w:ascii="宋体" w:hAnsi="宋体" w:cs="宋体"/>
                <w:sz w:val="22"/>
              </w:rPr>
            </w:pPr>
            <w:r>
              <w:rPr>
                <w:rFonts w:hint="eastAsia"/>
                <w:sz w:val="22"/>
              </w:rPr>
              <w:t>民用爆炸物品生产、销售企业安全风险分级管控体系建设指南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15" w:type="pct"/>
            <w:vAlign w:val="center"/>
          </w:tcPr>
          <w:p>
            <w:pPr>
              <w:widowControl/>
              <w:spacing w:line="276" w:lineRule="auto"/>
              <w:contextualSpacing/>
              <w:jc w:val="center"/>
              <w:textAlignment w:val="bottom"/>
              <w:rPr>
                <w:rFonts w:ascii="Times New Roman" w:hAnsi="Times New Roman" w:cs="Times New Roman"/>
                <w:color w:val="000000"/>
                <w:kern w:val="0"/>
                <w:sz w:val="22"/>
              </w:rPr>
            </w:pPr>
            <w:r>
              <w:rPr>
                <w:rFonts w:hint="eastAsia" w:ascii="Times New Roman" w:hAnsi="Times New Roman" w:cs="Times New Roman"/>
                <w:color w:val="000000"/>
                <w:kern w:val="0"/>
                <w:sz w:val="22"/>
              </w:rPr>
              <w:t>1</w:t>
            </w:r>
            <w:r>
              <w:rPr>
                <w:rFonts w:ascii="Times New Roman" w:hAnsi="Times New Roman" w:cs="Times New Roman"/>
                <w:color w:val="000000"/>
                <w:kern w:val="0"/>
                <w:sz w:val="22"/>
              </w:rPr>
              <w:t>11</w:t>
            </w:r>
          </w:p>
        </w:tc>
        <w:tc>
          <w:tcPr>
            <w:tcW w:w="1225" w:type="pct"/>
            <w:vAlign w:val="center"/>
          </w:tcPr>
          <w:p>
            <w:pPr>
              <w:widowControl/>
              <w:spacing w:line="276" w:lineRule="auto"/>
              <w:ind w:left="80" w:leftChars="38" w:firstLine="0" w:firstLineChars="0"/>
              <w:contextualSpacing/>
              <w:jc w:val="left"/>
              <w:textAlignment w:val="center"/>
              <w:rPr>
                <w:rStyle w:val="80"/>
              </w:rPr>
            </w:pPr>
            <w:r>
              <w:rPr>
                <w:rStyle w:val="80"/>
                <w:rFonts w:hint="eastAsia"/>
              </w:rPr>
              <w:t>WJ/T 9051－2022</w:t>
            </w:r>
          </w:p>
        </w:tc>
        <w:tc>
          <w:tcPr>
            <w:tcW w:w="3360" w:type="pct"/>
            <w:vAlign w:val="center"/>
          </w:tcPr>
          <w:p>
            <w:pPr>
              <w:spacing w:line="276" w:lineRule="auto"/>
              <w:ind w:left="99" w:leftChars="47" w:firstLine="0" w:firstLineChars="0"/>
              <w:contextualSpacing/>
              <w:rPr>
                <w:sz w:val="22"/>
              </w:rPr>
            </w:pPr>
            <w:r>
              <w:rPr>
                <w:rFonts w:hint="eastAsia"/>
                <w:sz w:val="22"/>
              </w:rPr>
              <w:t>煤矿许用炸药煤尘-可燃气安全度试验方法</w:t>
            </w:r>
          </w:p>
        </w:tc>
      </w:tr>
    </w:tbl>
    <w:p>
      <w:pPr>
        <w:jc w:val="center"/>
        <w:rPr>
          <w:rFonts w:hint="eastAsia" w:ascii="Times New Roman" w:hAnsi="Times New Roman" w:eastAsia="仿宋_GB2312"/>
          <w:sz w:val="30"/>
          <w:szCs w:val="30"/>
        </w:rPr>
      </w:pPr>
    </w:p>
    <w:p>
      <w:pPr>
        <w:jc w:val="center"/>
        <w:rPr>
          <w:rFonts w:hint="eastAsia" w:ascii="Times New Roman" w:hAnsi="Times New Roman" w:eastAsia="仿宋_GB2312"/>
          <w:sz w:val="30"/>
          <w:szCs w:val="30"/>
        </w:rPr>
      </w:pPr>
      <w:r>
        <w:rPr>
          <w:rFonts w:hint="eastAsia" w:ascii="Times New Roman" w:hAnsi="Times New Roman" w:eastAsia="仿宋_GB2312"/>
          <w:sz w:val="30"/>
          <w:szCs w:val="30"/>
        </w:rPr>
        <w:t>表2  在研标准计划清单</w:t>
      </w:r>
    </w:p>
    <w:tbl>
      <w:tblPr>
        <w:tblStyle w:val="14"/>
        <w:tblW w:w="5000" w:type="pct"/>
        <w:tblInd w:w="0" w:type="dxa"/>
        <w:tblLayout w:type="autofit"/>
        <w:tblCellMar>
          <w:top w:w="15" w:type="dxa"/>
          <w:left w:w="15" w:type="dxa"/>
          <w:bottom w:w="15" w:type="dxa"/>
          <w:right w:w="15" w:type="dxa"/>
        </w:tblCellMar>
      </w:tblPr>
      <w:tblGrid>
        <w:gridCol w:w="693"/>
        <w:gridCol w:w="2516"/>
        <w:gridCol w:w="5127"/>
      </w:tblGrid>
      <w:tr>
        <w:tblPrEx>
          <w:tblCellMar>
            <w:top w:w="15" w:type="dxa"/>
            <w:left w:w="15" w:type="dxa"/>
            <w:bottom w:w="15" w:type="dxa"/>
            <w:right w:w="15" w:type="dxa"/>
          </w:tblCellMar>
        </w:tblPrEx>
        <w:trPr>
          <w:tblHeader/>
        </w:trPr>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序号</w:t>
            </w:r>
          </w:p>
        </w:tc>
        <w:tc>
          <w:tcPr>
            <w:tcW w:w="1509"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计划号</w:t>
            </w:r>
          </w:p>
        </w:tc>
        <w:tc>
          <w:tcPr>
            <w:tcW w:w="3075"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标准名称</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2019-0560T-MB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color w:val="000000" w:themeColor="text1"/>
                <w:kern w:val="0"/>
                <w14:textFill>
                  <w14:solidFill>
                    <w14:schemeClr w14:val="tx1"/>
                  </w14:solidFill>
                </w14:textFill>
              </w:rPr>
              <w:t>民用爆破器材分类与代码</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2</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20190063-Q-339</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color w:val="000000" w:themeColor="text1"/>
                <w:kern w:val="0"/>
                <w14:textFill>
                  <w14:solidFill>
                    <w14:schemeClr w14:val="tx1"/>
                  </w14:solidFill>
                </w14:textFill>
              </w:rPr>
              <w:t>民用爆炸物品生产、销售企业安全管理规程</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3</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20190064-Q-339</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民用爆炸物品生产专用设备安全使用年限</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4</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2019-0555T-MB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民爆行业应急管理与应急救援指南</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5</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2017-1422T-MB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工业炸药清洁生产评价指标体系</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6</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20150431-Q-339</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塑料导爆管及导爆管雷管</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7</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2019-0557T-MB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工业雷管冲击电压测试方法</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8</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2019-0559T-MB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工业</w:t>
            </w:r>
            <w:r>
              <w:rPr>
                <w:rFonts w:ascii="Times New Roman" w:hAnsi="Times New Roman" w:cs="Times New Roman"/>
                <w:color w:val="000000" w:themeColor="text1"/>
                <w:kern w:val="0"/>
                <w:szCs w:val="21"/>
                <w14:textFill>
                  <w14:solidFill>
                    <w14:schemeClr w14:val="tx1"/>
                  </w14:solidFill>
                </w14:textFill>
              </w:rPr>
              <w:t>雷管抗弯性测试方法</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9</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2019-0558T-MB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工业雷管抗跌落性能试验方法</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11</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2010-2588Q-WJ</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基础雷管远程运输中包装和装运安全技术要求</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12</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2017-1421T-MB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工业雷管清洁生产评价指标体系</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13</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2018-1353T-MB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油气井用爆破器材分类命名规则</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14</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2009-1843T-WJ</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乳化炸药用高分子乳化剂标准</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15</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2019-0556T-MB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民用爆炸物品专用生产设备通用安全技术条件</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16</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2019-0561T-MB</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民用爆炸物品生产销售企业厂内运输车要求</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17</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20193437-Q-339</w:t>
            </w:r>
          </w:p>
        </w:tc>
        <w:tc>
          <w:tcPr>
            <w:tcW w:w="3075"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left"/>
              <w:textAlignment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工业炸药通用技术条件</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18</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20203571-Q-339</w:t>
            </w:r>
          </w:p>
        </w:tc>
        <w:tc>
          <w:tcPr>
            <w:tcW w:w="3075" w:type="pct"/>
            <w:tcBorders>
              <w:top w:val="single" w:color="000000" w:sz="4" w:space="0"/>
              <w:left w:val="single" w:color="000000" w:sz="4" w:space="0"/>
              <w:bottom w:val="single" w:color="000000" w:sz="4" w:space="0"/>
              <w:right w:val="single" w:color="000000" w:sz="4" w:space="0"/>
            </w:tcBorders>
            <w:vAlign w:val="center"/>
          </w:tcPr>
          <w:p>
            <w:pPr>
              <w:spacing w:line="276" w:lineRule="auto"/>
              <w:contextualSpacing/>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工业炸药制品通用技术条件（原震源药柱）</w:t>
            </w:r>
          </w:p>
        </w:tc>
      </w:tr>
      <w:tr>
        <w:tblPrEx>
          <w:tblCellMar>
            <w:top w:w="15" w:type="dxa"/>
            <w:left w:w="15" w:type="dxa"/>
            <w:bottom w:w="15" w:type="dxa"/>
            <w:right w:w="15" w:type="dxa"/>
          </w:tblCellMar>
        </w:tblPrEx>
        <w:tc>
          <w:tcPr>
            <w:tcW w:w="416" w:type="pct"/>
            <w:tcBorders>
              <w:top w:val="single" w:color="000000" w:sz="4" w:space="0"/>
              <w:left w:val="single" w:color="000000" w:sz="4" w:space="0"/>
              <w:bottom w:val="single" w:color="000000" w:sz="4" w:space="0"/>
              <w:right w:val="single" w:color="000000" w:sz="4" w:space="0"/>
            </w:tcBorders>
            <w:vAlign w:val="bottom"/>
          </w:tcPr>
          <w:p>
            <w:pPr>
              <w:widowControl/>
              <w:spacing w:line="276" w:lineRule="auto"/>
              <w:contextualSpacing/>
              <w:jc w:val="center"/>
              <w:textAlignment w:val="bottom"/>
              <w:rPr>
                <w:rFonts w:ascii="Times New Roman" w:hAnsi="Times New Roman" w:cs="Times New Roman"/>
                <w:color w:val="000000"/>
                <w:szCs w:val="21"/>
              </w:rPr>
            </w:pPr>
            <w:r>
              <w:rPr>
                <w:rFonts w:ascii="Times New Roman" w:hAnsi="Times New Roman" w:cs="Times New Roman"/>
                <w:color w:val="000000"/>
                <w:kern w:val="0"/>
                <w:szCs w:val="21"/>
              </w:rPr>
              <w:t>19</w:t>
            </w:r>
          </w:p>
        </w:tc>
        <w:tc>
          <w:tcPr>
            <w:tcW w:w="1509" w:type="pct"/>
            <w:tcBorders>
              <w:top w:val="single" w:color="000000" w:sz="4" w:space="0"/>
              <w:left w:val="single" w:color="000000" w:sz="4" w:space="0"/>
              <w:bottom w:val="single" w:color="000000" w:sz="4" w:space="0"/>
              <w:right w:val="single" w:color="000000" w:sz="4" w:space="0"/>
            </w:tcBorders>
            <w:vAlign w:val="center"/>
          </w:tcPr>
          <w:p>
            <w:pPr>
              <w:widowControl/>
              <w:spacing w:line="276" w:lineRule="auto"/>
              <w:contextualSpacing/>
              <w:jc w:val="center"/>
              <w:textAlignment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2022-1087T-WJ</w:t>
            </w:r>
          </w:p>
        </w:tc>
        <w:tc>
          <w:tcPr>
            <w:tcW w:w="3075" w:type="pct"/>
            <w:tcBorders>
              <w:top w:val="single" w:color="000000" w:sz="4" w:space="0"/>
              <w:left w:val="single" w:color="000000" w:sz="4" w:space="0"/>
              <w:bottom w:val="single" w:color="000000" w:sz="4" w:space="0"/>
              <w:right w:val="single" w:color="000000" w:sz="4" w:space="0"/>
            </w:tcBorders>
            <w:vAlign w:val="center"/>
          </w:tcPr>
          <w:p>
            <w:pPr>
              <w:spacing w:line="276" w:lineRule="auto"/>
              <w:contextualSpacing/>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工业电子雷管</w:t>
            </w:r>
          </w:p>
        </w:tc>
      </w:tr>
    </w:tbl>
    <w:p>
      <w:pPr>
        <w:pStyle w:val="2"/>
        <w:rPr>
          <w:rFonts w:hint="eastAsia" w:ascii="Times New Roman" w:hAnsi="Times New Roman" w:eastAsia="仿宋_GB2312"/>
          <w:sz w:val="30"/>
          <w:szCs w:val="30"/>
        </w:rPr>
      </w:pPr>
    </w:p>
    <w:p>
      <w:pPr>
        <w:pStyle w:val="2"/>
        <w:rPr>
          <w:rFonts w:hint="eastAsia" w:ascii="Times New Roman" w:hAnsi="Times New Roman" w:eastAsia="仿宋_GB2312"/>
          <w:sz w:val="30"/>
          <w:szCs w:val="30"/>
        </w:rPr>
      </w:pPr>
    </w:p>
    <w:p>
      <w:pPr>
        <w:numPr>
          <w:ilvl w:val="0"/>
          <w:numId w:val="4"/>
        </w:numPr>
        <w:ind w:firstLine="643" w:firstLineChars="200"/>
        <w:outlineLvl w:val="1"/>
        <w:rPr>
          <w:rFonts w:ascii="楷体" w:hAnsi="楷体" w:eastAsia="楷体"/>
          <w:b/>
          <w:sz w:val="32"/>
          <w:szCs w:val="32"/>
        </w:rPr>
      </w:pPr>
      <w:bookmarkStart w:id="22" w:name="_Toc331"/>
      <w:r>
        <w:rPr>
          <w:rFonts w:hint="eastAsia" w:ascii="楷体" w:hAnsi="楷体" w:eastAsia="楷体"/>
          <w:b/>
          <w:sz w:val="32"/>
          <w:szCs w:val="32"/>
        </w:rPr>
        <w:t>民爆行业适用的国家标准、其他行业标准</w:t>
      </w:r>
      <w:bookmarkEnd w:id="22"/>
    </w:p>
    <w:p>
      <w:pPr>
        <w:pStyle w:val="20"/>
        <w:ind w:left="0" w:leftChars="0" w:firstLine="640" w:firstLineChars="200"/>
        <w:rPr>
          <w:rFonts w:hint="eastAsia" w:ascii="仿宋_GB2312" w:hAnsi="仿宋_GB2312" w:eastAsia="仿宋_GB2312"/>
          <w:kern w:val="2"/>
          <w:sz w:val="32"/>
          <w:szCs w:val="24"/>
        </w:rPr>
      </w:pPr>
      <w:r>
        <w:rPr>
          <w:rFonts w:hint="eastAsia" w:ascii="仿宋_GB2312" w:hAnsi="仿宋_GB2312" w:eastAsia="仿宋_GB2312"/>
          <w:kern w:val="2"/>
          <w:sz w:val="32"/>
          <w:szCs w:val="24"/>
        </w:rPr>
        <w:t>由于我国民爆行业实行分段管理，工业和信息化部负责民用爆炸物品生产、销售的安全监管，公安机关负责民用爆炸物品的购买、运输和爆破作业的安全监管。因此除民爆行业（工信部）制定的标准外，民爆行业还需执行一些通用的国家标准、机械行业标准、公安行业标准等。表3列出部分民爆行业常用其他行业标准。</w:t>
      </w:r>
    </w:p>
    <w:p>
      <w:pPr>
        <w:jc w:val="center"/>
        <w:rPr>
          <w:rFonts w:ascii="仿宋_GB2312" w:eastAsia="仿宋_GB2312"/>
          <w:sz w:val="28"/>
          <w:szCs w:val="28"/>
        </w:rPr>
      </w:pPr>
      <w:r>
        <w:rPr>
          <w:rFonts w:hint="eastAsia" w:ascii="仿宋_GB2312" w:eastAsia="仿宋_GB2312"/>
          <w:sz w:val="28"/>
          <w:szCs w:val="28"/>
        </w:rPr>
        <w:t>表3  民爆行业需执行的其他行业标准</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05"/>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1" w:type="dxa"/>
          </w:tcPr>
          <w:p>
            <w:pPr>
              <w:jc w:val="center"/>
              <w:rPr>
                <w:rFonts w:ascii="Times New Roman" w:hAnsi="Times New Roman" w:cs="Times New Roman"/>
                <w:szCs w:val="21"/>
              </w:rPr>
            </w:pPr>
            <w:r>
              <w:rPr>
                <w:rFonts w:ascii="Times New Roman" w:hAnsi="Times New Roman" w:cs="Times New Roman"/>
                <w:szCs w:val="21"/>
              </w:rPr>
              <w:t>序号</w:t>
            </w:r>
          </w:p>
        </w:tc>
        <w:tc>
          <w:tcPr>
            <w:tcW w:w="2505" w:type="dxa"/>
          </w:tcPr>
          <w:p>
            <w:pPr>
              <w:jc w:val="center"/>
              <w:rPr>
                <w:rFonts w:ascii="Times New Roman" w:hAnsi="Times New Roman" w:cs="Times New Roman"/>
                <w:szCs w:val="21"/>
              </w:rPr>
            </w:pPr>
            <w:r>
              <w:rPr>
                <w:rFonts w:ascii="Times New Roman" w:hAnsi="Times New Roman" w:cs="Times New Roman"/>
                <w:szCs w:val="21"/>
              </w:rPr>
              <w:t>标准号</w:t>
            </w:r>
          </w:p>
        </w:tc>
        <w:tc>
          <w:tcPr>
            <w:tcW w:w="5499" w:type="dxa"/>
          </w:tcPr>
          <w:p>
            <w:pPr>
              <w:jc w:val="center"/>
              <w:rPr>
                <w:rFonts w:ascii="Times New Roman" w:hAnsi="Times New Roman" w:cs="Times New Roman"/>
                <w:szCs w:val="21"/>
              </w:rPr>
            </w:pPr>
            <w:r>
              <w:rPr>
                <w:rFonts w:ascii="Times New Roman" w:hAnsi="Times New Roman" w:cs="Times New Roman"/>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jc w:val="center"/>
              <w:rPr>
                <w:rFonts w:ascii="Times New Roman" w:hAnsi="Times New Roman" w:cs="Times New Roman"/>
                <w:szCs w:val="21"/>
              </w:rPr>
            </w:pPr>
            <w:r>
              <w:rPr>
                <w:rFonts w:ascii="Times New Roman" w:hAnsi="Times New Roman" w:cs="Times New Roman"/>
                <w:szCs w:val="21"/>
              </w:rPr>
              <w:t>1</w:t>
            </w:r>
          </w:p>
        </w:tc>
        <w:tc>
          <w:tcPr>
            <w:tcW w:w="2505" w:type="dxa"/>
          </w:tcPr>
          <w:p>
            <w:pPr>
              <w:jc w:val="left"/>
              <w:rPr>
                <w:rFonts w:ascii="Times New Roman" w:hAnsi="Times New Roman" w:cs="Times New Roman"/>
                <w:szCs w:val="21"/>
              </w:rPr>
            </w:pPr>
            <w:r>
              <w:rPr>
                <w:rFonts w:ascii="Times New Roman" w:hAnsi="Times New Roman" w:cs="Times New Roman"/>
                <w:szCs w:val="21"/>
              </w:rPr>
              <w:t>GB 2893-2008</w:t>
            </w:r>
          </w:p>
        </w:tc>
        <w:tc>
          <w:tcPr>
            <w:tcW w:w="5499" w:type="dxa"/>
          </w:tcPr>
          <w:p>
            <w:pPr>
              <w:jc w:val="left"/>
              <w:rPr>
                <w:rFonts w:ascii="Times New Roman" w:hAnsi="Times New Roman" w:cs="Times New Roman"/>
                <w:szCs w:val="21"/>
              </w:rPr>
            </w:pPr>
            <w:r>
              <w:rPr>
                <w:rFonts w:ascii="Times New Roman" w:hAnsi="Times New Roman" w:cs="Times New Roman"/>
                <w:szCs w:val="21"/>
              </w:rPr>
              <w:t>安全色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jc w:val="center"/>
              <w:rPr>
                <w:rFonts w:ascii="Times New Roman" w:hAnsi="Times New Roman" w:cs="Times New Roman"/>
                <w:szCs w:val="21"/>
              </w:rPr>
            </w:pPr>
            <w:r>
              <w:rPr>
                <w:rFonts w:ascii="Times New Roman" w:hAnsi="Times New Roman" w:cs="Times New Roman"/>
                <w:szCs w:val="21"/>
              </w:rPr>
              <w:t>2</w:t>
            </w:r>
          </w:p>
        </w:tc>
        <w:tc>
          <w:tcPr>
            <w:tcW w:w="2505" w:type="dxa"/>
          </w:tcPr>
          <w:p>
            <w:pPr>
              <w:jc w:val="left"/>
              <w:rPr>
                <w:rFonts w:ascii="Times New Roman" w:hAnsi="Times New Roman" w:cs="Times New Roman"/>
                <w:szCs w:val="21"/>
              </w:rPr>
            </w:pPr>
            <w:r>
              <w:rPr>
                <w:rFonts w:ascii="Times New Roman" w:hAnsi="Times New Roman" w:cs="Times New Roman"/>
                <w:szCs w:val="21"/>
              </w:rPr>
              <w:t>GB 2894-2008</w:t>
            </w:r>
          </w:p>
        </w:tc>
        <w:tc>
          <w:tcPr>
            <w:tcW w:w="5499" w:type="dxa"/>
          </w:tcPr>
          <w:p>
            <w:pPr>
              <w:jc w:val="left"/>
              <w:rPr>
                <w:rFonts w:ascii="Times New Roman" w:hAnsi="Times New Roman" w:cs="Times New Roman"/>
                <w:szCs w:val="21"/>
              </w:rPr>
            </w:pPr>
            <w:r>
              <w:rPr>
                <w:rFonts w:ascii="Times New Roman" w:hAnsi="Times New Roman" w:cs="Times New Roman"/>
                <w:szCs w:val="21"/>
              </w:rPr>
              <w:t>安全标志及使用导则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jc w:val="center"/>
              <w:rPr>
                <w:rFonts w:ascii="Times New Roman" w:hAnsi="Times New Roman" w:cs="Times New Roman"/>
                <w:szCs w:val="21"/>
              </w:rPr>
            </w:pPr>
            <w:r>
              <w:rPr>
                <w:rFonts w:ascii="Times New Roman" w:hAnsi="Times New Roman" w:cs="Times New Roman"/>
                <w:szCs w:val="21"/>
              </w:rPr>
              <w:t>3</w:t>
            </w:r>
          </w:p>
        </w:tc>
        <w:tc>
          <w:tcPr>
            <w:tcW w:w="2505" w:type="dxa"/>
          </w:tcPr>
          <w:p>
            <w:pPr>
              <w:jc w:val="left"/>
              <w:rPr>
                <w:rFonts w:ascii="Times New Roman" w:hAnsi="Times New Roman" w:cs="Times New Roman"/>
                <w:szCs w:val="21"/>
              </w:rPr>
            </w:pPr>
            <w:r>
              <w:rPr>
                <w:rFonts w:hint="eastAsia" w:ascii="宋体" w:hAnsi="宋体" w:cs="宋体"/>
                <w:szCs w:val="21"/>
              </w:rPr>
              <w:t>GB6441-86</w:t>
            </w:r>
          </w:p>
        </w:tc>
        <w:tc>
          <w:tcPr>
            <w:tcW w:w="5499" w:type="dxa"/>
          </w:tcPr>
          <w:p>
            <w:pPr>
              <w:jc w:val="left"/>
              <w:rPr>
                <w:rFonts w:ascii="Times New Roman" w:hAnsi="Times New Roman" w:cs="Times New Roman"/>
                <w:szCs w:val="21"/>
              </w:rPr>
            </w:pPr>
            <w:r>
              <w:rPr>
                <w:rFonts w:hint="eastAsia" w:ascii="宋体" w:hAnsi="宋体" w:cs="宋体"/>
                <w:szCs w:val="21"/>
              </w:rPr>
              <w:t>企业职工伤亡事故分类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w:t>
            </w:r>
          </w:p>
        </w:tc>
        <w:tc>
          <w:tcPr>
            <w:tcW w:w="2505" w:type="dxa"/>
          </w:tcPr>
          <w:p>
            <w:pPr>
              <w:jc w:val="left"/>
              <w:rPr>
                <w:rFonts w:ascii="Times New Roman" w:hAnsi="Times New Roman" w:cs="Times New Roman"/>
                <w:szCs w:val="21"/>
              </w:rPr>
            </w:pPr>
            <w:r>
              <w:rPr>
                <w:rFonts w:ascii="Times New Roman" w:hAnsi="Times New Roman" w:cs="Times New Roman"/>
                <w:szCs w:val="21"/>
              </w:rPr>
              <w:t>GB 11651-2008</w:t>
            </w:r>
          </w:p>
        </w:tc>
        <w:tc>
          <w:tcPr>
            <w:tcW w:w="5499" w:type="dxa"/>
          </w:tcPr>
          <w:p>
            <w:pPr>
              <w:jc w:val="left"/>
              <w:rPr>
                <w:rFonts w:ascii="Times New Roman" w:hAnsi="Times New Roman" w:cs="Times New Roman"/>
                <w:szCs w:val="21"/>
              </w:rPr>
            </w:pPr>
            <w:r>
              <w:rPr>
                <w:rFonts w:ascii="Times New Roman" w:hAnsi="Times New Roman" w:cs="Times New Roman"/>
                <w:szCs w:val="21"/>
              </w:rPr>
              <w:t>个人防护用品装备选用规范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5</w:t>
            </w:r>
          </w:p>
        </w:tc>
        <w:tc>
          <w:tcPr>
            <w:tcW w:w="2505" w:type="dxa"/>
          </w:tcPr>
          <w:p>
            <w:pPr>
              <w:jc w:val="left"/>
              <w:rPr>
                <w:rFonts w:ascii="Times New Roman" w:hAnsi="Times New Roman" w:cs="Times New Roman"/>
                <w:szCs w:val="21"/>
              </w:rPr>
            </w:pPr>
            <w:r>
              <w:rPr>
                <w:rFonts w:hint="eastAsia" w:ascii="宋体" w:hAnsi="宋体" w:cs="宋体"/>
                <w:szCs w:val="21"/>
              </w:rPr>
              <w:t>GB/T13861-2022</w:t>
            </w:r>
          </w:p>
        </w:tc>
        <w:tc>
          <w:tcPr>
            <w:tcW w:w="5499" w:type="dxa"/>
          </w:tcPr>
          <w:p>
            <w:pPr>
              <w:rPr>
                <w:rFonts w:ascii="Times New Roman" w:hAnsi="Times New Roman" w:cs="Times New Roman"/>
                <w:szCs w:val="21"/>
              </w:rPr>
            </w:pPr>
            <w:r>
              <w:rPr>
                <w:rFonts w:hint="eastAsia" w:ascii="宋体" w:hAnsi="宋体" w:cs="宋体"/>
                <w:szCs w:val="21"/>
              </w:rPr>
              <w:t>生产过程危险和有害因素分类与代码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6</w:t>
            </w:r>
          </w:p>
        </w:tc>
        <w:tc>
          <w:tcPr>
            <w:tcW w:w="2505" w:type="dxa"/>
          </w:tcPr>
          <w:p>
            <w:pPr>
              <w:jc w:val="left"/>
              <w:rPr>
                <w:rFonts w:ascii="Times New Roman" w:hAnsi="Times New Roman" w:cs="Times New Roman"/>
                <w:szCs w:val="21"/>
              </w:rPr>
            </w:pPr>
            <w:r>
              <w:rPr>
                <w:rFonts w:ascii="Times New Roman" w:hAnsi="Times New Roman" w:cs="Times New Roman"/>
                <w:szCs w:val="21"/>
              </w:rPr>
              <w:t>GB 18218-2018</w:t>
            </w:r>
          </w:p>
        </w:tc>
        <w:tc>
          <w:tcPr>
            <w:tcW w:w="5499" w:type="dxa"/>
          </w:tcPr>
          <w:p>
            <w:pPr>
              <w:jc w:val="left"/>
              <w:rPr>
                <w:rFonts w:ascii="Times New Roman" w:hAnsi="Times New Roman" w:cs="Times New Roman"/>
                <w:szCs w:val="21"/>
              </w:rPr>
            </w:pPr>
            <w:r>
              <w:rPr>
                <w:rFonts w:ascii="Times New Roman" w:hAnsi="Times New Roman" w:cs="Times New Roman"/>
                <w:szCs w:val="21"/>
              </w:rPr>
              <w:t>危险化学品重大危险源辨识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7</w:t>
            </w:r>
          </w:p>
        </w:tc>
        <w:tc>
          <w:tcPr>
            <w:tcW w:w="2505" w:type="dxa"/>
          </w:tcPr>
          <w:p>
            <w:pPr>
              <w:jc w:val="left"/>
              <w:rPr>
                <w:rFonts w:ascii="Times New Roman" w:hAnsi="Times New Roman" w:cs="Times New Roman"/>
                <w:szCs w:val="21"/>
              </w:rPr>
            </w:pPr>
            <w:r>
              <w:rPr>
                <w:rFonts w:ascii="Times New Roman" w:hAnsi="Times New Roman" w:cs="Times New Roman"/>
                <w:szCs w:val="21"/>
              </w:rPr>
              <w:t>GB 50016-201</w:t>
            </w:r>
            <w:r>
              <w:rPr>
                <w:rFonts w:hint="eastAsia" w:ascii="Times New Roman" w:hAnsi="Times New Roman" w:cs="Times New Roman"/>
                <w:szCs w:val="21"/>
              </w:rPr>
              <w:t>8</w:t>
            </w:r>
          </w:p>
        </w:tc>
        <w:tc>
          <w:tcPr>
            <w:tcW w:w="5499" w:type="dxa"/>
          </w:tcPr>
          <w:p>
            <w:pPr>
              <w:jc w:val="left"/>
              <w:rPr>
                <w:rFonts w:ascii="Times New Roman" w:hAnsi="Times New Roman" w:cs="Times New Roman"/>
                <w:szCs w:val="21"/>
              </w:rPr>
            </w:pPr>
            <w:r>
              <w:rPr>
                <w:rFonts w:ascii="Times New Roman" w:hAnsi="Times New Roman" w:cs="Times New Roman"/>
                <w:szCs w:val="21"/>
              </w:rPr>
              <w:t>建筑设计防火规范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8</w:t>
            </w:r>
          </w:p>
        </w:tc>
        <w:tc>
          <w:tcPr>
            <w:tcW w:w="2505" w:type="dxa"/>
          </w:tcPr>
          <w:p>
            <w:pPr>
              <w:jc w:val="left"/>
              <w:rPr>
                <w:rFonts w:ascii="Times New Roman" w:hAnsi="Times New Roman" w:cs="Times New Roman"/>
                <w:szCs w:val="21"/>
              </w:rPr>
            </w:pPr>
            <w:r>
              <w:rPr>
                <w:rFonts w:ascii="Times New Roman" w:hAnsi="Times New Roman" w:cs="Times New Roman"/>
                <w:szCs w:val="21"/>
              </w:rPr>
              <w:t>GB 50057-2010</w:t>
            </w:r>
          </w:p>
        </w:tc>
        <w:tc>
          <w:tcPr>
            <w:tcW w:w="5499" w:type="dxa"/>
          </w:tcPr>
          <w:p>
            <w:pPr>
              <w:jc w:val="left"/>
              <w:rPr>
                <w:rFonts w:ascii="Times New Roman" w:hAnsi="Times New Roman" w:cs="Times New Roman"/>
                <w:szCs w:val="21"/>
              </w:rPr>
            </w:pPr>
            <w:r>
              <w:rPr>
                <w:rFonts w:ascii="Times New Roman" w:hAnsi="Times New Roman" w:cs="Times New Roman"/>
                <w:szCs w:val="21"/>
              </w:rPr>
              <w:t>建筑物防雷设计规范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9</w:t>
            </w:r>
          </w:p>
        </w:tc>
        <w:tc>
          <w:tcPr>
            <w:tcW w:w="2505" w:type="dxa"/>
          </w:tcPr>
          <w:p>
            <w:pPr>
              <w:jc w:val="left"/>
              <w:rPr>
                <w:rFonts w:ascii="Times New Roman" w:hAnsi="Times New Roman" w:cs="Times New Roman"/>
                <w:szCs w:val="21"/>
              </w:rPr>
            </w:pPr>
            <w:r>
              <w:rPr>
                <w:rFonts w:ascii="Times New Roman" w:hAnsi="Times New Roman" w:cs="Times New Roman"/>
                <w:szCs w:val="21"/>
              </w:rPr>
              <w:t>GB 50140-2005</w:t>
            </w:r>
          </w:p>
        </w:tc>
        <w:tc>
          <w:tcPr>
            <w:tcW w:w="5499" w:type="dxa"/>
          </w:tcPr>
          <w:p>
            <w:pPr>
              <w:jc w:val="left"/>
              <w:rPr>
                <w:rFonts w:ascii="Times New Roman" w:hAnsi="Times New Roman" w:cs="Times New Roman"/>
                <w:szCs w:val="21"/>
              </w:rPr>
            </w:pPr>
            <w:r>
              <w:rPr>
                <w:rFonts w:ascii="Times New Roman" w:hAnsi="Times New Roman" w:cs="Times New Roman"/>
                <w:szCs w:val="21"/>
              </w:rPr>
              <w:t>建筑灭火器配置设计规范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10</w:t>
            </w:r>
          </w:p>
        </w:tc>
        <w:tc>
          <w:tcPr>
            <w:tcW w:w="2505" w:type="dxa"/>
          </w:tcPr>
          <w:p>
            <w:pPr>
              <w:jc w:val="left"/>
              <w:rPr>
                <w:rFonts w:ascii="Times New Roman" w:hAnsi="Times New Roman" w:cs="Times New Roman"/>
                <w:szCs w:val="21"/>
              </w:rPr>
            </w:pPr>
            <w:r>
              <w:rPr>
                <w:rFonts w:ascii="Times New Roman" w:hAnsi="Times New Roman" w:cs="Times New Roman"/>
                <w:szCs w:val="21"/>
              </w:rPr>
              <w:t>GB 50154-2009</w:t>
            </w:r>
          </w:p>
        </w:tc>
        <w:tc>
          <w:tcPr>
            <w:tcW w:w="5499" w:type="dxa"/>
          </w:tcPr>
          <w:p>
            <w:pPr>
              <w:jc w:val="left"/>
              <w:rPr>
                <w:rFonts w:ascii="Times New Roman" w:hAnsi="Times New Roman" w:cs="Times New Roman"/>
                <w:szCs w:val="21"/>
              </w:rPr>
            </w:pPr>
            <w:r>
              <w:rPr>
                <w:rFonts w:ascii="Times New Roman" w:hAnsi="Times New Roman" w:cs="Times New Roman"/>
                <w:szCs w:val="21"/>
              </w:rPr>
              <w:t>地下及覆土火药炸药仓库设计安全规范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11</w:t>
            </w:r>
          </w:p>
        </w:tc>
        <w:tc>
          <w:tcPr>
            <w:tcW w:w="2505" w:type="dxa"/>
          </w:tcPr>
          <w:p>
            <w:pPr>
              <w:jc w:val="left"/>
              <w:rPr>
                <w:rFonts w:ascii="Times New Roman" w:hAnsi="Times New Roman" w:cs="Times New Roman"/>
                <w:szCs w:val="21"/>
              </w:rPr>
            </w:pPr>
            <w:r>
              <w:rPr>
                <w:rFonts w:hint="eastAsia" w:ascii="Times New Roman" w:hAnsi="Times New Roman" w:cs="Times New Roman"/>
                <w:szCs w:val="21"/>
              </w:rPr>
              <w:t>GB/T2945-2017</w:t>
            </w:r>
          </w:p>
        </w:tc>
        <w:tc>
          <w:tcPr>
            <w:tcW w:w="5499" w:type="dxa"/>
          </w:tcPr>
          <w:p>
            <w:pPr>
              <w:jc w:val="left"/>
              <w:rPr>
                <w:rFonts w:ascii="Times New Roman" w:hAnsi="Times New Roman" w:cs="Times New Roman"/>
                <w:szCs w:val="21"/>
              </w:rPr>
            </w:pPr>
            <w:r>
              <w:rPr>
                <w:rFonts w:hint="eastAsia" w:ascii="宋体" w:hAnsi="宋体" w:cs="宋体"/>
                <w:szCs w:val="21"/>
              </w:rPr>
              <w:t>硝酸铵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12</w:t>
            </w:r>
          </w:p>
        </w:tc>
        <w:tc>
          <w:tcPr>
            <w:tcW w:w="2505" w:type="dxa"/>
          </w:tcPr>
          <w:p>
            <w:pPr>
              <w:jc w:val="left"/>
              <w:rPr>
                <w:rFonts w:hint="eastAsia" w:ascii="Times New Roman" w:hAnsi="Times New Roman" w:cs="Times New Roman"/>
                <w:szCs w:val="21"/>
              </w:rPr>
            </w:pPr>
            <w:r>
              <w:rPr>
                <w:rFonts w:hint="eastAsia" w:ascii="Times New Roman" w:hAnsi="Times New Roman" w:cs="Times New Roman"/>
                <w:szCs w:val="21"/>
              </w:rPr>
              <w:t>GB/T29639-2020</w:t>
            </w:r>
          </w:p>
        </w:tc>
        <w:tc>
          <w:tcPr>
            <w:tcW w:w="5499" w:type="dxa"/>
          </w:tcPr>
          <w:p>
            <w:pPr>
              <w:rPr>
                <w:rFonts w:hint="eastAsia" w:ascii="宋体" w:hAnsi="宋体" w:cs="宋体"/>
                <w:szCs w:val="21"/>
              </w:rPr>
            </w:pPr>
            <w:r>
              <w:rPr>
                <w:rFonts w:hint="eastAsia" w:ascii="宋体" w:hAnsi="宋体" w:cs="宋体"/>
                <w:szCs w:val="21"/>
              </w:rPr>
              <w:t>生产经营单位生产安全事故应急预案编制导则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13</w:t>
            </w:r>
          </w:p>
        </w:tc>
        <w:tc>
          <w:tcPr>
            <w:tcW w:w="2505" w:type="dxa"/>
          </w:tcPr>
          <w:p>
            <w:pPr>
              <w:jc w:val="left"/>
              <w:rPr>
                <w:rFonts w:ascii="Times New Roman" w:hAnsi="Times New Roman" w:cs="Times New Roman"/>
              </w:rPr>
            </w:pPr>
            <w:r>
              <w:rPr>
                <w:rFonts w:ascii="Times New Roman" w:hAnsi="Times New Roman" w:cs="Times New Roman"/>
              </w:rPr>
              <w:t>AQ 3003-2005</w:t>
            </w:r>
          </w:p>
        </w:tc>
        <w:tc>
          <w:tcPr>
            <w:tcW w:w="5499" w:type="dxa"/>
          </w:tcPr>
          <w:p>
            <w:pPr>
              <w:rPr>
                <w:rFonts w:ascii="Times New Roman" w:hAnsi="Times New Roman" w:cs="Times New Roman"/>
                <w:szCs w:val="21"/>
              </w:rPr>
            </w:pPr>
            <w:r>
              <w:rPr>
                <w:rFonts w:ascii="Times New Roman" w:hAnsi="Times New Roman" w:cs="Times New Roman"/>
              </w:rPr>
              <w:t>危险化学品汽车运输安全监控系统通用规范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14</w:t>
            </w:r>
          </w:p>
        </w:tc>
        <w:tc>
          <w:tcPr>
            <w:tcW w:w="2505" w:type="dxa"/>
          </w:tcPr>
          <w:p>
            <w:pPr>
              <w:jc w:val="left"/>
              <w:rPr>
                <w:rFonts w:ascii="Times New Roman" w:hAnsi="Times New Roman" w:cs="Times New Roman"/>
              </w:rPr>
            </w:pPr>
            <w:r>
              <w:rPr>
                <w:rFonts w:ascii="Times New Roman" w:hAnsi="Times New Roman" w:cs="Times New Roman"/>
              </w:rPr>
              <w:t>AQ 3004-2005</w:t>
            </w:r>
          </w:p>
        </w:tc>
        <w:tc>
          <w:tcPr>
            <w:tcW w:w="5499" w:type="dxa"/>
          </w:tcPr>
          <w:p>
            <w:pPr>
              <w:jc w:val="left"/>
              <w:rPr>
                <w:rFonts w:ascii="Times New Roman" w:hAnsi="Times New Roman" w:cs="Times New Roman"/>
                <w:szCs w:val="21"/>
              </w:rPr>
            </w:pPr>
            <w:r>
              <w:rPr>
                <w:rFonts w:ascii="Times New Roman" w:hAnsi="Times New Roman" w:cs="Times New Roman"/>
              </w:rPr>
              <w:t>危险化学品汽车运输安全监控车载终端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15</w:t>
            </w:r>
          </w:p>
        </w:tc>
        <w:tc>
          <w:tcPr>
            <w:tcW w:w="2505" w:type="dxa"/>
          </w:tcPr>
          <w:p>
            <w:pPr>
              <w:jc w:val="left"/>
              <w:rPr>
                <w:rFonts w:ascii="Times New Roman" w:hAnsi="Times New Roman" w:cs="Times New Roman"/>
              </w:rPr>
            </w:pPr>
            <w:r>
              <w:rPr>
                <w:rFonts w:hint="eastAsia" w:ascii="宋体" w:hAnsi="宋体" w:cs="宋体"/>
                <w:szCs w:val="21"/>
              </w:rPr>
              <w:t>AQ8001-2007</w:t>
            </w:r>
          </w:p>
        </w:tc>
        <w:tc>
          <w:tcPr>
            <w:tcW w:w="5499" w:type="dxa"/>
          </w:tcPr>
          <w:p>
            <w:pPr>
              <w:jc w:val="left"/>
              <w:rPr>
                <w:rFonts w:ascii="Times New Roman" w:hAnsi="Times New Roman" w:cs="Times New Roman"/>
              </w:rPr>
            </w:pPr>
            <w:r>
              <w:rPr>
                <w:rFonts w:hint="eastAsia" w:ascii="宋体" w:hAnsi="宋体" w:cs="宋体"/>
                <w:szCs w:val="21"/>
              </w:rPr>
              <w:t>安全评价通则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16</w:t>
            </w:r>
          </w:p>
        </w:tc>
        <w:tc>
          <w:tcPr>
            <w:tcW w:w="2505" w:type="dxa"/>
          </w:tcPr>
          <w:p>
            <w:pPr>
              <w:jc w:val="left"/>
              <w:rPr>
                <w:rFonts w:ascii="Times New Roman" w:hAnsi="Times New Roman" w:cs="Times New Roman"/>
              </w:rPr>
            </w:pPr>
            <w:r>
              <w:rPr>
                <w:rFonts w:hint="eastAsia" w:ascii="宋体" w:hAnsi="宋体" w:cs="宋体"/>
                <w:szCs w:val="21"/>
              </w:rPr>
              <w:t>AQ8003-2007</w:t>
            </w:r>
          </w:p>
        </w:tc>
        <w:tc>
          <w:tcPr>
            <w:tcW w:w="5499" w:type="dxa"/>
          </w:tcPr>
          <w:p>
            <w:pPr>
              <w:jc w:val="left"/>
              <w:rPr>
                <w:rFonts w:ascii="Times New Roman" w:hAnsi="Times New Roman" w:cs="Times New Roman"/>
              </w:rPr>
            </w:pPr>
            <w:r>
              <w:rPr>
                <w:rFonts w:hint="eastAsia" w:ascii="宋体" w:hAnsi="宋体" w:cs="宋体"/>
                <w:szCs w:val="21"/>
              </w:rPr>
              <w:t>安全验收评价导则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17</w:t>
            </w:r>
          </w:p>
        </w:tc>
        <w:tc>
          <w:tcPr>
            <w:tcW w:w="2505" w:type="dxa"/>
          </w:tcPr>
          <w:p>
            <w:pPr>
              <w:jc w:val="left"/>
              <w:rPr>
                <w:rFonts w:ascii="Times New Roman" w:hAnsi="Times New Roman" w:cs="Times New Roman"/>
              </w:rPr>
            </w:pPr>
            <w:r>
              <w:rPr>
                <w:rFonts w:ascii="Times New Roman" w:hAnsi="Times New Roman" w:cs="Times New Roman"/>
              </w:rPr>
              <w:t>AQ/T 9005-2008</w:t>
            </w:r>
          </w:p>
        </w:tc>
        <w:tc>
          <w:tcPr>
            <w:tcW w:w="5499" w:type="dxa"/>
          </w:tcPr>
          <w:p>
            <w:pPr>
              <w:jc w:val="left"/>
              <w:rPr>
                <w:rFonts w:ascii="Times New Roman" w:hAnsi="Times New Roman" w:cs="Times New Roman"/>
                <w:szCs w:val="21"/>
              </w:rPr>
            </w:pPr>
            <w:r>
              <w:rPr>
                <w:rFonts w:ascii="Times New Roman" w:hAnsi="Times New Roman" w:cs="Times New Roman"/>
              </w:rPr>
              <w:t>企业安全文化建设评价导则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18</w:t>
            </w:r>
          </w:p>
        </w:tc>
        <w:tc>
          <w:tcPr>
            <w:tcW w:w="2505" w:type="dxa"/>
          </w:tcPr>
          <w:p>
            <w:pPr>
              <w:jc w:val="left"/>
              <w:rPr>
                <w:rFonts w:ascii="Times New Roman" w:hAnsi="Times New Roman" w:cs="Times New Roman"/>
              </w:rPr>
            </w:pPr>
            <w:r>
              <w:rPr>
                <w:rFonts w:ascii="Times New Roman" w:hAnsi="Times New Roman" w:cs="Times New Roman"/>
              </w:rPr>
              <w:t>AQ/T 9006-2010</w:t>
            </w:r>
          </w:p>
        </w:tc>
        <w:tc>
          <w:tcPr>
            <w:tcW w:w="5499" w:type="dxa"/>
          </w:tcPr>
          <w:p>
            <w:pPr>
              <w:jc w:val="left"/>
              <w:rPr>
                <w:rFonts w:ascii="Times New Roman" w:hAnsi="Times New Roman" w:cs="Times New Roman"/>
                <w:szCs w:val="21"/>
              </w:rPr>
            </w:pPr>
            <w:r>
              <w:rPr>
                <w:rFonts w:ascii="Times New Roman" w:hAnsi="Times New Roman" w:cs="Times New Roman"/>
              </w:rPr>
              <w:t>企业安全生产标准化基本规范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19</w:t>
            </w:r>
          </w:p>
        </w:tc>
        <w:tc>
          <w:tcPr>
            <w:tcW w:w="2505" w:type="dxa"/>
            <w:vAlign w:val="center"/>
          </w:tcPr>
          <w:p>
            <w:pPr>
              <w:jc w:val="left"/>
              <w:rPr>
                <w:rFonts w:ascii="Times New Roman" w:hAnsi="Times New Roman" w:cs="Times New Roman"/>
                <w:szCs w:val="21"/>
              </w:rPr>
            </w:pPr>
            <w:r>
              <w:fldChar w:fldCharType="begin"/>
            </w:r>
            <w:r>
              <w:instrText xml:space="preserve"> HYPERLINK "http://www.csres.com/detail/331725.html" \t "_blank" </w:instrText>
            </w:r>
            <w:r>
              <w:fldChar w:fldCharType="separate"/>
            </w:r>
            <w:r>
              <w:rPr>
                <w:rStyle w:val="18"/>
                <w:rFonts w:ascii="Times New Roman" w:hAnsi="Times New Roman" w:eastAsia="瀹嬩綋" w:cs="Times New Roman"/>
                <w:color w:val="auto"/>
                <w:szCs w:val="21"/>
                <w:u w:val="none"/>
              </w:rPr>
              <w:t>AQ/T 9007-2019</w:t>
            </w:r>
            <w:r>
              <w:rPr>
                <w:rStyle w:val="18"/>
                <w:rFonts w:ascii="Times New Roman" w:hAnsi="Times New Roman" w:eastAsia="瀹嬩綋" w:cs="Times New Roman"/>
                <w:color w:val="auto"/>
                <w:szCs w:val="21"/>
                <w:u w:val="none"/>
              </w:rPr>
              <w:fldChar w:fldCharType="end"/>
            </w:r>
          </w:p>
        </w:tc>
        <w:tc>
          <w:tcPr>
            <w:tcW w:w="5499" w:type="dxa"/>
          </w:tcPr>
          <w:p>
            <w:pPr>
              <w:jc w:val="left"/>
              <w:rPr>
                <w:rFonts w:ascii="Times New Roman" w:hAnsi="Times New Roman" w:cs="Times New Roman"/>
                <w:szCs w:val="21"/>
              </w:rPr>
            </w:pPr>
            <w:r>
              <w:rPr>
                <w:rFonts w:ascii="Times New Roman" w:hAnsi="Times New Roman" w:cs="Times New Roman"/>
                <w:szCs w:val="21"/>
              </w:rPr>
              <w:t>生产安全事故应急演练指南（使用至2020-02-01）</w:t>
            </w:r>
          </w:p>
          <w:p>
            <w:pPr>
              <w:jc w:val="left"/>
              <w:rPr>
                <w:rFonts w:ascii="Times New Roman" w:hAnsi="Times New Roman" w:cs="Times New Roman"/>
                <w:szCs w:val="21"/>
              </w:rPr>
            </w:pPr>
            <w:r>
              <w:rPr>
                <w:rFonts w:ascii="Times New Roman" w:hAnsi="Times New Roman" w:cs="Times New Roman"/>
                <w:szCs w:val="21"/>
              </w:rPr>
              <w:t>生产安全事故应急演练基本规范（即将实施）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20</w:t>
            </w:r>
          </w:p>
        </w:tc>
        <w:tc>
          <w:tcPr>
            <w:tcW w:w="2505" w:type="dxa"/>
          </w:tcPr>
          <w:p>
            <w:pPr>
              <w:jc w:val="left"/>
              <w:rPr>
                <w:rFonts w:ascii="Times New Roman" w:hAnsi="Times New Roman" w:cs="Times New Roman"/>
              </w:rPr>
            </w:pPr>
            <w:r>
              <w:rPr>
                <w:rFonts w:ascii="Times New Roman" w:hAnsi="Times New Roman" w:cs="Times New Roman"/>
              </w:rPr>
              <w:t>AQ/T 9008-2012</w:t>
            </w:r>
          </w:p>
        </w:tc>
        <w:tc>
          <w:tcPr>
            <w:tcW w:w="5499" w:type="dxa"/>
          </w:tcPr>
          <w:p>
            <w:pPr>
              <w:jc w:val="left"/>
              <w:rPr>
                <w:rFonts w:ascii="Times New Roman" w:hAnsi="Times New Roman" w:cs="Times New Roman"/>
                <w:szCs w:val="21"/>
              </w:rPr>
            </w:pPr>
            <w:r>
              <w:rPr>
                <w:rFonts w:ascii="Times New Roman" w:hAnsi="Times New Roman" w:cs="Times New Roman"/>
              </w:rPr>
              <w:t>安全生产应急管理人员培训及考核规范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21</w:t>
            </w:r>
          </w:p>
        </w:tc>
        <w:tc>
          <w:tcPr>
            <w:tcW w:w="2505" w:type="dxa"/>
          </w:tcPr>
          <w:p>
            <w:pPr>
              <w:jc w:val="left"/>
              <w:rPr>
                <w:rFonts w:ascii="Times New Roman" w:hAnsi="Times New Roman" w:cs="Times New Roman"/>
              </w:rPr>
            </w:pPr>
            <w:r>
              <w:rPr>
                <w:rFonts w:ascii="Times New Roman" w:hAnsi="Times New Roman" w:cs="Times New Roman"/>
              </w:rPr>
              <w:t>AQ/T 9009-2015</w:t>
            </w:r>
          </w:p>
        </w:tc>
        <w:tc>
          <w:tcPr>
            <w:tcW w:w="5499" w:type="dxa"/>
          </w:tcPr>
          <w:p>
            <w:pPr>
              <w:jc w:val="left"/>
              <w:rPr>
                <w:rFonts w:ascii="Times New Roman" w:hAnsi="Times New Roman" w:cs="Times New Roman"/>
                <w:szCs w:val="21"/>
              </w:rPr>
            </w:pPr>
            <w:r>
              <w:rPr>
                <w:rFonts w:ascii="Times New Roman" w:hAnsi="Times New Roman" w:cs="Times New Roman"/>
              </w:rPr>
              <w:t>生产安全事故应急演练评估规范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22</w:t>
            </w:r>
          </w:p>
        </w:tc>
        <w:tc>
          <w:tcPr>
            <w:tcW w:w="2505" w:type="dxa"/>
          </w:tcPr>
          <w:p>
            <w:pPr>
              <w:jc w:val="left"/>
              <w:rPr>
                <w:rFonts w:ascii="Times New Roman" w:hAnsi="Times New Roman" w:cs="Times New Roman"/>
                <w:szCs w:val="21"/>
              </w:rPr>
            </w:pPr>
            <w:r>
              <w:rPr>
                <w:rFonts w:ascii="Times New Roman" w:hAnsi="Times New Roman" w:cs="Times New Roman"/>
                <w:szCs w:val="21"/>
              </w:rPr>
              <w:t>GA 441-2003</w:t>
            </w:r>
          </w:p>
        </w:tc>
        <w:tc>
          <w:tcPr>
            <w:tcW w:w="5499" w:type="dxa"/>
          </w:tcPr>
          <w:p>
            <w:pPr>
              <w:jc w:val="left"/>
              <w:rPr>
                <w:rFonts w:ascii="Times New Roman" w:hAnsi="Times New Roman" w:cs="Times New Roman"/>
                <w:szCs w:val="21"/>
              </w:rPr>
            </w:pPr>
            <w:r>
              <w:rPr>
                <w:rFonts w:ascii="Times New Roman" w:hAnsi="Times New Roman" w:cs="Times New Roman"/>
                <w:szCs w:val="21"/>
              </w:rPr>
              <w:t>工业雷管编码通则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23</w:t>
            </w:r>
          </w:p>
        </w:tc>
        <w:tc>
          <w:tcPr>
            <w:tcW w:w="2505" w:type="dxa"/>
          </w:tcPr>
          <w:p>
            <w:pPr>
              <w:jc w:val="left"/>
              <w:rPr>
                <w:rFonts w:ascii="Times New Roman" w:hAnsi="Times New Roman" w:cs="Times New Roman"/>
                <w:szCs w:val="21"/>
              </w:rPr>
            </w:pPr>
            <w:r>
              <w:rPr>
                <w:rFonts w:ascii="Times New Roman" w:hAnsi="Times New Roman" w:cs="Times New Roman"/>
                <w:szCs w:val="21"/>
              </w:rPr>
              <w:t>GA 837-2009</w:t>
            </w:r>
          </w:p>
        </w:tc>
        <w:tc>
          <w:tcPr>
            <w:tcW w:w="5499" w:type="dxa"/>
          </w:tcPr>
          <w:p>
            <w:pPr>
              <w:jc w:val="left"/>
              <w:rPr>
                <w:rFonts w:ascii="Times New Roman" w:hAnsi="Times New Roman" w:cs="Times New Roman"/>
                <w:szCs w:val="21"/>
              </w:rPr>
            </w:pPr>
            <w:r>
              <w:rPr>
                <w:rFonts w:ascii="Times New Roman" w:hAnsi="Times New Roman" w:cs="Times New Roman"/>
                <w:szCs w:val="21"/>
              </w:rPr>
              <w:t>民用爆炸物品储存库治安防范要求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24</w:t>
            </w:r>
          </w:p>
        </w:tc>
        <w:tc>
          <w:tcPr>
            <w:tcW w:w="2505" w:type="dxa"/>
          </w:tcPr>
          <w:p>
            <w:pPr>
              <w:jc w:val="left"/>
              <w:rPr>
                <w:rFonts w:ascii="Times New Roman" w:hAnsi="Times New Roman" w:cs="Times New Roman"/>
                <w:szCs w:val="21"/>
              </w:rPr>
            </w:pPr>
            <w:r>
              <w:rPr>
                <w:rFonts w:ascii="Times New Roman" w:hAnsi="Times New Roman" w:cs="Times New Roman"/>
                <w:szCs w:val="21"/>
              </w:rPr>
              <w:t>GA 838-2009</w:t>
            </w:r>
          </w:p>
        </w:tc>
        <w:tc>
          <w:tcPr>
            <w:tcW w:w="5499" w:type="dxa"/>
          </w:tcPr>
          <w:p>
            <w:pPr>
              <w:jc w:val="left"/>
              <w:rPr>
                <w:rFonts w:ascii="Times New Roman" w:hAnsi="Times New Roman" w:cs="Times New Roman"/>
                <w:szCs w:val="21"/>
              </w:rPr>
            </w:pPr>
            <w:r>
              <w:rPr>
                <w:rFonts w:ascii="Times New Roman" w:hAnsi="Times New Roman" w:cs="Times New Roman"/>
                <w:szCs w:val="21"/>
              </w:rPr>
              <w:t>小型民用爆炸物品储存库安全规范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25</w:t>
            </w:r>
          </w:p>
        </w:tc>
        <w:tc>
          <w:tcPr>
            <w:tcW w:w="2505" w:type="dxa"/>
          </w:tcPr>
          <w:p>
            <w:pPr>
              <w:jc w:val="left"/>
              <w:rPr>
                <w:rFonts w:ascii="Times New Roman" w:hAnsi="Times New Roman" w:cs="Times New Roman"/>
                <w:szCs w:val="21"/>
              </w:rPr>
            </w:pPr>
            <w:r>
              <w:rPr>
                <w:rFonts w:ascii="Times New Roman" w:hAnsi="Times New Roman" w:cs="Times New Roman"/>
              </w:rPr>
              <w:t>GA/T 1531-2018</w:t>
            </w:r>
          </w:p>
        </w:tc>
        <w:tc>
          <w:tcPr>
            <w:tcW w:w="5499" w:type="dxa"/>
          </w:tcPr>
          <w:p>
            <w:pPr>
              <w:jc w:val="left"/>
              <w:rPr>
                <w:rFonts w:ascii="Times New Roman" w:hAnsi="Times New Roman" w:cs="Times New Roman"/>
                <w:szCs w:val="21"/>
              </w:rPr>
            </w:pPr>
            <w:r>
              <w:rPr>
                <w:rFonts w:ascii="Times New Roman" w:hAnsi="Times New Roman" w:cs="Times New Roman"/>
              </w:rPr>
              <w:t>工业电子雷管信息管理通则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26</w:t>
            </w:r>
          </w:p>
        </w:tc>
        <w:tc>
          <w:tcPr>
            <w:tcW w:w="2505" w:type="dxa"/>
          </w:tcPr>
          <w:p>
            <w:pPr>
              <w:jc w:val="left"/>
              <w:rPr>
                <w:rFonts w:ascii="Times New Roman" w:hAnsi="Times New Roman" w:cs="Times New Roman"/>
                <w:szCs w:val="21"/>
              </w:rPr>
            </w:pPr>
            <w:r>
              <w:rPr>
                <w:rFonts w:ascii="Times New Roman" w:hAnsi="Times New Roman" w:cs="Times New Roman"/>
              </w:rPr>
              <w:t>GA 1511-2018</w:t>
            </w:r>
          </w:p>
        </w:tc>
        <w:tc>
          <w:tcPr>
            <w:tcW w:w="5499" w:type="dxa"/>
          </w:tcPr>
          <w:p>
            <w:pPr>
              <w:rPr>
                <w:rFonts w:ascii="Times New Roman" w:hAnsi="Times New Roman" w:cs="Times New Roman"/>
                <w:szCs w:val="21"/>
              </w:rPr>
            </w:pPr>
            <w:r>
              <w:rPr>
                <w:rFonts w:ascii="Times New Roman" w:hAnsi="Times New Roman" w:cs="Times New Roman"/>
              </w:rPr>
              <w:t>易制爆危险化学品储存场所治安防范要求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27</w:t>
            </w:r>
          </w:p>
        </w:tc>
        <w:tc>
          <w:tcPr>
            <w:tcW w:w="2505" w:type="dxa"/>
          </w:tcPr>
          <w:p>
            <w:pPr>
              <w:jc w:val="left"/>
              <w:rPr>
                <w:rFonts w:ascii="Times New Roman" w:hAnsi="Times New Roman" w:cs="Times New Roman"/>
              </w:rPr>
            </w:pPr>
            <w:r>
              <w:rPr>
                <w:rFonts w:ascii="Times New Roman" w:hAnsi="Times New Roman" w:cs="Times New Roman"/>
              </w:rPr>
              <w:t>GA/T 536.1-2013</w:t>
            </w:r>
          </w:p>
        </w:tc>
        <w:tc>
          <w:tcPr>
            <w:tcW w:w="5499" w:type="dxa"/>
          </w:tcPr>
          <w:p>
            <w:pPr>
              <w:rPr>
                <w:rFonts w:ascii="Times New Roman" w:hAnsi="Times New Roman" w:cs="Times New Roman"/>
              </w:rPr>
            </w:pPr>
            <w:r>
              <w:rPr>
                <w:rFonts w:ascii="Times New Roman" w:hAnsi="Times New Roman" w:cs="Times New Roman"/>
              </w:rPr>
              <w:t>易燃易爆危险品 火灾危险性分级及试验方法 第1部分：火灾危险性分级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28</w:t>
            </w:r>
          </w:p>
        </w:tc>
        <w:tc>
          <w:tcPr>
            <w:tcW w:w="2505" w:type="dxa"/>
          </w:tcPr>
          <w:p>
            <w:pPr>
              <w:jc w:val="left"/>
              <w:rPr>
                <w:rFonts w:ascii="Times New Roman" w:hAnsi="Times New Roman" w:cs="Times New Roman"/>
              </w:rPr>
            </w:pPr>
            <w:r>
              <w:rPr>
                <w:rFonts w:ascii="Times New Roman" w:hAnsi="Times New Roman" w:cs="Times New Roman"/>
              </w:rPr>
              <w:t>GA/T 536.2-2005</w:t>
            </w:r>
          </w:p>
        </w:tc>
        <w:tc>
          <w:tcPr>
            <w:tcW w:w="5499" w:type="dxa"/>
          </w:tcPr>
          <w:p>
            <w:pPr>
              <w:rPr>
                <w:rFonts w:ascii="Times New Roman" w:hAnsi="Times New Roman" w:cs="Times New Roman"/>
              </w:rPr>
            </w:pPr>
            <w:r>
              <w:rPr>
                <w:rFonts w:ascii="Times New Roman" w:hAnsi="Times New Roman" w:cs="Times New Roman"/>
              </w:rPr>
              <w:t>易燃易爆危险品火灾危险性分级及试验方法 第2部分：易燃固体分及试验方法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29</w:t>
            </w:r>
          </w:p>
        </w:tc>
        <w:tc>
          <w:tcPr>
            <w:tcW w:w="2505" w:type="dxa"/>
          </w:tcPr>
          <w:p>
            <w:pPr>
              <w:jc w:val="left"/>
              <w:rPr>
                <w:rFonts w:ascii="Times New Roman" w:hAnsi="Times New Roman" w:cs="Times New Roman"/>
              </w:rPr>
            </w:pPr>
            <w:r>
              <w:rPr>
                <w:rFonts w:ascii="Times New Roman" w:hAnsi="Times New Roman" w:cs="Times New Roman"/>
              </w:rPr>
              <w:t>GA/T 536.3-2005</w:t>
            </w:r>
          </w:p>
        </w:tc>
        <w:tc>
          <w:tcPr>
            <w:tcW w:w="5499" w:type="dxa"/>
          </w:tcPr>
          <w:p>
            <w:pPr>
              <w:rPr>
                <w:rFonts w:ascii="Times New Roman" w:hAnsi="Times New Roman" w:cs="Times New Roman"/>
              </w:rPr>
            </w:pPr>
            <w:r>
              <w:rPr>
                <w:rFonts w:ascii="Times New Roman" w:hAnsi="Times New Roman" w:cs="Times New Roman"/>
              </w:rPr>
              <w:t>易燃易爆危险品火灾危险性分级及试验方法 第3部分：易于易燃的物质分级试验方法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30</w:t>
            </w:r>
          </w:p>
        </w:tc>
        <w:tc>
          <w:tcPr>
            <w:tcW w:w="2505" w:type="dxa"/>
          </w:tcPr>
          <w:p>
            <w:pPr>
              <w:jc w:val="left"/>
              <w:rPr>
                <w:rFonts w:ascii="Times New Roman" w:hAnsi="Times New Roman" w:cs="Times New Roman"/>
              </w:rPr>
            </w:pPr>
            <w:r>
              <w:rPr>
                <w:rFonts w:ascii="Times New Roman" w:hAnsi="Times New Roman" w:cs="Times New Roman"/>
              </w:rPr>
              <w:t>GA/T 536.4-2005</w:t>
            </w:r>
          </w:p>
        </w:tc>
        <w:tc>
          <w:tcPr>
            <w:tcW w:w="5499" w:type="dxa"/>
          </w:tcPr>
          <w:p>
            <w:pPr>
              <w:rPr>
                <w:rFonts w:ascii="Times New Roman" w:hAnsi="Times New Roman" w:cs="Times New Roman"/>
              </w:rPr>
            </w:pPr>
            <w:r>
              <w:rPr>
                <w:rFonts w:ascii="Times New Roman" w:hAnsi="Times New Roman" w:cs="Times New Roman"/>
              </w:rPr>
              <w:t>易燃易爆危险品火灾危险性分级及试验方法 第4部分：遇水放出易燃气体物质分级试验方法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31</w:t>
            </w:r>
          </w:p>
        </w:tc>
        <w:tc>
          <w:tcPr>
            <w:tcW w:w="2505" w:type="dxa"/>
          </w:tcPr>
          <w:p>
            <w:pPr>
              <w:jc w:val="left"/>
              <w:rPr>
                <w:rFonts w:ascii="Times New Roman" w:hAnsi="Times New Roman" w:cs="Times New Roman"/>
              </w:rPr>
            </w:pPr>
            <w:r>
              <w:rPr>
                <w:rFonts w:ascii="Times New Roman" w:hAnsi="Times New Roman" w:cs="Times New Roman"/>
              </w:rPr>
              <w:t>GA/T 536.5-2005</w:t>
            </w:r>
          </w:p>
        </w:tc>
        <w:tc>
          <w:tcPr>
            <w:tcW w:w="5499" w:type="dxa"/>
          </w:tcPr>
          <w:p>
            <w:pPr>
              <w:rPr>
                <w:rFonts w:ascii="Times New Roman" w:hAnsi="Times New Roman" w:cs="Times New Roman"/>
              </w:rPr>
            </w:pPr>
            <w:r>
              <w:rPr>
                <w:rFonts w:ascii="Times New Roman" w:hAnsi="Times New Roman" w:cs="Times New Roman"/>
              </w:rPr>
              <w:t>易燃易爆危险品火灾危险性分级及试验方法 第5部分：固体氧化性物质分级试验方法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32</w:t>
            </w:r>
          </w:p>
        </w:tc>
        <w:tc>
          <w:tcPr>
            <w:tcW w:w="2505" w:type="dxa"/>
          </w:tcPr>
          <w:p>
            <w:pPr>
              <w:jc w:val="left"/>
              <w:rPr>
                <w:rFonts w:ascii="Times New Roman" w:hAnsi="Times New Roman" w:cs="Times New Roman"/>
              </w:rPr>
            </w:pPr>
            <w:r>
              <w:rPr>
                <w:rFonts w:ascii="Times New Roman" w:hAnsi="Times New Roman" w:cs="Times New Roman"/>
              </w:rPr>
              <w:t>GA/T 536.6-2010</w:t>
            </w:r>
          </w:p>
        </w:tc>
        <w:tc>
          <w:tcPr>
            <w:tcW w:w="5499" w:type="dxa"/>
          </w:tcPr>
          <w:p>
            <w:pPr>
              <w:rPr>
                <w:rFonts w:ascii="Times New Roman" w:hAnsi="Times New Roman" w:cs="Times New Roman"/>
              </w:rPr>
            </w:pPr>
            <w:r>
              <w:rPr>
                <w:rFonts w:ascii="Times New Roman" w:hAnsi="Times New Roman" w:cs="Times New Roman"/>
              </w:rPr>
              <w:t>易燃易爆危险品火灾危险性分级及试验方法 第6部分：液体氧化性物质分级试验方法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33</w:t>
            </w:r>
          </w:p>
        </w:tc>
        <w:tc>
          <w:tcPr>
            <w:tcW w:w="2505" w:type="dxa"/>
          </w:tcPr>
          <w:p>
            <w:pPr>
              <w:jc w:val="left"/>
              <w:rPr>
                <w:rFonts w:ascii="Times New Roman" w:hAnsi="Times New Roman" w:cs="Times New Roman"/>
              </w:rPr>
            </w:pPr>
            <w:r>
              <w:rPr>
                <w:rFonts w:ascii="Times New Roman" w:hAnsi="Times New Roman" w:cs="Times New Roman"/>
              </w:rPr>
              <w:t>GA/T 536.7-2013</w:t>
            </w:r>
          </w:p>
        </w:tc>
        <w:tc>
          <w:tcPr>
            <w:tcW w:w="5499" w:type="dxa"/>
          </w:tcPr>
          <w:p>
            <w:pPr>
              <w:rPr>
                <w:rFonts w:ascii="Times New Roman" w:hAnsi="Times New Roman" w:cs="Times New Roman"/>
              </w:rPr>
            </w:pPr>
            <w:r>
              <w:rPr>
                <w:rFonts w:ascii="Times New Roman" w:hAnsi="Times New Roman" w:cs="Times New Roman"/>
              </w:rPr>
              <w:t>易燃易爆危险品火灾危险性分级及试验方法 第7部分：易燃气雾剂分级试验方法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34</w:t>
            </w:r>
          </w:p>
        </w:tc>
        <w:tc>
          <w:tcPr>
            <w:tcW w:w="2505" w:type="dxa"/>
          </w:tcPr>
          <w:p>
            <w:pPr>
              <w:jc w:val="left"/>
              <w:rPr>
                <w:rFonts w:ascii="Times New Roman" w:hAnsi="Times New Roman" w:cs="Times New Roman"/>
                <w:szCs w:val="21"/>
              </w:rPr>
            </w:pPr>
            <w:r>
              <w:rPr>
                <w:rFonts w:ascii="Times New Roman" w:hAnsi="Times New Roman" w:cs="Times New Roman"/>
              </w:rPr>
              <w:t>GA 688-2007</w:t>
            </w:r>
          </w:p>
        </w:tc>
        <w:tc>
          <w:tcPr>
            <w:tcW w:w="5499" w:type="dxa"/>
          </w:tcPr>
          <w:p>
            <w:pPr>
              <w:jc w:val="left"/>
              <w:rPr>
                <w:rFonts w:ascii="Times New Roman" w:hAnsi="Times New Roman" w:cs="Times New Roman"/>
                <w:szCs w:val="21"/>
              </w:rPr>
            </w:pPr>
            <w:r>
              <w:rPr>
                <w:rFonts w:ascii="Times New Roman" w:hAnsi="Times New Roman" w:cs="Times New Roman"/>
              </w:rPr>
              <w:t>民用爆炸物品管理信息数据项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35</w:t>
            </w:r>
          </w:p>
        </w:tc>
        <w:tc>
          <w:tcPr>
            <w:tcW w:w="2505" w:type="dxa"/>
          </w:tcPr>
          <w:p>
            <w:pPr>
              <w:jc w:val="left"/>
              <w:rPr>
                <w:rFonts w:ascii="Times New Roman" w:hAnsi="Times New Roman" w:cs="Times New Roman"/>
                <w:szCs w:val="21"/>
              </w:rPr>
            </w:pPr>
            <w:r>
              <w:rPr>
                <w:rFonts w:ascii="Times New Roman" w:hAnsi="Times New Roman" w:cs="Times New Roman"/>
              </w:rPr>
              <w:t>GA 689-2007</w:t>
            </w:r>
          </w:p>
        </w:tc>
        <w:tc>
          <w:tcPr>
            <w:tcW w:w="5499" w:type="dxa"/>
          </w:tcPr>
          <w:p>
            <w:pPr>
              <w:jc w:val="left"/>
              <w:rPr>
                <w:rFonts w:ascii="Times New Roman" w:hAnsi="Times New Roman" w:cs="Times New Roman"/>
                <w:szCs w:val="21"/>
              </w:rPr>
            </w:pPr>
            <w:r>
              <w:rPr>
                <w:rFonts w:ascii="Times New Roman" w:hAnsi="Times New Roman" w:cs="Times New Roman"/>
              </w:rPr>
              <w:t>民用爆炸物品书证信息编码规则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36</w:t>
            </w:r>
          </w:p>
        </w:tc>
        <w:tc>
          <w:tcPr>
            <w:tcW w:w="2505" w:type="dxa"/>
          </w:tcPr>
          <w:p>
            <w:pPr>
              <w:jc w:val="left"/>
              <w:rPr>
                <w:rFonts w:ascii="Times New Roman" w:hAnsi="Times New Roman" w:cs="Times New Roman"/>
                <w:szCs w:val="21"/>
              </w:rPr>
            </w:pPr>
            <w:r>
              <w:rPr>
                <w:rFonts w:ascii="Times New Roman" w:hAnsi="Times New Roman" w:cs="Times New Roman"/>
              </w:rPr>
              <w:t>GA 690.1~690.4</w:t>
            </w:r>
            <w:r>
              <w:rPr>
                <w:rFonts w:hint="eastAsia" w:ascii="Times New Roman" w:hAnsi="Times New Roman" w:cs="Times New Roman"/>
              </w:rPr>
              <w:t>—</w:t>
            </w:r>
            <w:r>
              <w:rPr>
                <w:rFonts w:ascii="Times New Roman" w:hAnsi="Times New Roman" w:cs="Times New Roman"/>
              </w:rPr>
              <w:t>2007</w:t>
            </w:r>
          </w:p>
        </w:tc>
        <w:tc>
          <w:tcPr>
            <w:tcW w:w="5499" w:type="dxa"/>
          </w:tcPr>
          <w:p>
            <w:pPr>
              <w:jc w:val="left"/>
              <w:rPr>
                <w:rFonts w:ascii="Times New Roman" w:hAnsi="Times New Roman" w:cs="Times New Roman"/>
                <w:szCs w:val="21"/>
              </w:rPr>
            </w:pPr>
            <w:r>
              <w:rPr>
                <w:rFonts w:ascii="Times New Roman" w:hAnsi="Times New Roman" w:cs="Times New Roman"/>
              </w:rPr>
              <w:t>民用爆炸物品管理信息代码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37</w:t>
            </w:r>
          </w:p>
        </w:tc>
        <w:tc>
          <w:tcPr>
            <w:tcW w:w="2505" w:type="dxa"/>
          </w:tcPr>
          <w:p>
            <w:pPr>
              <w:jc w:val="left"/>
              <w:rPr>
                <w:rFonts w:ascii="Times New Roman" w:hAnsi="Times New Roman" w:cs="Times New Roman"/>
              </w:rPr>
            </w:pPr>
            <w:r>
              <w:rPr>
                <w:rFonts w:ascii="Times New Roman" w:hAnsi="Times New Roman" w:cs="Times New Roman"/>
              </w:rPr>
              <w:t>GA/T 848-2009</w:t>
            </w:r>
          </w:p>
        </w:tc>
        <w:tc>
          <w:tcPr>
            <w:tcW w:w="5499" w:type="dxa"/>
          </w:tcPr>
          <w:p>
            <w:pPr>
              <w:jc w:val="left"/>
              <w:rPr>
                <w:rFonts w:ascii="Times New Roman" w:hAnsi="Times New Roman" w:cs="Times New Roman"/>
              </w:rPr>
            </w:pPr>
            <w:r>
              <w:rPr>
                <w:rFonts w:ascii="Times New Roman" w:hAnsi="Times New Roman" w:cs="Times New Roman"/>
              </w:rPr>
              <w:t>爆破作业单位民用爆炸物品储存库安全评价导则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38</w:t>
            </w:r>
          </w:p>
        </w:tc>
        <w:tc>
          <w:tcPr>
            <w:tcW w:w="2505" w:type="dxa"/>
          </w:tcPr>
          <w:p>
            <w:pPr>
              <w:jc w:val="left"/>
              <w:rPr>
                <w:rFonts w:ascii="Times New Roman" w:hAnsi="Times New Roman" w:cs="Times New Roman"/>
              </w:rPr>
            </w:pPr>
            <w:r>
              <w:rPr>
                <w:rFonts w:ascii="Times New Roman" w:hAnsi="Times New Roman" w:cs="Times New Roman"/>
              </w:rPr>
              <w:t>GA 921-2011</w:t>
            </w:r>
          </w:p>
        </w:tc>
        <w:tc>
          <w:tcPr>
            <w:tcW w:w="5499" w:type="dxa"/>
          </w:tcPr>
          <w:p>
            <w:pPr>
              <w:jc w:val="left"/>
              <w:rPr>
                <w:rFonts w:ascii="Times New Roman" w:hAnsi="Times New Roman" w:cs="Times New Roman"/>
              </w:rPr>
            </w:pPr>
            <w:r>
              <w:rPr>
                <w:rFonts w:ascii="Times New Roman" w:hAnsi="Times New Roman" w:cs="Times New Roman"/>
              </w:rPr>
              <w:t>民用爆炸物品警示标识、登记标记通则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39</w:t>
            </w:r>
          </w:p>
        </w:tc>
        <w:tc>
          <w:tcPr>
            <w:tcW w:w="2505" w:type="dxa"/>
          </w:tcPr>
          <w:p>
            <w:pPr>
              <w:jc w:val="left"/>
              <w:rPr>
                <w:rFonts w:ascii="Times New Roman" w:hAnsi="Times New Roman" w:cs="Times New Roman"/>
                <w:szCs w:val="21"/>
              </w:rPr>
            </w:pPr>
            <w:r>
              <w:rPr>
                <w:rFonts w:ascii="Times New Roman" w:hAnsi="Times New Roman" w:cs="Times New Roman"/>
                <w:szCs w:val="21"/>
              </w:rPr>
              <w:t>JB/T 2478-2012</w:t>
            </w:r>
          </w:p>
        </w:tc>
        <w:tc>
          <w:tcPr>
            <w:tcW w:w="5499" w:type="dxa"/>
          </w:tcPr>
          <w:p>
            <w:pPr>
              <w:jc w:val="left"/>
              <w:rPr>
                <w:rFonts w:ascii="Times New Roman" w:hAnsi="Times New Roman" w:cs="Times New Roman"/>
                <w:szCs w:val="21"/>
              </w:rPr>
            </w:pPr>
            <w:r>
              <w:rPr>
                <w:rFonts w:ascii="Times New Roman" w:hAnsi="Times New Roman" w:cs="Times New Roman"/>
                <w:szCs w:val="21"/>
              </w:rPr>
              <w:t>装药器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40</w:t>
            </w:r>
          </w:p>
        </w:tc>
        <w:tc>
          <w:tcPr>
            <w:tcW w:w="2505" w:type="dxa"/>
          </w:tcPr>
          <w:p>
            <w:pPr>
              <w:jc w:val="left"/>
              <w:rPr>
                <w:rFonts w:ascii="Times New Roman" w:hAnsi="Times New Roman" w:cs="Times New Roman"/>
                <w:szCs w:val="21"/>
              </w:rPr>
            </w:pPr>
            <w:r>
              <w:rPr>
                <w:rFonts w:ascii="Times New Roman" w:hAnsi="Times New Roman" w:cs="Times New Roman"/>
                <w:szCs w:val="21"/>
              </w:rPr>
              <w:t>JB/T 8432.1-2018</w:t>
            </w:r>
          </w:p>
        </w:tc>
        <w:tc>
          <w:tcPr>
            <w:tcW w:w="5499" w:type="dxa"/>
          </w:tcPr>
          <w:p>
            <w:pPr>
              <w:jc w:val="left"/>
              <w:rPr>
                <w:rFonts w:ascii="Times New Roman" w:hAnsi="Times New Roman" w:cs="Times New Roman"/>
                <w:szCs w:val="21"/>
              </w:rPr>
            </w:pPr>
            <w:r>
              <w:rPr>
                <w:rFonts w:ascii="Times New Roman" w:hAnsi="Times New Roman" w:cs="Times New Roman"/>
                <w:szCs w:val="21"/>
              </w:rPr>
              <w:t>现场混装炸药车 第1部分：重铵油炸药型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41</w:t>
            </w:r>
          </w:p>
        </w:tc>
        <w:tc>
          <w:tcPr>
            <w:tcW w:w="2505" w:type="dxa"/>
          </w:tcPr>
          <w:p>
            <w:pPr>
              <w:jc w:val="left"/>
              <w:rPr>
                <w:rFonts w:ascii="Times New Roman" w:hAnsi="Times New Roman" w:cs="Times New Roman"/>
                <w:szCs w:val="21"/>
              </w:rPr>
            </w:pPr>
            <w:r>
              <w:rPr>
                <w:rFonts w:ascii="Times New Roman" w:hAnsi="Times New Roman" w:cs="Times New Roman"/>
                <w:szCs w:val="21"/>
              </w:rPr>
              <w:t>JB/T 8432.2-2018</w:t>
            </w:r>
          </w:p>
        </w:tc>
        <w:tc>
          <w:tcPr>
            <w:tcW w:w="5499" w:type="dxa"/>
          </w:tcPr>
          <w:p>
            <w:pPr>
              <w:jc w:val="left"/>
              <w:rPr>
                <w:rFonts w:ascii="Times New Roman" w:hAnsi="Times New Roman" w:cs="Times New Roman"/>
                <w:szCs w:val="21"/>
              </w:rPr>
            </w:pPr>
            <w:r>
              <w:rPr>
                <w:rFonts w:ascii="Times New Roman" w:hAnsi="Times New Roman" w:cs="Times New Roman"/>
                <w:szCs w:val="21"/>
              </w:rPr>
              <w:t>现场混装炸药车 第2部分：粒状铵油炸药型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42</w:t>
            </w:r>
          </w:p>
        </w:tc>
        <w:tc>
          <w:tcPr>
            <w:tcW w:w="2505" w:type="dxa"/>
          </w:tcPr>
          <w:p>
            <w:pPr>
              <w:jc w:val="left"/>
              <w:rPr>
                <w:rFonts w:ascii="Times New Roman" w:hAnsi="Times New Roman" w:cs="Times New Roman"/>
                <w:szCs w:val="21"/>
              </w:rPr>
            </w:pPr>
            <w:r>
              <w:rPr>
                <w:rFonts w:ascii="Times New Roman" w:hAnsi="Times New Roman" w:cs="Times New Roman"/>
                <w:szCs w:val="21"/>
              </w:rPr>
              <w:t>JB/T 8432.3-2018</w:t>
            </w:r>
          </w:p>
        </w:tc>
        <w:tc>
          <w:tcPr>
            <w:tcW w:w="5499" w:type="dxa"/>
          </w:tcPr>
          <w:p>
            <w:pPr>
              <w:jc w:val="left"/>
              <w:rPr>
                <w:rFonts w:ascii="Times New Roman" w:hAnsi="Times New Roman" w:cs="Times New Roman"/>
                <w:szCs w:val="21"/>
              </w:rPr>
            </w:pPr>
            <w:r>
              <w:rPr>
                <w:rFonts w:ascii="Times New Roman" w:hAnsi="Times New Roman" w:cs="Times New Roman"/>
                <w:szCs w:val="21"/>
              </w:rPr>
              <w:t>现场混装炸药车 第2部分：粒状铵油炸药型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43</w:t>
            </w:r>
          </w:p>
        </w:tc>
        <w:tc>
          <w:tcPr>
            <w:tcW w:w="2505" w:type="dxa"/>
          </w:tcPr>
          <w:p>
            <w:pPr>
              <w:jc w:val="left"/>
              <w:rPr>
                <w:rFonts w:ascii="Times New Roman" w:hAnsi="Times New Roman" w:cs="Times New Roman"/>
                <w:szCs w:val="21"/>
              </w:rPr>
            </w:pPr>
            <w:r>
              <w:rPr>
                <w:rFonts w:ascii="Times New Roman" w:hAnsi="Times New Roman" w:cs="Times New Roman"/>
                <w:szCs w:val="21"/>
              </w:rPr>
              <w:t>JB/T 8433-2018</w:t>
            </w:r>
          </w:p>
        </w:tc>
        <w:tc>
          <w:tcPr>
            <w:tcW w:w="5499" w:type="dxa"/>
          </w:tcPr>
          <w:p>
            <w:pPr>
              <w:jc w:val="left"/>
              <w:rPr>
                <w:rFonts w:ascii="Times New Roman" w:hAnsi="Times New Roman" w:cs="Times New Roman"/>
                <w:szCs w:val="21"/>
              </w:rPr>
            </w:pPr>
            <w:r>
              <w:rPr>
                <w:rFonts w:ascii="Times New Roman" w:hAnsi="Times New Roman" w:cs="Times New Roman"/>
                <w:szCs w:val="21"/>
              </w:rPr>
              <w:t>现场混装炸药车地面辅助设施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44</w:t>
            </w:r>
          </w:p>
        </w:tc>
        <w:tc>
          <w:tcPr>
            <w:tcW w:w="2505" w:type="dxa"/>
          </w:tcPr>
          <w:p>
            <w:pPr>
              <w:jc w:val="left"/>
              <w:rPr>
                <w:rFonts w:ascii="Times New Roman" w:hAnsi="Times New Roman" w:cs="Times New Roman"/>
                <w:szCs w:val="21"/>
              </w:rPr>
            </w:pPr>
            <w:r>
              <w:rPr>
                <w:rFonts w:ascii="Times New Roman" w:hAnsi="Times New Roman" w:cs="Times New Roman"/>
                <w:szCs w:val="21"/>
              </w:rPr>
              <w:t>JB/T 10173-2010</w:t>
            </w:r>
          </w:p>
        </w:tc>
        <w:tc>
          <w:tcPr>
            <w:tcW w:w="5499" w:type="dxa"/>
          </w:tcPr>
          <w:p>
            <w:pPr>
              <w:jc w:val="left"/>
              <w:rPr>
                <w:rFonts w:ascii="Times New Roman" w:hAnsi="Times New Roman" w:cs="Times New Roman"/>
                <w:szCs w:val="21"/>
              </w:rPr>
            </w:pPr>
            <w:r>
              <w:rPr>
                <w:rFonts w:ascii="Times New Roman" w:hAnsi="Times New Roman" w:cs="Times New Roman"/>
                <w:szCs w:val="21"/>
              </w:rPr>
              <w:t>现场混装炸药车移动式地面辅助设施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45</w:t>
            </w:r>
          </w:p>
        </w:tc>
        <w:tc>
          <w:tcPr>
            <w:tcW w:w="2505" w:type="dxa"/>
          </w:tcPr>
          <w:p>
            <w:pPr>
              <w:jc w:val="left"/>
              <w:rPr>
                <w:rFonts w:ascii="Times New Roman" w:hAnsi="Times New Roman" w:cs="Times New Roman"/>
                <w:szCs w:val="21"/>
              </w:rPr>
            </w:pPr>
            <w:r>
              <w:rPr>
                <w:rFonts w:ascii="Times New Roman" w:hAnsi="Times New Roman" w:cs="Times New Roman"/>
              </w:rPr>
              <w:t>JB/T 13017-2017</w:t>
            </w:r>
          </w:p>
        </w:tc>
        <w:tc>
          <w:tcPr>
            <w:tcW w:w="5499" w:type="dxa"/>
          </w:tcPr>
          <w:p>
            <w:pPr>
              <w:jc w:val="left"/>
              <w:rPr>
                <w:rFonts w:ascii="Times New Roman" w:hAnsi="Times New Roman" w:cs="Times New Roman"/>
                <w:szCs w:val="21"/>
              </w:rPr>
            </w:pPr>
            <w:r>
              <w:rPr>
                <w:rFonts w:ascii="Times New Roman" w:hAnsi="Times New Roman" w:cs="Times New Roman"/>
              </w:rPr>
              <w:t>现场混装乳化炸药机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46</w:t>
            </w:r>
          </w:p>
        </w:tc>
        <w:tc>
          <w:tcPr>
            <w:tcW w:w="2505" w:type="dxa"/>
          </w:tcPr>
          <w:p>
            <w:pPr>
              <w:jc w:val="left"/>
              <w:rPr>
                <w:rFonts w:ascii="Times New Roman" w:hAnsi="Times New Roman" w:cs="Times New Roman"/>
                <w:szCs w:val="21"/>
              </w:rPr>
            </w:pPr>
            <w:r>
              <w:rPr>
                <w:rFonts w:ascii="Times New Roman" w:hAnsi="Times New Roman" w:cs="Times New Roman"/>
                <w:szCs w:val="21"/>
              </w:rPr>
              <w:t>JT/T 617.1-2018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第1部分：通则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47</w:t>
            </w:r>
          </w:p>
        </w:tc>
        <w:tc>
          <w:tcPr>
            <w:tcW w:w="2505" w:type="dxa"/>
          </w:tcPr>
          <w:p>
            <w:pPr>
              <w:jc w:val="left"/>
              <w:rPr>
                <w:rFonts w:ascii="Times New Roman" w:hAnsi="Times New Roman" w:cs="Times New Roman"/>
                <w:szCs w:val="21"/>
              </w:rPr>
            </w:pPr>
            <w:r>
              <w:rPr>
                <w:rFonts w:ascii="Times New Roman" w:hAnsi="Times New Roman" w:cs="Times New Roman"/>
                <w:szCs w:val="21"/>
              </w:rPr>
              <w:t>JT/T 617.2-2018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第2部分：分类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48</w:t>
            </w:r>
          </w:p>
        </w:tc>
        <w:tc>
          <w:tcPr>
            <w:tcW w:w="2505" w:type="dxa"/>
          </w:tcPr>
          <w:p>
            <w:pPr>
              <w:jc w:val="left"/>
              <w:rPr>
                <w:rFonts w:ascii="Times New Roman" w:hAnsi="Times New Roman" w:cs="Times New Roman"/>
                <w:szCs w:val="21"/>
              </w:rPr>
            </w:pPr>
            <w:r>
              <w:rPr>
                <w:rFonts w:ascii="Times New Roman" w:hAnsi="Times New Roman" w:cs="Times New Roman"/>
                <w:szCs w:val="21"/>
              </w:rPr>
              <w:t>JT/T 617.3-2018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第3部分：品名及运输要求索引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49</w:t>
            </w:r>
          </w:p>
        </w:tc>
        <w:tc>
          <w:tcPr>
            <w:tcW w:w="2505" w:type="dxa"/>
          </w:tcPr>
          <w:p>
            <w:pPr>
              <w:jc w:val="left"/>
              <w:rPr>
                <w:rFonts w:ascii="Times New Roman" w:hAnsi="Times New Roman" w:cs="Times New Roman"/>
                <w:szCs w:val="21"/>
              </w:rPr>
            </w:pPr>
            <w:r>
              <w:rPr>
                <w:rFonts w:ascii="Times New Roman" w:hAnsi="Times New Roman" w:cs="Times New Roman"/>
                <w:szCs w:val="21"/>
              </w:rPr>
              <w:t>JT/T 617.4-2018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第4部分：运输包装使用要求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50</w:t>
            </w:r>
          </w:p>
        </w:tc>
        <w:tc>
          <w:tcPr>
            <w:tcW w:w="2505" w:type="dxa"/>
          </w:tcPr>
          <w:p>
            <w:pPr>
              <w:jc w:val="left"/>
              <w:rPr>
                <w:rFonts w:ascii="Times New Roman" w:hAnsi="Times New Roman" w:cs="Times New Roman"/>
                <w:szCs w:val="21"/>
              </w:rPr>
            </w:pPr>
            <w:r>
              <w:rPr>
                <w:rFonts w:ascii="Times New Roman" w:hAnsi="Times New Roman" w:cs="Times New Roman"/>
                <w:szCs w:val="21"/>
              </w:rPr>
              <w:t>JT/T 617.5-2018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第5部分：托运要求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51</w:t>
            </w:r>
          </w:p>
        </w:tc>
        <w:tc>
          <w:tcPr>
            <w:tcW w:w="2505" w:type="dxa"/>
          </w:tcPr>
          <w:p>
            <w:pPr>
              <w:jc w:val="left"/>
              <w:rPr>
                <w:rFonts w:ascii="Times New Roman" w:hAnsi="Times New Roman" w:cs="Times New Roman"/>
                <w:szCs w:val="21"/>
              </w:rPr>
            </w:pPr>
            <w:r>
              <w:rPr>
                <w:rFonts w:ascii="Times New Roman" w:hAnsi="Times New Roman" w:cs="Times New Roman"/>
                <w:szCs w:val="21"/>
              </w:rPr>
              <w:t>JT/T 617.6-2018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第6部分：装卸条件及作业要求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Align w:val="top"/>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52</w:t>
            </w:r>
          </w:p>
        </w:tc>
        <w:tc>
          <w:tcPr>
            <w:tcW w:w="2505" w:type="dxa"/>
          </w:tcPr>
          <w:p>
            <w:pPr>
              <w:jc w:val="left"/>
              <w:rPr>
                <w:rFonts w:ascii="Times New Roman" w:hAnsi="Times New Roman" w:cs="Times New Roman"/>
                <w:szCs w:val="21"/>
              </w:rPr>
            </w:pPr>
            <w:r>
              <w:rPr>
                <w:rFonts w:ascii="Times New Roman" w:hAnsi="Times New Roman" w:cs="Times New Roman"/>
                <w:szCs w:val="21"/>
              </w:rPr>
              <w:t>JT/T 617.7-2018</w:t>
            </w:r>
          </w:p>
        </w:tc>
        <w:tc>
          <w:tcPr>
            <w:tcW w:w="5499" w:type="dxa"/>
          </w:tcPr>
          <w:p>
            <w:pPr>
              <w:jc w:val="left"/>
              <w:rPr>
                <w:rFonts w:ascii="Times New Roman" w:hAnsi="Times New Roman" w:cs="Times New Roman"/>
                <w:szCs w:val="21"/>
              </w:rPr>
            </w:pPr>
            <w:r>
              <w:rPr>
                <w:rFonts w:ascii="Times New Roman" w:hAnsi="Times New Roman" w:cs="Times New Roman"/>
                <w:szCs w:val="21"/>
              </w:rPr>
              <w:t>危险货物道路运输规则 第7部分：运输条件及作业要求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2505" w:type="dxa"/>
          </w:tcPr>
          <w:p>
            <w:pPr>
              <w:jc w:val="left"/>
              <w:rPr>
                <w:rFonts w:ascii="Times New Roman" w:hAnsi="Times New Roman" w:cs="Times New Roman"/>
                <w:szCs w:val="21"/>
              </w:rPr>
            </w:pPr>
            <w:r>
              <w:rPr>
                <w:rFonts w:ascii="Times New Roman" w:hAnsi="Times New Roman" w:cs="Times New Roman"/>
                <w:szCs w:val="21"/>
              </w:rPr>
              <w:t>SY 5436-2016</w:t>
            </w:r>
          </w:p>
        </w:tc>
        <w:tc>
          <w:tcPr>
            <w:tcW w:w="5499" w:type="dxa"/>
          </w:tcPr>
          <w:p>
            <w:pPr>
              <w:jc w:val="left"/>
              <w:rPr>
                <w:rFonts w:ascii="Times New Roman" w:hAnsi="Times New Roman" w:cs="Times New Roman"/>
                <w:szCs w:val="21"/>
              </w:rPr>
            </w:pPr>
            <w:r>
              <w:rPr>
                <w:rFonts w:ascii="Times New Roman" w:hAnsi="Times New Roman" w:cs="Times New Roman"/>
                <w:szCs w:val="21"/>
              </w:rPr>
              <w:t>井筒作业用民用爆炸物品安全规范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jc w:val="center"/>
              <w:rPr>
                <w:rFonts w:hint="default" w:ascii="Times New Roman" w:hAnsi="Times New Roman" w:cs="Times New Roman"/>
                <w:szCs w:val="21"/>
                <w:lang w:val="en-US" w:eastAsia="zh-CN"/>
              </w:rPr>
            </w:pPr>
            <w:bookmarkStart w:id="23" w:name="_Toc14048"/>
            <w:r>
              <w:rPr>
                <w:rFonts w:hint="eastAsia" w:ascii="Times New Roman" w:hAnsi="Times New Roman" w:cs="Times New Roman"/>
                <w:szCs w:val="21"/>
                <w:lang w:val="en-US" w:eastAsia="zh-CN"/>
              </w:rPr>
              <w:t>54</w:t>
            </w:r>
          </w:p>
        </w:tc>
        <w:tc>
          <w:tcPr>
            <w:tcW w:w="2505" w:type="dxa"/>
          </w:tcPr>
          <w:p>
            <w:pPr>
              <w:jc w:val="left"/>
              <w:rPr>
                <w:rFonts w:ascii="Times New Roman" w:hAnsi="Times New Roman" w:cs="Times New Roman"/>
                <w:szCs w:val="21"/>
              </w:rPr>
            </w:pPr>
            <w:r>
              <w:rPr>
                <w:rFonts w:hint="eastAsia" w:ascii="Times New Roman" w:hAnsi="Times New Roman" w:cs="Times New Roman"/>
                <w:szCs w:val="21"/>
              </w:rPr>
              <w:t>HG/T3280-2011</w:t>
            </w:r>
          </w:p>
        </w:tc>
        <w:tc>
          <w:tcPr>
            <w:tcW w:w="5499" w:type="dxa"/>
          </w:tcPr>
          <w:p>
            <w:pPr>
              <w:jc w:val="left"/>
              <w:rPr>
                <w:rFonts w:ascii="Times New Roman" w:hAnsi="Times New Roman" w:cs="Times New Roman"/>
                <w:szCs w:val="21"/>
              </w:rPr>
            </w:pPr>
            <w:r>
              <w:rPr>
                <w:rFonts w:hint="eastAsia" w:ascii="宋体" w:hAnsi="宋体" w:cs="宋体"/>
                <w:szCs w:val="21"/>
              </w:rPr>
              <w:t>多孔粒状硝酸铵</w:t>
            </w:r>
          </w:p>
        </w:tc>
      </w:tr>
    </w:tbl>
    <w:p>
      <w:pPr>
        <w:ind w:firstLine="643" w:firstLineChars="200"/>
        <w:outlineLvl w:val="1"/>
        <w:rPr>
          <w:rFonts w:ascii="楷体" w:hAnsi="楷体" w:eastAsia="楷体"/>
          <w:b/>
          <w:sz w:val="32"/>
          <w:szCs w:val="32"/>
        </w:rPr>
      </w:pPr>
      <w:r>
        <w:rPr>
          <w:rFonts w:hint="eastAsia" w:ascii="楷体" w:hAnsi="楷体" w:eastAsia="楷体"/>
          <w:b/>
          <w:sz w:val="32"/>
          <w:szCs w:val="32"/>
        </w:rPr>
        <w:t>（三）标准国际化的情况</w:t>
      </w:r>
      <w:bookmarkEnd w:id="23"/>
    </w:p>
    <w:p>
      <w:pPr>
        <w:ind w:firstLine="640" w:firstLineChars="200"/>
        <w:outlineLvl w:val="2"/>
        <w:rPr>
          <w:rFonts w:ascii="Times New Roman" w:hAnsi="Times New Roman" w:eastAsia="仿宋_GB2312"/>
          <w:sz w:val="32"/>
          <w:szCs w:val="32"/>
        </w:rPr>
      </w:pPr>
      <w:bookmarkStart w:id="24" w:name="_Toc22271"/>
      <w:r>
        <w:rPr>
          <w:rFonts w:hint="eastAsia" w:ascii="仿宋" w:hAnsi="仿宋" w:eastAsia="仿宋"/>
          <w:sz w:val="32"/>
        </w:rPr>
        <w:t>1．国际标准和国外先进标准的转化情况</w:t>
      </w:r>
      <w:bookmarkEnd w:id="24"/>
    </w:p>
    <w:p>
      <w:pPr>
        <w:ind w:firstLine="660"/>
        <w:jc w:val="left"/>
        <w:rPr>
          <w:rFonts w:ascii="仿宋_GB2312" w:hAnsi="仿宋_GB2312" w:eastAsia="仿宋_GB2312"/>
          <w:sz w:val="32"/>
        </w:rPr>
      </w:pPr>
      <w:r>
        <w:rPr>
          <w:rFonts w:hint="eastAsia" w:ascii="仿宋_GB2312" w:hAnsi="仿宋_GB2312" w:eastAsia="仿宋_GB2312"/>
          <w:sz w:val="32"/>
        </w:rPr>
        <w:t>ISO标准中没有民用爆炸物品相关的标准，也没有专门针对民用爆炸物品的技术委员会（TC）。因此，并没有检索到相应的ISO标准。</w:t>
      </w:r>
    </w:p>
    <w:p>
      <w:pPr>
        <w:ind w:firstLine="660"/>
        <w:jc w:val="left"/>
        <w:rPr>
          <w:rFonts w:ascii="仿宋_GB2312" w:hAnsi="仿宋_GB2312" w:eastAsia="仿宋_GB2312"/>
          <w:sz w:val="32"/>
        </w:rPr>
      </w:pPr>
      <w:r>
        <w:rPr>
          <w:rFonts w:hint="eastAsia" w:ascii="仿宋_GB2312" w:hAnsi="仿宋_GB2312" w:eastAsia="仿宋_GB2312"/>
          <w:sz w:val="32"/>
        </w:rPr>
        <w:t>近年来，民爆行业主要开展了与欧盟标准的对标分析工作。欧盟在民爆行业的管理方面建立了完善的机制，公开的标准也最为系统。欧洲共同体理事会在1993年就颁布实施了《关于对民用爆炸物投放市场和监管的条款进行协调的</w:t>
      </w:r>
      <w:r>
        <w:rPr>
          <w:rFonts w:ascii="仿宋_GB2312" w:hAnsi="仿宋_GB2312" w:eastAsia="仿宋_GB2312"/>
          <w:sz w:val="32"/>
        </w:rPr>
        <w:t>93/15/EEC</w:t>
      </w:r>
      <w:r>
        <w:rPr>
          <w:rFonts w:hint="eastAsia" w:ascii="仿宋_GB2312" w:hAnsi="仿宋_GB2312" w:eastAsia="仿宋_GB2312"/>
          <w:sz w:val="32"/>
        </w:rPr>
        <w:t>指令》，适用于《</w:t>
      </w:r>
      <w:r>
        <w:rPr>
          <w:rFonts w:ascii="仿宋_GB2312" w:hAnsi="仿宋_GB2312" w:eastAsia="仿宋_GB2312"/>
          <w:sz w:val="32"/>
        </w:rPr>
        <w:t>联合国关于危险品运输建议书》中认定的、属于这些建议书中第</w:t>
      </w:r>
      <w:r>
        <w:rPr>
          <w:rFonts w:hint="eastAsia" w:ascii="仿宋_GB2312" w:hAnsi="仿宋_GB2312" w:eastAsia="仿宋_GB2312"/>
          <w:sz w:val="32"/>
        </w:rPr>
        <w:t>Ⅰ</w:t>
      </w:r>
      <w:r>
        <w:rPr>
          <w:rFonts w:ascii="仿宋_GB2312" w:hAnsi="仿宋_GB2312" w:eastAsia="仿宋_GB2312"/>
          <w:sz w:val="32"/>
        </w:rPr>
        <w:t>类的材料或物品。</w:t>
      </w:r>
      <w:r>
        <w:rPr>
          <w:rFonts w:hint="eastAsia" w:ascii="仿宋_GB2312" w:hAnsi="仿宋_GB2312" w:eastAsia="仿宋_GB2312"/>
          <w:sz w:val="32"/>
        </w:rPr>
        <w:t>其配套标准几乎涉及了炸药、雷管、导爆管等民爆行业的全部主要产品。欧盟民爆标准由基础标准、产品标准和试验方法标准构成，其中基础标准2项，产品标准4项，试验方法标准54项（见表4）。</w:t>
      </w:r>
    </w:p>
    <w:p>
      <w:pPr>
        <w:adjustRightInd w:val="0"/>
        <w:snapToGrid w:val="0"/>
        <w:spacing w:line="360" w:lineRule="auto"/>
        <w:jc w:val="center"/>
        <w:rPr>
          <w:rFonts w:ascii="仿宋_GB2312" w:eastAsia="仿宋_GB2312"/>
          <w:sz w:val="30"/>
          <w:szCs w:val="30"/>
        </w:rPr>
      </w:pPr>
      <w:r>
        <w:rPr>
          <w:rFonts w:hint="eastAsia" w:ascii="仿宋_GB2312" w:eastAsia="仿宋_GB2312"/>
          <w:sz w:val="30"/>
          <w:szCs w:val="30"/>
        </w:rPr>
        <w:t>表4  欧盟民爆标准目录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80"/>
        <w:gridCol w:w="509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9" w:type="dxa"/>
            <w:vAlign w:val="center"/>
          </w:tcPr>
          <w:p>
            <w:pPr>
              <w:adjustRightInd w:val="0"/>
              <w:snapToGrid w:val="0"/>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t>序号</w:t>
            </w:r>
          </w:p>
        </w:tc>
        <w:tc>
          <w:tcPr>
            <w:tcW w:w="1980" w:type="dxa"/>
            <w:vAlign w:val="center"/>
          </w:tcPr>
          <w:p>
            <w:pPr>
              <w:adjustRightInd w:val="0"/>
              <w:snapToGrid w:val="0"/>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t>标准编号</w:t>
            </w:r>
          </w:p>
        </w:tc>
        <w:tc>
          <w:tcPr>
            <w:tcW w:w="5094" w:type="dxa"/>
            <w:vAlign w:val="center"/>
          </w:tcPr>
          <w:p>
            <w:pPr>
              <w:adjustRightInd w:val="0"/>
              <w:snapToGrid w:val="0"/>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t>标准名称</w:t>
            </w:r>
          </w:p>
        </w:tc>
        <w:tc>
          <w:tcPr>
            <w:tcW w:w="1205" w:type="dxa"/>
            <w:vAlign w:val="center"/>
          </w:tcPr>
          <w:p>
            <w:pPr>
              <w:adjustRightInd w:val="0"/>
              <w:snapToGrid w:val="0"/>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t>标准类别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adjustRightInd w:val="0"/>
              <w:snapToGrid w:val="0"/>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13857-1:2003</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  第1部分：术语</w:t>
            </w:r>
          </w:p>
        </w:tc>
        <w:tc>
          <w:tcPr>
            <w:tcW w:w="1205"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13857-3:2002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  第3部分：制造商及其授权代理商向用户提供的信息</w:t>
            </w:r>
          </w:p>
        </w:tc>
        <w:tc>
          <w:tcPr>
            <w:tcW w:w="1205"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13630-1:2003</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民用爆炸物品——导爆索和导火索  第1部分：要求</w:t>
            </w:r>
          </w:p>
        </w:tc>
        <w:tc>
          <w:tcPr>
            <w:tcW w:w="1205"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szCs w:val="21"/>
              </w:rPr>
              <w:t>EN 13630</w:t>
            </w:r>
            <w:r>
              <w:rPr>
                <w:rFonts w:ascii="Times New Roman" w:hAnsi="Times New Roman" w:cs="Times New Roman"/>
                <w:bCs/>
                <w:kern w:val="44"/>
                <w:szCs w:val="21"/>
              </w:rPr>
              <w:t>-</w:t>
            </w:r>
            <w:r>
              <w:rPr>
                <w:rFonts w:ascii="Times New Roman" w:hAnsi="Times New Roman" w:cs="Times New Roman"/>
                <w:szCs w:val="21"/>
              </w:rPr>
              <w:t>2：2002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民用爆炸物品——导爆索和导火索  第2部分：导爆索和导火索热稳定性的测定</w:t>
            </w:r>
          </w:p>
        </w:tc>
        <w:tc>
          <w:tcPr>
            <w:tcW w:w="1205"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13630-3:2002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民用爆炸物品——导爆索和导火索  第3部分：导爆索索芯摩擦感度的测定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13630-4:2002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民用爆炸物品——导爆索和导火索  第4部分：导爆索撞击感度的测定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13630-5:2003</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民用爆炸物品——导爆索和导火索  第5部分：导爆索耐磨性能的测定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13630-6:2002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第6部分：导爆索抗拉性能的测定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13630-7:2004</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第7部分：导爆索起爆可靠性的测定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13630-8:2002</w:t>
            </w:r>
          </w:p>
        </w:tc>
        <w:tc>
          <w:tcPr>
            <w:tcW w:w="5094" w:type="dxa"/>
            <w:vAlign w:val="center"/>
          </w:tcPr>
          <w:p>
            <w:pPr>
              <w:spacing w:before="46" w:beforeLines="15" w:after="46" w:afterLines="15"/>
              <w:ind w:left="1"/>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第8部分：导爆索和导火索抗水性能的测定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13630-9:2002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第9部分：导爆索殉爆能力测的定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13630-10:2005</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第10部分：导爆索起爆能力的测定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13630-11:2002</w:t>
            </w:r>
          </w:p>
        </w:tc>
        <w:tc>
          <w:tcPr>
            <w:tcW w:w="5094" w:type="dxa"/>
            <w:vAlign w:val="center"/>
          </w:tcPr>
          <w:p>
            <w:pPr>
              <w:spacing w:before="46" w:beforeLines="15" w:after="46" w:afterLines="15"/>
              <w:ind w:left="1"/>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第11部分：导爆索爆轰波传播速度的测定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13630-12:2002</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民用爆炸物品——导爆索和导火索  </w:t>
            </w:r>
            <w:r>
              <w:rPr>
                <w:rFonts w:ascii="Times New Roman" w:hAnsi="Times New Roman" w:cs="Times New Roman"/>
                <w:szCs w:val="21"/>
              </w:rPr>
              <w:t>第12部分：导火索燃烧时间的测定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13631-1:2005</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民用爆炸物品——高能炸药  第1部分：要求</w:t>
            </w:r>
          </w:p>
        </w:tc>
        <w:tc>
          <w:tcPr>
            <w:tcW w:w="1205"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13631-2:2002</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第2部分：炸药热安定性测定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13631-3:2004</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第3部分：炸药摩擦感度测定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13631-4:2002</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第4部分：炸药撞击感度测定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13631-5:2002</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第5部分：抗水性能测定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13631-6:2002</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第6部分：抗流体静压力性能测定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13631-7:2003</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第7部分：极端温度条件下安全和可靠性能</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13631-10:2003</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第10部分：起爆方法</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13631-11:2003</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第11部分：传爆方法</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13631-12:2004</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第12部分：不同起爆威力的起爆具规格</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13631-13:2003</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第13部分：密度测定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13631-14:2003</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第14部分：爆速测定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13631-15:2005</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第15部分：热动力学性能计算</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13631-16:2004</w:t>
            </w:r>
          </w:p>
        </w:tc>
        <w:tc>
          <w:tcPr>
            <w:tcW w:w="5094" w:type="dxa"/>
            <w:vAlign w:val="center"/>
          </w:tcPr>
          <w:p>
            <w:pPr>
              <w:adjustRightInd w:val="0"/>
              <w:snapToGrid w:val="0"/>
              <w:spacing w:before="46" w:beforeLines="15" w:after="46" w:afterLines="15"/>
              <w:rPr>
                <w:rFonts w:ascii="Times New Roman" w:hAnsi="Times New Roman" w:cs="Times New Roman"/>
                <w:bCs/>
                <w:szCs w:val="21"/>
              </w:rPr>
            </w:pPr>
            <w:r>
              <w:rPr>
                <w:rFonts w:ascii="Times New Roman" w:hAnsi="Times New Roman" w:cs="Times New Roman"/>
                <w:bCs/>
                <w:szCs w:val="21"/>
              </w:rPr>
              <w:t>民用爆炸物品——高能炸药  第16部分：毒性气体探测与测量</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13763-1:2004</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民用爆炸物品——雷管和继爆管  第1部分：要求</w:t>
            </w:r>
          </w:p>
        </w:tc>
        <w:tc>
          <w:tcPr>
            <w:tcW w:w="1205" w:type="dxa"/>
            <w:vAlign w:val="center"/>
          </w:tcPr>
          <w:p>
            <w:pPr>
              <w:adjustRightInd w:val="0"/>
              <w:snapToGrid w:val="0"/>
              <w:spacing w:before="46" w:beforeLines="15" w:after="46" w:afterLines="15"/>
              <w:rPr>
                <w:rFonts w:ascii="Times New Roman" w:hAnsi="Times New Roman" w:cs="Times New Roman"/>
                <w:bCs/>
                <w:sz w:val="18"/>
                <w:szCs w:val="21"/>
              </w:rPr>
            </w:pPr>
            <w:r>
              <w:rPr>
                <w:rFonts w:ascii="Times New Roman" w:hAnsi="Times New Roman" w:cs="Times New Roman"/>
                <w:bCs/>
                <w:szCs w:val="21"/>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13763-2:2002</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第2部分：热安定性测定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spacing w:before="46" w:beforeLines="15" w:after="46" w:afterLines="15"/>
              <w:rPr>
                <w:rFonts w:ascii="Times New Roman" w:hAnsi="Times New Roman" w:cs="Times New Roman"/>
                <w:bCs/>
                <w:kern w:val="44"/>
                <w:szCs w:val="21"/>
              </w:rPr>
            </w:pPr>
            <w:r>
              <w:rPr>
                <w:rFonts w:ascii="Times New Roman" w:hAnsi="Times New Roman" w:cs="Times New Roman"/>
                <w:bCs/>
                <w:kern w:val="44"/>
                <w:szCs w:val="21"/>
              </w:rPr>
              <w:t>EN 13763-3:2002</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第3部分：撞击感度测定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13763-4:2003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第4部分：导线和导爆管耐磨性测定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13763-5:2003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第5部分：导线和导爆管耐割损性测定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13763-6:2003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第6部分：导线耐低温断裂性测定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13763-7:2003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第7部分：导线、导爆管、连接件、卷曲物和封闭件机械强度测定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13763-8:2003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第8部分：火雷管抗振性测定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13763-9:2003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第9部分：雷管抗弯性测定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13763-11:2003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第11部分：雷管和继爆管抗跌落损坏性测定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13763-12:2003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第12部分：抗流体静压力测定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13763-13:2004</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第13部分：电雷管抗静电放电测定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13763-15:2004</w:t>
            </w:r>
          </w:p>
        </w:tc>
        <w:tc>
          <w:tcPr>
            <w:tcW w:w="5094" w:type="dxa"/>
            <w:vAlign w:val="center"/>
          </w:tcPr>
          <w:p>
            <w:pPr>
              <w:spacing w:before="46" w:beforeLines="15" w:after="46" w:afterLines="15"/>
              <w:jc w:val="left"/>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第15部分：等效起爆能力测定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13763-16:2003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第16部分：延期精度测定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13763-17:2003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第17部分：电雷管不发火电流测定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13763-18:2003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第18部分：电雷管串联发火电流测定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13763-19:2003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第19部分：电雷管冲量发火能量测定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13763-20:2003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第20部分：电雷管总电阻测定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13763-21:2003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第21部分：电雷管击穿电压测定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13763-22:2003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第22部分：导线的电容、绝缘电阻和绝缘击穿测定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13763-23:2002</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第23部分：导爆管冲击波速度测定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13763-24:2002</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第24部分：导爆管不导电性测定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13763-25:2004</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第25部分：地表连接件、继爆管和连接附件传爆能力测定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13763-26:2004</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第26部分: 雷管和继爆管可靠与安全功能用的装置和连接附件的定义、方法和要求</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13763-27:2003</w:t>
            </w:r>
          </w:p>
        </w:tc>
        <w:tc>
          <w:tcPr>
            <w:tcW w:w="5094" w:type="dxa"/>
            <w:vAlign w:val="center"/>
          </w:tcPr>
          <w:p>
            <w:pPr>
              <w:spacing w:before="46" w:beforeLines="15" w:after="46" w:afterLines="15"/>
              <w:rPr>
                <w:rFonts w:ascii="Times New Roman" w:hAnsi="Times New Roman" w:cs="Times New Roman"/>
                <w:szCs w:val="21"/>
              </w:rPr>
            </w:pPr>
            <w:r>
              <w:rPr>
                <w:rFonts w:ascii="Times New Roman" w:hAnsi="Times New Roman" w:cs="Times New Roman"/>
                <w:bCs/>
                <w:szCs w:val="21"/>
              </w:rPr>
              <w:t xml:space="preserve">民用爆炸物品——雷管和继爆管  </w:t>
            </w:r>
            <w:r>
              <w:rPr>
                <w:rFonts w:ascii="Times New Roman" w:hAnsi="Times New Roman" w:cs="Times New Roman"/>
                <w:szCs w:val="21"/>
              </w:rPr>
              <w:t>第27部分：电子起爆系统的定义、方法和要求</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13938-1:2004</w:t>
            </w:r>
          </w:p>
        </w:tc>
        <w:tc>
          <w:tcPr>
            <w:tcW w:w="5094" w:type="dxa"/>
            <w:vAlign w:val="center"/>
          </w:tcPr>
          <w:p>
            <w:pPr>
              <w:spacing w:before="46" w:beforeLines="15" w:after="46" w:afterLines="15"/>
              <w:rPr>
                <w:rFonts w:ascii="Times New Roman" w:hAnsi="Times New Roman" w:cs="Times New Roman"/>
                <w:b/>
                <w:bCs/>
                <w:szCs w:val="21"/>
              </w:rPr>
            </w:pPr>
            <w:r>
              <w:rPr>
                <w:rFonts w:ascii="Times New Roman" w:hAnsi="Times New Roman" w:cs="Times New Roman"/>
                <w:bCs/>
                <w:szCs w:val="21"/>
              </w:rPr>
              <w:t>民用爆炸物品——推进剂和火箭推进剂  第1部分：要求</w:t>
            </w:r>
          </w:p>
        </w:tc>
        <w:tc>
          <w:tcPr>
            <w:tcW w:w="1205" w:type="dxa"/>
            <w:vAlign w:val="center"/>
          </w:tcPr>
          <w:p>
            <w:pPr>
              <w:spacing w:before="46" w:beforeLines="15" w:after="46" w:afterLines="15"/>
              <w:rPr>
                <w:rFonts w:ascii="Times New Roman" w:hAnsi="Times New Roman" w:cs="Times New Roman"/>
                <w:bCs/>
                <w:szCs w:val="21"/>
              </w:rPr>
            </w:pPr>
            <w:r>
              <w:rPr>
                <w:rFonts w:ascii="Times New Roman" w:hAnsi="Times New Roman" w:cs="Times New Roman"/>
                <w:bCs/>
                <w:szCs w:val="21"/>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13938-2:2004</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民用爆炸物品——推进剂和火箭推进剂  </w:t>
            </w:r>
            <w:r>
              <w:rPr>
                <w:rFonts w:ascii="Times New Roman" w:hAnsi="Times New Roman" w:cs="Times New Roman"/>
                <w:szCs w:val="21"/>
              </w:rPr>
              <w:t>第2部分：抗静电性能的测定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13938-3:2003</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民用爆炸物品——推进剂和火箭推进剂  </w:t>
            </w:r>
            <w:r>
              <w:rPr>
                <w:rFonts w:ascii="Times New Roman" w:hAnsi="Times New Roman" w:cs="Times New Roman"/>
                <w:szCs w:val="21"/>
              </w:rPr>
              <w:t>第3部分：传爆性能的测定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13938-4:2003</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民用爆炸物品——推进剂和火箭推进剂  </w:t>
            </w:r>
            <w:r>
              <w:rPr>
                <w:rFonts w:ascii="Times New Roman" w:hAnsi="Times New Roman" w:cs="Times New Roman"/>
                <w:szCs w:val="21"/>
              </w:rPr>
              <w:t>第4部分：在环境条件下燃烧速率的测定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13938-5:2004</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民用爆炸物品——推进剂和火箭推进剂  </w:t>
            </w:r>
            <w:r>
              <w:rPr>
                <w:rFonts w:ascii="Times New Roman" w:hAnsi="Times New Roman" w:cs="Times New Roman"/>
                <w:szCs w:val="21"/>
              </w:rPr>
              <w:t>第5部分：火箭推进剂空隙率和龟裂的测定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13938-6:2004</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民用爆炸物品——推进剂和火箭推进剂  </w:t>
            </w:r>
            <w:r>
              <w:rPr>
                <w:rFonts w:ascii="Times New Roman" w:hAnsi="Times New Roman" w:cs="Times New Roman"/>
                <w:szCs w:val="21"/>
              </w:rPr>
              <w:t>第6部分：火箭推进剂涂层完整性的测定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9" w:type="dxa"/>
            <w:vAlign w:val="center"/>
          </w:tcPr>
          <w:p>
            <w:pPr>
              <w:spacing w:before="46" w:beforeLines="15" w:after="46" w:afterLines="15"/>
              <w:jc w:val="center"/>
              <w:rPr>
                <w:rFonts w:ascii="Times New Roman" w:hAnsi="Times New Roman" w:cs="Times New Roman"/>
                <w:bCs/>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AUTONUM  \* Arabic </w:instrText>
            </w:r>
            <w:r>
              <w:rPr>
                <w:rFonts w:ascii="Times New Roman" w:hAnsi="Times New Roman" w:cs="Times New Roman"/>
                <w:bCs/>
                <w:szCs w:val="21"/>
              </w:rPr>
              <w:fldChar w:fldCharType="end"/>
            </w:r>
          </w:p>
        </w:tc>
        <w:tc>
          <w:tcPr>
            <w:tcW w:w="1980"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kern w:val="44"/>
                <w:szCs w:val="21"/>
              </w:rPr>
              <w:t>EN 13938-7:2004</w:t>
            </w:r>
          </w:p>
        </w:tc>
        <w:tc>
          <w:tcPr>
            <w:tcW w:w="5094" w:type="dxa"/>
            <w:vAlign w:val="center"/>
          </w:tcPr>
          <w:p>
            <w:pPr>
              <w:adjustRightInd w:val="0"/>
              <w:snapToGrid w:val="0"/>
              <w:spacing w:before="46" w:beforeLines="15" w:after="46" w:afterLines="15"/>
              <w:rPr>
                <w:rFonts w:ascii="Times New Roman" w:hAnsi="Times New Roman" w:cs="Times New Roman"/>
                <w:b/>
                <w:bCs/>
                <w:szCs w:val="21"/>
              </w:rPr>
            </w:pPr>
            <w:r>
              <w:rPr>
                <w:rFonts w:ascii="Times New Roman" w:hAnsi="Times New Roman" w:cs="Times New Roman"/>
                <w:bCs/>
                <w:szCs w:val="21"/>
              </w:rPr>
              <w:t xml:space="preserve">民用爆炸物品——推进剂和火箭推进剂  </w:t>
            </w:r>
            <w:r>
              <w:rPr>
                <w:rFonts w:ascii="Times New Roman" w:hAnsi="Times New Roman" w:cs="Times New Roman"/>
                <w:szCs w:val="21"/>
              </w:rPr>
              <w:t>第7部分：黑火药性能的测定</w:t>
            </w:r>
          </w:p>
        </w:tc>
        <w:tc>
          <w:tcPr>
            <w:tcW w:w="1205" w:type="dxa"/>
            <w:vAlign w:val="center"/>
          </w:tcPr>
          <w:p>
            <w:pPr>
              <w:rPr>
                <w:rFonts w:ascii="Times New Roman" w:hAnsi="Times New Roman" w:cs="Times New Roman"/>
                <w:szCs w:val="21"/>
              </w:rPr>
            </w:pPr>
            <w:r>
              <w:rPr>
                <w:rFonts w:ascii="Times New Roman" w:hAnsi="Times New Roman" w:cs="Times New Roman"/>
                <w:bCs/>
                <w:szCs w:val="21"/>
              </w:rPr>
              <w:t>试验方法标准</w:t>
            </w:r>
          </w:p>
        </w:tc>
      </w:tr>
    </w:tbl>
    <w:p>
      <w:pPr>
        <w:ind w:firstLine="660"/>
        <w:jc w:val="left"/>
        <w:rPr>
          <w:rFonts w:ascii="仿宋_GB2312" w:hAnsi="仿宋_GB2312" w:eastAsia="仿宋_GB2312"/>
          <w:sz w:val="32"/>
        </w:rPr>
      </w:pPr>
      <w:r>
        <w:rPr>
          <w:rFonts w:hint="eastAsia" w:ascii="仿宋_GB2312" w:hAnsi="仿宋_GB2312" w:eastAsia="仿宋_GB2312"/>
          <w:sz w:val="32"/>
        </w:rPr>
        <w:t>欧盟民爆标准具有以下特点：</w:t>
      </w:r>
    </w:p>
    <w:p>
      <w:pPr>
        <w:pStyle w:val="20"/>
        <w:ind w:firstLine="420"/>
        <w:rPr>
          <w:rFonts w:ascii="仿宋_GB2312" w:hAnsi="仿宋_GB2312" w:eastAsia="仿宋_GB2312"/>
          <w:kern w:val="2"/>
          <w:sz w:val="32"/>
          <w:szCs w:val="24"/>
        </w:rPr>
      </w:pPr>
      <w:r>
        <w:rPr>
          <w:rFonts w:hint="eastAsia" w:ascii="仿宋_GB2312" w:hAnsi="仿宋_GB2312" w:eastAsia="仿宋_GB2312"/>
          <w:kern w:val="2"/>
          <w:sz w:val="32"/>
          <w:szCs w:val="24"/>
        </w:rPr>
        <w:t>（1）注重产品安全性可靠性。欧盟民爆标准只对关系产品安全性的指标做统一要求。具体产品使用性能指标由供需双方商定，制造商提供。标准中的性能指标侧重于生产、运输、使用的安全性和可靠性。许多试验方法目前在我国尚没有相关研究，例如：雷管、继爆管脚线和导爆管耐磨性测定、导线低温断裂性测定、雷管抗弯性能测定等。</w:t>
      </w:r>
    </w:p>
    <w:p>
      <w:pPr>
        <w:pStyle w:val="20"/>
        <w:ind w:firstLine="420"/>
        <w:rPr>
          <w:rFonts w:ascii="仿宋_GB2312" w:hAnsi="仿宋_GB2312" w:eastAsia="仿宋_GB2312"/>
          <w:kern w:val="2"/>
          <w:sz w:val="32"/>
          <w:szCs w:val="24"/>
        </w:rPr>
      </w:pPr>
      <w:r>
        <w:rPr>
          <w:rFonts w:hint="eastAsia" w:ascii="仿宋_GB2312" w:hAnsi="仿宋_GB2312" w:eastAsia="仿宋_GB2312"/>
          <w:kern w:val="2"/>
          <w:sz w:val="32"/>
          <w:szCs w:val="24"/>
        </w:rPr>
        <w:t>（2）试验方法齐全。针对产品的安全性要求，欧盟标准分别对雷管和继爆管、高能炸药、导爆管和导火索、推进剂提出了一系列详细的试验方法，保证了产品的安全性、可靠性。</w:t>
      </w:r>
    </w:p>
    <w:p>
      <w:pPr>
        <w:pStyle w:val="20"/>
        <w:ind w:firstLine="420"/>
        <w:rPr>
          <w:rFonts w:ascii="仿宋_GB2312" w:hAnsi="仿宋_GB2312" w:eastAsia="仿宋_GB2312"/>
          <w:kern w:val="2"/>
          <w:sz w:val="32"/>
          <w:szCs w:val="24"/>
        </w:rPr>
      </w:pPr>
      <w:r>
        <w:rPr>
          <w:rFonts w:hint="eastAsia" w:ascii="仿宋_GB2312" w:hAnsi="仿宋_GB2312" w:eastAsia="仿宋_GB2312"/>
          <w:kern w:val="2"/>
          <w:sz w:val="32"/>
          <w:szCs w:val="24"/>
        </w:rPr>
        <w:t>（3）标准系统性强。欧盟民爆标准紧密围绕产品的各种技术参数、关键指标、性能特点，制定试验方法标准的各部分，结构清晰，层次分明，目的明确，标准体系逻辑严谨，内容非常全面且易于使用和扩充。</w:t>
      </w:r>
    </w:p>
    <w:p>
      <w:pPr>
        <w:pStyle w:val="20"/>
        <w:ind w:firstLine="420"/>
        <w:rPr>
          <w:rFonts w:ascii="仿宋_GB2312" w:hAnsi="仿宋_GB2312" w:eastAsia="仿宋_GB2312"/>
          <w:kern w:val="2"/>
          <w:sz w:val="32"/>
          <w:szCs w:val="24"/>
        </w:rPr>
      </w:pPr>
      <w:r>
        <w:rPr>
          <w:rFonts w:hint="eastAsia" w:ascii="仿宋_GB2312" w:hAnsi="仿宋_GB2312" w:eastAsia="仿宋_GB2312"/>
          <w:kern w:val="2"/>
          <w:sz w:val="32"/>
          <w:szCs w:val="24"/>
        </w:rPr>
        <w:t>（4）可操作性强。欧盟民爆标准对于各种技术指标定义明确，试验方法叙述翔实，在关键环节上，提供了准确的图表，利于使用者根据标准进行测量。</w:t>
      </w:r>
    </w:p>
    <w:p>
      <w:pPr>
        <w:ind w:firstLine="640" w:firstLineChars="200"/>
        <w:outlineLvl w:val="2"/>
        <w:rPr>
          <w:rFonts w:ascii="仿宋" w:hAnsi="仿宋" w:eastAsia="仿宋"/>
          <w:sz w:val="32"/>
        </w:rPr>
      </w:pPr>
      <w:bookmarkStart w:id="25" w:name="_Toc27320"/>
      <w:r>
        <w:rPr>
          <w:rFonts w:hint="eastAsia" w:ascii="仿宋" w:hAnsi="仿宋" w:eastAsia="仿宋"/>
          <w:sz w:val="32"/>
        </w:rPr>
        <w:t>2．参与和主导国际标准和国外先进标准的制定情况</w:t>
      </w:r>
      <w:bookmarkEnd w:id="25"/>
    </w:p>
    <w:p>
      <w:pPr>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无。</w:t>
      </w:r>
    </w:p>
    <w:p>
      <w:pPr>
        <w:ind w:firstLine="640" w:firstLineChars="200"/>
        <w:outlineLvl w:val="2"/>
        <w:rPr>
          <w:rFonts w:ascii="仿宋" w:hAnsi="仿宋" w:eastAsia="仿宋"/>
          <w:sz w:val="32"/>
        </w:rPr>
      </w:pPr>
      <w:bookmarkStart w:id="26" w:name="_Toc28476"/>
      <w:r>
        <w:rPr>
          <w:rFonts w:hint="eastAsia" w:ascii="仿宋" w:hAnsi="仿宋" w:eastAsia="仿宋"/>
          <w:sz w:val="32"/>
        </w:rPr>
        <w:t>3．承担国际标准化组织秘书处和领导职务的情况</w:t>
      </w:r>
      <w:bookmarkEnd w:id="26"/>
    </w:p>
    <w:p>
      <w:pPr>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无。</w:t>
      </w:r>
    </w:p>
    <w:p>
      <w:pPr>
        <w:ind w:firstLine="640" w:firstLineChars="200"/>
        <w:outlineLvl w:val="2"/>
        <w:rPr>
          <w:rFonts w:ascii="仿宋" w:hAnsi="仿宋" w:eastAsia="仿宋"/>
          <w:sz w:val="32"/>
        </w:rPr>
      </w:pPr>
      <w:bookmarkStart w:id="27" w:name="_Toc3801"/>
      <w:r>
        <w:rPr>
          <w:rFonts w:hint="eastAsia" w:ascii="仿宋" w:hAnsi="仿宋" w:eastAsia="仿宋"/>
          <w:sz w:val="32"/>
        </w:rPr>
        <w:t>4．我国标准的外文版翻译情况</w:t>
      </w:r>
      <w:bookmarkEnd w:id="27"/>
    </w:p>
    <w:p>
      <w:pPr>
        <w:ind w:firstLine="646" w:firstLineChars="202"/>
        <w:rPr>
          <w:rFonts w:ascii="仿宋" w:hAnsi="仿宋" w:eastAsia="仿宋"/>
          <w:sz w:val="32"/>
        </w:rPr>
      </w:pPr>
      <w:r>
        <w:rPr>
          <w:rFonts w:hint="eastAsia" w:ascii="仿宋" w:hAnsi="仿宋" w:eastAsia="仿宋"/>
          <w:sz w:val="32"/>
        </w:rPr>
        <w:t>无。</w:t>
      </w:r>
    </w:p>
    <w:p>
      <w:pPr>
        <w:ind w:firstLine="640" w:firstLineChars="200"/>
        <w:outlineLvl w:val="0"/>
        <w:rPr>
          <w:rFonts w:ascii="Times New Roman" w:hAnsi="黑体" w:eastAsia="黑体"/>
          <w:sz w:val="32"/>
          <w:szCs w:val="32"/>
        </w:rPr>
      </w:pPr>
      <w:bookmarkStart w:id="28" w:name="_Toc9209"/>
      <w:r>
        <w:rPr>
          <w:rFonts w:hint="eastAsia" w:ascii="Times New Roman" w:hAnsi="黑体" w:eastAsia="黑体"/>
          <w:sz w:val="32"/>
          <w:szCs w:val="32"/>
        </w:rPr>
        <w:t>四、“十四五”发展的重点领域</w:t>
      </w:r>
      <w:bookmarkEnd w:id="28"/>
    </w:p>
    <w:p>
      <w:pPr>
        <w:ind w:firstLine="643" w:firstLineChars="200"/>
        <w:outlineLvl w:val="1"/>
        <w:rPr>
          <w:rFonts w:ascii="楷体" w:hAnsi="楷体" w:eastAsia="楷体"/>
          <w:b/>
          <w:sz w:val="32"/>
          <w:szCs w:val="32"/>
        </w:rPr>
      </w:pPr>
      <w:bookmarkStart w:id="29" w:name="_Toc22115"/>
      <w:r>
        <w:rPr>
          <w:rFonts w:hint="eastAsia" w:ascii="楷体" w:hAnsi="楷体" w:eastAsia="楷体"/>
          <w:b/>
          <w:sz w:val="32"/>
          <w:szCs w:val="32"/>
        </w:rPr>
        <w:t>（一）产品方面</w:t>
      </w:r>
      <w:bookmarkEnd w:id="29"/>
    </w:p>
    <w:p>
      <w:pPr>
        <w:ind w:firstLine="640" w:firstLineChars="200"/>
        <w:rPr>
          <w:rFonts w:ascii="仿宋_GB2312" w:eastAsia="仿宋_GB2312" w:cs="Times New Roman"/>
          <w:sz w:val="32"/>
          <w:szCs w:val="32"/>
        </w:rPr>
      </w:pPr>
      <w:r>
        <w:rPr>
          <w:rFonts w:ascii="仿宋_GB2312" w:eastAsia="仿宋_GB2312" w:cs="Times New Roman"/>
          <w:sz w:val="32"/>
          <w:szCs w:val="32"/>
        </w:rPr>
        <w:t>加强生产过程中</w:t>
      </w:r>
      <w:r>
        <w:rPr>
          <w:rFonts w:hint="eastAsia" w:ascii="仿宋_GB2312" w:eastAsia="仿宋_GB2312" w:cs="Times New Roman"/>
          <w:sz w:val="32"/>
          <w:szCs w:val="32"/>
        </w:rPr>
        <w:t>原材料、工艺参数</w:t>
      </w:r>
      <w:r>
        <w:rPr>
          <w:rFonts w:ascii="仿宋_GB2312" w:eastAsia="仿宋_GB2312" w:cs="Times New Roman"/>
          <w:sz w:val="32"/>
          <w:szCs w:val="32"/>
        </w:rPr>
        <w:t>的在线检测和质量控制</w:t>
      </w:r>
      <w:r>
        <w:rPr>
          <w:rFonts w:hint="eastAsia" w:ascii="仿宋_GB2312" w:eastAsia="仿宋_GB2312" w:cs="Times New Roman"/>
          <w:sz w:val="32"/>
          <w:szCs w:val="32"/>
        </w:rPr>
        <w:t>。研发推广安全环保型、系列化工业炸药，系列化、无雷管感度现场混装工业炸药（含</w:t>
      </w:r>
      <w:r>
        <w:rPr>
          <w:rFonts w:hint="eastAsia" w:ascii="仿宋_GB2312" w:eastAsia="仿宋_GB2312" w:cs="Times New Roman"/>
          <w:sz w:val="32"/>
          <w:szCs w:val="32"/>
          <w:lang w:eastAsia="zh-CN"/>
        </w:rPr>
        <w:t>乳胶基质</w:t>
      </w:r>
      <w:r>
        <w:rPr>
          <w:rFonts w:hint="eastAsia" w:ascii="仿宋_GB2312" w:eastAsia="仿宋_GB2312" w:cs="Times New Roman"/>
          <w:sz w:val="32"/>
          <w:szCs w:val="32"/>
        </w:rPr>
        <w:t>）；特殊用途炸药；绿色包装材料；安全、可靠、环保及系列化工业炸药制品；可定期失效的稳定可控型震源药柱；退役火（炸）药工业炸药制品应用产品；高性能、高效能、系列化射孔弹；高效、安全、环保型人工影响天气用燃爆器材；新型特种工业炸药制品。开展乳化炸药系列配方及稳定性研究，研发依据爆破现场作业参数实时调整配方的现场混装炸药产品，研发用于消除应力、提高金属结构件强度等方面的爆炸加工用新型炸药;工业炸药由以包装型为主向散装型和现场混装炸药方向发展。研发推广高稳定性、可靠性工业数码电子雷管（含电子控制模块和点火元件），适应煤矿井下等特殊场所应用的工业数码电子雷管；系列化工业导爆索；低爆炸感度、高安全性、环保型起爆药；新型起爆器材。研发柔性、防滑、高强度导爆索；工业导爆索向系列化、多功能方向发展。研发用于新型应急救援、防灾减灾等方面的民用爆炸物品。</w:t>
      </w:r>
    </w:p>
    <w:p>
      <w:pPr>
        <w:ind w:firstLine="643" w:firstLineChars="200"/>
        <w:outlineLvl w:val="1"/>
        <w:rPr>
          <w:rFonts w:ascii="楷体" w:hAnsi="楷体" w:eastAsia="楷体"/>
          <w:b/>
          <w:sz w:val="32"/>
          <w:szCs w:val="32"/>
        </w:rPr>
      </w:pPr>
      <w:bookmarkStart w:id="30" w:name="_Toc16569"/>
      <w:r>
        <w:rPr>
          <w:rFonts w:hint="eastAsia" w:ascii="楷体" w:hAnsi="楷体" w:eastAsia="楷体"/>
          <w:b/>
          <w:sz w:val="32"/>
          <w:szCs w:val="32"/>
        </w:rPr>
        <w:t>（二）工艺和智能制造方面</w:t>
      </w:r>
      <w:bookmarkEnd w:id="30"/>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推广智能制造装备、软件、标准和解决方案，推动机器人及智能成套装备在生产线上下料、设备巡检等环节的应用，进一步推进危险岗位机器人替代。探索 5G 通信与无线射频识别（RFID）等智能传感技术在生产、运输、储存过程控制环节的应用，实现原料制备、制药、装药、包装、装卸车、出入库等全流程数据采集与监控，应用先进控制与实时优化技术提高生产过程自动控制与管理水平。加快人工智能、数字孪生等新技术在设备故障自诊断与预测性维护、质量在线检测和安全动态监控预警等场景的应用。支持有条件、基础好的企业建设供应链协同平台和自动化、无人化智能仓库，实现民爆物品实时追溯、监控和智能配送，打造数据互联互通、信息可信交互、生产深度协同、资源灵活配置的供应链。鼓励相关企业对标智能制造能力成熟度模型等国家标准，制定民爆行业智能制造实施路线图，开展智能场景、智能工房和智能场点试点示范，组织经验交流、行业推介活动，开展经验模式总结和复制推广。</w:t>
      </w:r>
    </w:p>
    <w:p>
      <w:pPr>
        <w:ind w:firstLine="643" w:firstLineChars="200"/>
        <w:outlineLvl w:val="1"/>
        <w:rPr>
          <w:rFonts w:ascii="楷体" w:hAnsi="楷体" w:eastAsia="楷体"/>
          <w:b/>
          <w:sz w:val="32"/>
          <w:szCs w:val="32"/>
        </w:rPr>
      </w:pPr>
      <w:bookmarkStart w:id="31" w:name="_Toc14376"/>
      <w:r>
        <w:rPr>
          <w:rFonts w:hint="eastAsia" w:ascii="楷体" w:hAnsi="楷体" w:eastAsia="楷体"/>
          <w:b/>
          <w:sz w:val="32"/>
          <w:szCs w:val="32"/>
        </w:rPr>
        <w:t>（三）安全生产方面</w:t>
      </w:r>
      <w:bookmarkEnd w:id="31"/>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压实企业安全生产主体责任，严格实行企业全员安全生产责任制，健全“层层负责、人人有责、各负其责”的安全生产责任体系。完善企业安全生产管理体系，保障安全生产条件，推动企业（集团）安全管理水平一致化。健全风险防控和隐患排查治理体系，严格执行安全隐患排查治理“双报告”制度。加强生产安全事故应急工作，完善应急工作预案，及时开展应急演练，提升应急管理水平。依法依规对从业人员进行安全生产教育培训。按照市场化原则，推动民爆企业安全生产责任保险全覆盖。加大技术研发力度，鼓励低爆炸感度民爆物品研发应用，提升民爆物品全生命周期本质安全水平。通过开展试点示范，推动实施民爆行业“工业互联网+安全生产”专项行动，构建基于工业互联网的安全生产感知、监测、预警、处置和评估体系，以智能制造和信息化建设为手段提高生产线本质安全水平，实现行业整体安全水平大幅提高。</w:t>
      </w:r>
    </w:p>
    <w:p>
      <w:pPr>
        <w:ind w:firstLine="643" w:firstLineChars="200"/>
        <w:outlineLvl w:val="1"/>
        <w:rPr>
          <w:rFonts w:ascii="楷体" w:hAnsi="楷体" w:eastAsia="楷体"/>
          <w:b/>
          <w:sz w:val="32"/>
          <w:szCs w:val="32"/>
        </w:rPr>
      </w:pPr>
      <w:bookmarkStart w:id="32" w:name="_Toc15607"/>
      <w:r>
        <w:rPr>
          <w:rFonts w:hint="eastAsia" w:ascii="楷体" w:hAnsi="楷体" w:eastAsia="楷体"/>
          <w:b/>
          <w:sz w:val="32"/>
          <w:szCs w:val="32"/>
        </w:rPr>
        <w:t>（四）清洁生产方面</w:t>
      </w:r>
      <w:bookmarkEnd w:id="32"/>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鼓励企业开展低能耗、低排放新工艺、新设备的研究与应用</w:t>
      </w:r>
      <w:r>
        <w:rPr>
          <w:rFonts w:ascii="仿宋_GB2312" w:eastAsia="仿宋_GB2312" w:cs="Times New Roman"/>
          <w:sz w:val="32"/>
          <w:szCs w:val="32"/>
        </w:rPr>
        <w:t>，</w:t>
      </w:r>
      <w:r>
        <w:rPr>
          <w:rFonts w:hint="eastAsia" w:ascii="仿宋_GB2312" w:eastAsia="仿宋_GB2312" w:cs="Times New Roman"/>
          <w:sz w:val="32"/>
          <w:szCs w:val="32"/>
        </w:rPr>
        <w:t>加快环保型震源药柱及起爆具生产技术的研发应用，推动硝酸铵水溶液及配套水、油相技术的应用，开展少铅无铅火工品体制造技术、环保型高性能起爆药制造技术、无铅污染测试标准的研究与应用。</w:t>
      </w:r>
    </w:p>
    <w:p>
      <w:pPr>
        <w:ind w:firstLine="643" w:firstLineChars="200"/>
        <w:outlineLvl w:val="1"/>
        <w:rPr>
          <w:rFonts w:ascii="楷体" w:hAnsi="楷体" w:eastAsia="楷体"/>
          <w:b/>
          <w:sz w:val="32"/>
          <w:szCs w:val="32"/>
        </w:rPr>
      </w:pPr>
      <w:bookmarkStart w:id="33" w:name="_Toc482"/>
      <w:r>
        <w:rPr>
          <w:rFonts w:hint="eastAsia" w:ascii="楷体" w:hAnsi="楷体" w:eastAsia="楷体"/>
          <w:b/>
          <w:sz w:val="32"/>
          <w:szCs w:val="32"/>
        </w:rPr>
        <w:t>（五）国际交流方面</w:t>
      </w:r>
      <w:bookmarkEnd w:id="33"/>
    </w:p>
    <w:p>
      <w:pPr>
        <w:ind w:firstLine="640" w:firstLineChars="200"/>
        <w:rPr>
          <w:rFonts w:ascii="黑体" w:eastAsia="黑体"/>
          <w:sz w:val="28"/>
          <w:szCs w:val="28"/>
          <w:lang w:val="zh-CN"/>
        </w:rPr>
      </w:pPr>
      <w:r>
        <w:rPr>
          <w:rFonts w:hint="eastAsia" w:ascii="仿宋_GB2312" w:eastAsia="仿宋_GB2312" w:cs="Times New Roman"/>
          <w:sz w:val="32"/>
          <w:szCs w:val="32"/>
        </w:rPr>
        <w:t>发挥比较优势，推动民爆企业加强国际合作。以“一带一路”沿线资源条件好、配套能力强、市场潜力大的国家为重点，以矿山、高铁、电力等企业“走出去”为牵引，支持优势企业到海外投资建设生产基地和开展“一体化”服务。鼓励国内民爆企业参与进出口贸易，与国际先进民爆企业和技术研发机构等开展联合研发或合资合作，积极拓展产业链高端环节国际合作，加强产业链互补，提升国际化运营能力。积极开展多边交流互鉴，及时了解国际民爆领域新理念和经验，加大中国良好举措和实践的对外宣介力度。</w:t>
      </w:r>
    </w:p>
    <w:p>
      <w:pPr>
        <w:ind w:firstLine="640" w:firstLineChars="200"/>
        <w:outlineLvl w:val="0"/>
        <w:rPr>
          <w:rFonts w:ascii="Times New Roman" w:hAnsi="黑体" w:eastAsia="黑体"/>
          <w:sz w:val="32"/>
          <w:szCs w:val="32"/>
        </w:rPr>
      </w:pPr>
      <w:bookmarkStart w:id="34" w:name="_Toc15115"/>
      <w:r>
        <w:rPr>
          <w:rFonts w:hint="eastAsia" w:ascii="Times New Roman" w:hAnsi="黑体" w:eastAsia="黑体"/>
          <w:sz w:val="32"/>
          <w:szCs w:val="32"/>
        </w:rPr>
        <w:t>五、“十四五”技术标准体系的发展目标和主要任务</w:t>
      </w:r>
      <w:bookmarkEnd w:id="34"/>
    </w:p>
    <w:p>
      <w:pPr>
        <w:ind w:firstLine="643" w:firstLineChars="200"/>
        <w:outlineLvl w:val="1"/>
        <w:rPr>
          <w:rFonts w:ascii="楷体" w:hAnsi="楷体" w:eastAsia="楷体"/>
          <w:b/>
          <w:sz w:val="32"/>
          <w:szCs w:val="32"/>
        </w:rPr>
      </w:pPr>
      <w:bookmarkStart w:id="35" w:name="_Toc12804"/>
      <w:r>
        <w:rPr>
          <w:rFonts w:hint="eastAsia" w:ascii="楷体" w:hAnsi="楷体" w:eastAsia="楷体"/>
          <w:b/>
          <w:sz w:val="32"/>
          <w:szCs w:val="32"/>
        </w:rPr>
        <w:t>（一）发展目标和主要任务</w:t>
      </w:r>
      <w:bookmarkEnd w:id="35"/>
    </w:p>
    <w:p>
      <w:pPr>
        <w:ind w:firstLine="640" w:firstLineChars="200"/>
        <w:rPr>
          <w:rFonts w:ascii="仿宋" w:hAnsi="仿宋" w:eastAsia="仿宋"/>
          <w:sz w:val="32"/>
          <w:szCs w:val="32"/>
        </w:rPr>
      </w:pPr>
      <w:r>
        <w:rPr>
          <w:rFonts w:hint="eastAsia" w:ascii="仿宋_GB2312" w:eastAsia="仿宋_GB2312"/>
          <w:sz w:val="32"/>
          <w:szCs w:val="32"/>
        </w:rPr>
        <w:t>“十四五”期间，民爆行业标准化工作将深入贯彻落实《国务院关于印发深化标准化工作改革方案的通知》（国发[2015]13号）的要求，紧密结合《“十四五”民用爆炸物品行业安全发展规划》，发挥标准在行业管理、产业结构调整、安全生产、节能减排、科技进步等方面的支撑和引领作用。持续开展标准修订工作，使标准平均标龄缩减到5年以内，进一步增强标准与行业发展需求贴合度。</w:t>
      </w:r>
      <w:r>
        <w:rPr>
          <w:rFonts w:hint="eastAsia" w:ascii="仿宋" w:hAnsi="仿宋" w:eastAsia="仿宋"/>
          <w:sz w:val="32"/>
          <w:szCs w:val="32"/>
        </w:rPr>
        <w:t>积极推进国际标准化工作，研究制定民爆行业智能制造标准。</w:t>
      </w:r>
    </w:p>
    <w:p>
      <w:pPr>
        <w:ind w:firstLine="643" w:firstLineChars="200"/>
        <w:outlineLvl w:val="1"/>
        <w:rPr>
          <w:rFonts w:ascii="楷体" w:hAnsi="楷体" w:eastAsia="楷体"/>
          <w:b/>
          <w:sz w:val="32"/>
          <w:szCs w:val="32"/>
        </w:rPr>
      </w:pPr>
      <w:bookmarkStart w:id="36" w:name="_Toc30504"/>
      <w:r>
        <w:rPr>
          <w:rFonts w:hint="eastAsia" w:ascii="楷体" w:hAnsi="楷体" w:eastAsia="楷体"/>
          <w:b/>
          <w:sz w:val="32"/>
          <w:szCs w:val="32"/>
        </w:rPr>
        <w:t>（二）标准制定的重点领域</w:t>
      </w:r>
      <w:bookmarkEnd w:id="36"/>
    </w:p>
    <w:p>
      <w:pPr>
        <w:ind w:firstLine="630" w:firstLineChars="196"/>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.检测方法研究及制定</w:t>
      </w:r>
    </w:p>
    <w:p>
      <w:pPr>
        <w:ind w:firstLine="555"/>
        <w:rPr>
          <w:rFonts w:ascii="仿宋_GB2312" w:eastAsia="仿宋_GB2312"/>
          <w:sz w:val="32"/>
          <w:szCs w:val="32"/>
        </w:rPr>
      </w:pPr>
      <w:r>
        <w:rPr>
          <w:rFonts w:hint="eastAsia" w:ascii="仿宋_GB2312" w:eastAsia="仿宋_GB2312"/>
          <w:sz w:val="32"/>
          <w:szCs w:val="32"/>
        </w:rPr>
        <w:t>在整合工业雷管产品标准的基础上，参照欧盟标准完善工业雷管检测方法体系，完善现有的试验方法，研究民用爆炸物品生产线安全联锁装置校验方法标准。拟制定标准见表</w:t>
      </w:r>
      <w:r>
        <w:rPr>
          <w:rFonts w:ascii="仿宋_GB2312" w:eastAsia="仿宋_GB2312"/>
          <w:sz w:val="32"/>
          <w:szCs w:val="32"/>
        </w:rPr>
        <w:t>5</w:t>
      </w:r>
      <w:r>
        <w:rPr>
          <w:rFonts w:hint="eastAsia" w:ascii="仿宋_GB2312" w:eastAsia="仿宋_GB2312"/>
          <w:sz w:val="32"/>
          <w:szCs w:val="32"/>
        </w:rPr>
        <w:t>。</w:t>
      </w:r>
    </w:p>
    <w:p>
      <w:pPr>
        <w:jc w:val="center"/>
        <w:rPr>
          <w:rFonts w:ascii="仿宋_GB2312" w:eastAsia="仿宋_GB2312"/>
          <w:sz w:val="30"/>
          <w:szCs w:val="30"/>
        </w:rPr>
      </w:pPr>
      <w:r>
        <w:rPr>
          <w:rFonts w:hint="eastAsia" w:ascii="仿宋_GB2312" w:eastAsia="仿宋_GB2312"/>
          <w:sz w:val="30"/>
          <w:szCs w:val="30"/>
        </w:rPr>
        <w:t>表</w:t>
      </w:r>
      <w:r>
        <w:rPr>
          <w:rFonts w:ascii="仿宋_GB2312" w:eastAsia="仿宋_GB2312"/>
          <w:sz w:val="30"/>
          <w:szCs w:val="30"/>
        </w:rPr>
        <w:t>5</w:t>
      </w:r>
      <w:r>
        <w:rPr>
          <w:rFonts w:hint="eastAsia" w:ascii="仿宋_GB2312" w:eastAsia="仿宋_GB2312"/>
          <w:sz w:val="30"/>
          <w:szCs w:val="30"/>
        </w:rPr>
        <w:t xml:space="preserve">  拟制定检测方法标准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41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5415" w:type="dxa"/>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2363" w:type="dxa"/>
          </w:tcPr>
          <w:p>
            <w:pPr>
              <w:widowControl/>
              <w:jc w:val="center"/>
              <w:rPr>
                <w:rFonts w:ascii="Times New Roman" w:hAnsi="Times New Roman" w:cs="Times New Roman"/>
                <w:kern w:val="0"/>
                <w:szCs w:val="21"/>
              </w:rPr>
            </w:pPr>
            <w:r>
              <w:rPr>
                <w:rFonts w:ascii="Times New Roman" w:hAnsi="Times New Roman" w:cs="Times New Roman"/>
                <w:kern w:val="0"/>
                <w:szCs w:val="21"/>
              </w:rPr>
              <w:t>拟立项年度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bookmarkStart w:id="37" w:name="_Hlk471314706"/>
            <w:r>
              <w:rPr>
                <w:rFonts w:ascii="Times New Roman" w:hAnsi="Times New Roman" w:cs="Times New Roman"/>
                <w:kern w:val="0"/>
                <w:szCs w:val="21"/>
              </w:rPr>
              <w:t>1</w:t>
            </w:r>
          </w:p>
        </w:tc>
        <w:tc>
          <w:tcPr>
            <w:tcW w:w="5415" w:type="dxa"/>
            <w:vAlign w:val="center"/>
          </w:tcPr>
          <w:p>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工业雷管冲击电压测试方法</w:t>
            </w:r>
          </w:p>
        </w:tc>
        <w:tc>
          <w:tcPr>
            <w:tcW w:w="2363"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color w:val="000000"/>
                <w:kern w:val="0"/>
                <w:szCs w:val="21"/>
              </w:rPr>
              <w:t>已立项</w:t>
            </w:r>
            <w:r>
              <w:rPr>
                <w:rFonts w:ascii="Times New Roman" w:hAnsi="Times New Roman" w:cs="Times New Roman"/>
                <w:color w:val="000000"/>
                <w:kern w:val="0"/>
                <w:szCs w:val="21"/>
              </w:rPr>
              <w:t>2019-0557T-MB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415" w:type="dxa"/>
            <w:vAlign w:val="center"/>
          </w:tcPr>
          <w:p>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雷管抗弯性测试方法</w:t>
            </w:r>
          </w:p>
        </w:tc>
        <w:tc>
          <w:tcPr>
            <w:tcW w:w="2363"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color w:val="000000"/>
                <w:kern w:val="0"/>
                <w:szCs w:val="21"/>
              </w:rPr>
              <w:t>已立项</w:t>
            </w:r>
            <w:r>
              <w:rPr>
                <w:rFonts w:ascii="Times New Roman" w:hAnsi="Times New Roman" w:cs="Times New Roman"/>
                <w:color w:val="000000"/>
                <w:kern w:val="0"/>
                <w:szCs w:val="21"/>
              </w:rPr>
              <w:t>2019-0559T-MB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415" w:type="dxa"/>
            <w:vAlign w:val="center"/>
          </w:tcPr>
          <w:p>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工业雷管抗跌落性能试验方法</w:t>
            </w:r>
          </w:p>
        </w:tc>
        <w:tc>
          <w:tcPr>
            <w:tcW w:w="2363"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color w:val="000000"/>
                <w:kern w:val="0"/>
                <w:szCs w:val="21"/>
              </w:rPr>
              <w:t>已立项</w:t>
            </w:r>
            <w:r>
              <w:rPr>
                <w:rFonts w:ascii="Times New Roman" w:hAnsi="Times New Roman" w:cs="Times New Roman"/>
                <w:color w:val="000000"/>
                <w:kern w:val="0"/>
                <w:szCs w:val="21"/>
              </w:rPr>
              <w:t>2019-0558T-MB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c>
          <w:tcPr>
            <w:tcW w:w="5415" w:type="dxa"/>
          </w:tcPr>
          <w:p>
            <w:pPr>
              <w:widowControl/>
              <w:jc w:val="left"/>
              <w:rPr>
                <w:rFonts w:ascii="Times New Roman" w:hAnsi="Times New Roman" w:cs="Times New Roman"/>
                <w:kern w:val="0"/>
                <w:szCs w:val="21"/>
              </w:rPr>
            </w:pPr>
            <w:r>
              <w:rPr>
                <w:rFonts w:ascii="Times New Roman" w:hAnsi="Times New Roman" w:cs="Times New Roman"/>
                <w:kern w:val="0"/>
                <w:szCs w:val="21"/>
              </w:rPr>
              <w:t>导线和导爆管耐磨性、耐切割损坏性测试方法</w:t>
            </w:r>
          </w:p>
        </w:tc>
        <w:tc>
          <w:tcPr>
            <w:tcW w:w="2363" w:type="dxa"/>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c>
          <w:tcPr>
            <w:tcW w:w="5415" w:type="dxa"/>
          </w:tcPr>
          <w:p>
            <w:pPr>
              <w:widowControl/>
              <w:jc w:val="left"/>
              <w:rPr>
                <w:rFonts w:ascii="Times New Roman" w:hAnsi="Times New Roman" w:cs="Times New Roman"/>
                <w:kern w:val="0"/>
                <w:szCs w:val="21"/>
              </w:rPr>
            </w:pPr>
            <w:r>
              <w:rPr>
                <w:rFonts w:ascii="Times New Roman" w:hAnsi="Times New Roman" w:cs="Times New Roman"/>
                <w:kern w:val="0"/>
                <w:szCs w:val="21"/>
              </w:rPr>
              <w:t>导线耐低温断裂性测试方法</w:t>
            </w:r>
          </w:p>
        </w:tc>
        <w:tc>
          <w:tcPr>
            <w:tcW w:w="2363" w:type="dxa"/>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5415" w:type="dxa"/>
          </w:tcPr>
          <w:p>
            <w:pPr>
              <w:widowControl/>
              <w:jc w:val="left"/>
              <w:rPr>
                <w:rFonts w:ascii="Times New Roman" w:hAnsi="Times New Roman" w:cs="Times New Roman"/>
                <w:kern w:val="0"/>
                <w:szCs w:val="21"/>
              </w:rPr>
            </w:pPr>
            <w:r>
              <w:rPr>
                <w:rFonts w:ascii="Times New Roman" w:hAnsi="Times New Roman" w:cs="Times New Roman"/>
                <w:kern w:val="0"/>
                <w:szCs w:val="21"/>
              </w:rPr>
              <w:t>导线、导爆管、连接件、卡口和封口塞机械强度测试方法</w:t>
            </w:r>
          </w:p>
        </w:tc>
        <w:tc>
          <w:tcPr>
            <w:tcW w:w="2363" w:type="dxa"/>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5415" w:type="dxa"/>
          </w:tcPr>
          <w:p>
            <w:pPr>
              <w:widowControl/>
              <w:jc w:val="left"/>
              <w:rPr>
                <w:rFonts w:ascii="Times New Roman" w:hAnsi="Times New Roman" w:cs="Times New Roman"/>
                <w:kern w:val="0"/>
                <w:szCs w:val="21"/>
              </w:rPr>
            </w:pPr>
            <w:r>
              <w:rPr>
                <w:rFonts w:ascii="Times New Roman" w:hAnsi="Times New Roman" w:cs="Times New Roman"/>
                <w:kern w:val="0"/>
                <w:szCs w:val="21"/>
              </w:rPr>
              <w:t>无雷管感度现场混装炸药试验方法</w:t>
            </w:r>
          </w:p>
        </w:tc>
        <w:tc>
          <w:tcPr>
            <w:tcW w:w="2363" w:type="dxa"/>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w:t>
            </w:r>
          </w:p>
        </w:tc>
        <w:tc>
          <w:tcPr>
            <w:tcW w:w="5415" w:type="dxa"/>
          </w:tcPr>
          <w:p>
            <w:pPr>
              <w:widowControl/>
              <w:jc w:val="left"/>
              <w:rPr>
                <w:rFonts w:ascii="Times New Roman" w:hAnsi="Times New Roman" w:cs="Times New Roman"/>
                <w:kern w:val="0"/>
                <w:szCs w:val="21"/>
              </w:rPr>
            </w:pPr>
            <w:r>
              <w:rPr>
                <w:rFonts w:ascii="Times New Roman" w:hAnsi="Times New Roman" w:cs="Times New Roman"/>
                <w:kern w:val="0"/>
                <w:szCs w:val="21"/>
              </w:rPr>
              <w:t>生产线安全联锁装置校验方法标准</w:t>
            </w:r>
          </w:p>
        </w:tc>
        <w:tc>
          <w:tcPr>
            <w:tcW w:w="2363" w:type="dxa"/>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9</w:t>
            </w:r>
          </w:p>
        </w:tc>
        <w:tc>
          <w:tcPr>
            <w:tcW w:w="5415"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工业雷管防殉爆检测方法</w:t>
            </w:r>
          </w:p>
        </w:tc>
        <w:tc>
          <w:tcPr>
            <w:tcW w:w="2363" w:type="dxa"/>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以后</w:t>
            </w:r>
          </w:p>
        </w:tc>
      </w:tr>
      <w:bookmarkEnd w:id="37"/>
    </w:tbl>
    <w:p>
      <w:pPr>
        <w:ind w:firstLine="630" w:firstLineChars="196"/>
        <w:outlineLvl w:val="2"/>
        <w:rPr>
          <w:rFonts w:ascii="仿宋_GB2312" w:eastAsia="仿宋_GB2312"/>
          <w:b/>
          <w:sz w:val="32"/>
          <w:szCs w:val="32"/>
        </w:rPr>
      </w:pPr>
      <w:bookmarkStart w:id="38" w:name="_Toc5356"/>
      <w:r>
        <w:rPr>
          <w:rFonts w:ascii="仿宋_GB2312" w:eastAsia="仿宋_GB2312"/>
          <w:b/>
          <w:sz w:val="32"/>
          <w:szCs w:val="32"/>
        </w:rPr>
        <w:t>2</w:t>
      </w:r>
      <w:r>
        <w:rPr>
          <w:rFonts w:hint="eastAsia" w:ascii="仿宋_GB2312" w:eastAsia="仿宋_GB2312"/>
          <w:b/>
          <w:sz w:val="32"/>
          <w:szCs w:val="32"/>
        </w:rPr>
        <w:t>.</w:t>
      </w:r>
      <w:bookmarkStart w:id="39" w:name="_Toc471317090"/>
      <w:r>
        <w:rPr>
          <w:rFonts w:hint="eastAsia" w:ascii="仿宋_GB2312" w:eastAsia="仿宋_GB2312"/>
          <w:b/>
          <w:sz w:val="32"/>
          <w:szCs w:val="32"/>
        </w:rPr>
        <w:t>智能制造标准研究及制定</w:t>
      </w:r>
      <w:bookmarkEnd w:id="38"/>
      <w:bookmarkEnd w:id="39"/>
    </w:p>
    <w:p>
      <w:pPr>
        <w:ind w:firstLine="555"/>
        <w:rPr>
          <w:rFonts w:ascii="仿宋_GB2312" w:eastAsia="仿宋_GB2312"/>
          <w:sz w:val="32"/>
          <w:szCs w:val="32"/>
        </w:rPr>
      </w:pPr>
      <w:r>
        <w:rPr>
          <w:rFonts w:hint="eastAsia" w:ascii="仿宋_GB2312" w:eastAsia="仿宋_GB2312"/>
          <w:sz w:val="32"/>
          <w:szCs w:val="32"/>
        </w:rPr>
        <w:t>结合民爆行业两化融合进程，智能制造专项，智能制造标准体系，研究制定民爆行业智能装备、智能工厂、智能物流等方面的基础、技术标准。研究民爆物品生产装备安全联锁通用技术要求标准。拟制定智能制造标准项目见表</w:t>
      </w:r>
      <w:r>
        <w:rPr>
          <w:rFonts w:ascii="仿宋_GB2312" w:eastAsia="仿宋_GB2312"/>
          <w:sz w:val="32"/>
          <w:szCs w:val="32"/>
        </w:rPr>
        <w:t>6</w:t>
      </w:r>
      <w:r>
        <w:rPr>
          <w:rFonts w:hint="eastAsia" w:ascii="仿宋_GB2312" w:eastAsia="仿宋_GB2312"/>
          <w:sz w:val="32"/>
          <w:szCs w:val="32"/>
        </w:rPr>
        <w:t>。</w:t>
      </w:r>
    </w:p>
    <w:p>
      <w:pPr>
        <w:jc w:val="center"/>
        <w:rPr>
          <w:rFonts w:ascii="仿宋_GB2312" w:eastAsia="仿宋_GB2312"/>
          <w:sz w:val="30"/>
          <w:szCs w:val="30"/>
        </w:rPr>
      </w:pPr>
      <w:r>
        <w:rPr>
          <w:rFonts w:hint="eastAsia" w:ascii="仿宋_GB2312" w:eastAsia="仿宋_GB2312"/>
          <w:sz w:val="30"/>
          <w:szCs w:val="30"/>
        </w:rPr>
        <w:t>表</w:t>
      </w:r>
      <w:r>
        <w:rPr>
          <w:rFonts w:ascii="仿宋_GB2312" w:eastAsia="仿宋_GB2312"/>
          <w:sz w:val="30"/>
          <w:szCs w:val="30"/>
        </w:rPr>
        <w:t>6</w:t>
      </w:r>
      <w:r>
        <w:rPr>
          <w:rFonts w:hint="eastAsia" w:ascii="仿宋_GB2312" w:eastAsia="仿宋_GB2312"/>
          <w:sz w:val="30"/>
          <w:szCs w:val="30"/>
        </w:rPr>
        <w:t xml:space="preserve">  拟制定智能制造标准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45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6452" w:type="dxa"/>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1326" w:type="dxa"/>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拟立项年度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1</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民爆行业智能工厂集成  胶状乳化炸药车间</w:t>
            </w:r>
          </w:p>
        </w:tc>
        <w:tc>
          <w:tcPr>
            <w:tcW w:w="1326" w:type="dxa"/>
          </w:tcPr>
          <w:p>
            <w:pPr>
              <w:widowControl/>
              <w:jc w:val="left"/>
              <w:rPr>
                <w:rFonts w:hint="eastAsia"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2</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民爆行业智能工厂集成  工业电子雷管装配车间</w:t>
            </w:r>
          </w:p>
        </w:tc>
        <w:tc>
          <w:tcPr>
            <w:tcW w:w="1326" w:type="dxa"/>
          </w:tcPr>
          <w:p>
            <w:pPr>
              <w:widowControl/>
              <w:jc w:val="left"/>
              <w:rPr>
                <w:rFonts w:hint="eastAsia"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3</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民爆安全生产智能工厂 网络互联互通总体架构</w:t>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4</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民爆安全生产智能工厂 网络互联互通信息模型</w:t>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5</w:t>
            </w:r>
          </w:p>
        </w:tc>
        <w:tc>
          <w:tcPr>
            <w:tcW w:w="6452" w:type="dxa"/>
          </w:tcPr>
          <w:p>
            <w:pPr>
              <w:widowControl/>
              <w:tabs>
                <w:tab w:val="left" w:pos="5204"/>
              </w:tabs>
              <w:jc w:val="left"/>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rPr>
              <w:t>民爆安全生产智能工厂 物体描述信息模型</w:t>
            </w:r>
            <w:r>
              <w:rPr>
                <w:rFonts w:hint="eastAsia" w:ascii="Times New Roman" w:hAnsi="Times New Roman" w:cs="Times New Roman"/>
                <w:kern w:val="0"/>
                <w:szCs w:val="21"/>
                <w:lang w:eastAsia="zh-CN"/>
              </w:rPr>
              <w:tab/>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6</w:t>
            </w:r>
          </w:p>
        </w:tc>
        <w:tc>
          <w:tcPr>
            <w:tcW w:w="6452"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民用爆炸物品智能工厂（车间）安全性通用要求</w:t>
            </w:r>
          </w:p>
        </w:tc>
        <w:tc>
          <w:tcPr>
            <w:tcW w:w="132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7</w:t>
            </w:r>
          </w:p>
        </w:tc>
        <w:tc>
          <w:tcPr>
            <w:tcW w:w="6452"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民用爆炸物品智能工厂（车间）数据采集、传输、互联互通通用要求</w:t>
            </w:r>
          </w:p>
        </w:tc>
        <w:tc>
          <w:tcPr>
            <w:tcW w:w="132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8</w:t>
            </w:r>
          </w:p>
        </w:tc>
        <w:tc>
          <w:tcPr>
            <w:tcW w:w="6452"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民用爆炸物品智能工厂（车间）设备可靠性通用要求</w:t>
            </w:r>
          </w:p>
        </w:tc>
        <w:tc>
          <w:tcPr>
            <w:tcW w:w="132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9</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工业炸药及制品智能生产线评价标准</w:t>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10</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民用爆炸物品智能工厂（车间）效率评价技术要求</w:t>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w:t>
            </w:r>
            <w:r>
              <w:rPr>
                <w:rFonts w:ascii="Times New Roman" w:hAnsi="Times New Roman" w:cs="Times New Roman"/>
                <w:kern w:val="0"/>
                <w:szCs w:val="21"/>
              </w:rPr>
              <w:t>1</w:t>
            </w:r>
          </w:p>
        </w:tc>
        <w:tc>
          <w:tcPr>
            <w:tcW w:w="6452" w:type="dxa"/>
          </w:tcPr>
          <w:p>
            <w:pPr>
              <w:widowControl/>
              <w:jc w:val="left"/>
              <w:rPr>
                <w:rFonts w:ascii="Times New Roman" w:hAnsi="Times New Roman" w:cs="Times New Roman"/>
                <w:kern w:val="0"/>
                <w:szCs w:val="21"/>
              </w:rPr>
            </w:pPr>
            <w:bookmarkStart w:id="40" w:name="OLE_LINK30"/>
            <w:bookmarkStart w:id="41" w:name="OLE_LINK29"/>
            <w:r>
              <w:rPr>
                <w:rFonts w:hint="eastAsia" w:ascii="Times New Roman" w:hAnsi="Times New Roman" w:cs="Times New Roman"/>
                <w:kern w:val="0"/>
                <w:szCs w:val="21"/>
              </w:rPr>
              <w:t>民用爆炸物品智能工厂（车间）物流实时追踪要求</w:t>
            </w:r>
            <w:bookmarkEnd w:id="40"/>
            <w:bookmarkEnd w:id="41"/>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12</w:t>
            </w:r>
          </w:p>
        </w:tc>
        <w:tc>
          <w:tcPr>
            <w:tcW w:w="6452"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民用爆炸物品生产设备智能化评价指标体系</w:t>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13</w:t>
            </w:r>
          </w:p>
        </w:tc>
        <w:tc>
          <w:tcPr>
            <w:tcW w:w="6452" w:type="dxa"/>
          </w:tcPr>
          <w:p>
            <w:pPr>
              <w:widowControl/>
              <w:jc w:val="left"/>
              <w:rPr>
                <w:rFonts w:ascii="Times New Roman" w:hAnsi="Times New Roman" w:cs="Times New Roman"/>
                <w:kern w:val="0"/>
                <w:szCs w:val="21"/>
              </w:rPr>
            </w:pPr>
            <w:r>
              <w:rPr>
                <w:rFonts w:hint="eastAsia"/>
              </w:rPr>
              <w:t>民爆物品生产装备安全联锁通用技术要求</w:t>
            </w:r>
          </w:p>
        </w:tc>
        <w:tc>
          <w:tcPr>
            <w:tcW w:w="1326" w:type="dxa"/>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bl>
    <w:p>
      <w:pPr>
        <w:ind w:firstLine="630" w:firstLineChars="196"/>
        <w:outlineLvl w:val="2"/>
        <w:rPr>
          <w:rFonts w:ascii="仿宋_GB2312" w:eastAsia="仿宋_GB2312"/>
          <w:b/>
          <w:sz w:val="32"/>
          <w:szCs w:val="32"/>
        </w:rPr>
      </w:pPr>
      <w:bookmarkStart w:id="42" w:name="_Toc471317091"/>
      <w:bookmarkStart w:id="43" w:name="_Toc19945"/>
      <w:r>
        <w:rPr>
          <w:rFonts w:ascii="仿宋_GB2312" w:eastAsia="仿宋_GB2312"/>
          <w:b/>
          <w:sz w:val="32"/>
          <w:szCs w:val="32"/>
        </w:rPr>
        <w:t>3</w:t>
      </w:r>
      <w:r>
        <w:rPr>
          <w:rFonts w:hint="eastAsia" w:ascii="仿宋_GB2312" w:eastAsia="仿宋_GB2312"/>
          <w:b/>
          <w:sz w:val="32"/>
          <w:szCs w:val="32"/>
        </w:rPr>
        <w:t>.安全生产标准研究及制定</w:t>
      </w:r>
      <w:bookmarkEnd w:id="42"/>
      <w:bookmarkEnd w:id="43"/>
    </w:p>
    <w:p>
      <w:pPr>
        <w:ind w:firstLine="555"/>
        <w:rPr>
          <w:rFonts w:ascii="仿宋_GB2312" w:eastAsia="仿宋_GB2312"/>
          <w:sz w:val="32"/>
          <w:szCs w:val="32"/>
        </w:rPr>
      </w:pPr>
      <w:r>
        <w:rPr>
          <w:rFonts w:hint="eastAsia" w:ascii="仿宋_GB2312" w:eastAsia="仿宋_GB2312"/>
          <w:sz w:val="32"/>
          <w:szCs w:val="32"/>
        </w:rPr>
        <w:t>梳理民用爆炸物品安全管理法规、要求，落实国家安全管理要求，研究安全风险管理、风险识别、风险分析、风险评估的方法，研究安全隐患判定、分级方法，应急管理与应急救援方案，实施安全生产标准化，制定相关指南性标准，帮助企业提升安全生产水平。研究民用爆炸物品库房安全条件，防火、防盗技术，防静电、导静电技术，湿度、温度对产品质量、安全的影响等，制定民用爆炸物品储存安全要求。制定民爆行业职业健康管理等方面标准，完善安全生产与职业健康管理体系。拟制定的安全生产标准清单见表</w:t>
      </w:r>
      <w:r>
        <w:rPr>
          <w:rFonts w:ascii="仿宋_GB2312" w:eastAsia="仿宋_GB2312"/>
          <w:sz w:val="32"/>
          <w:szCs w:val="32"/>
        </w:rPr>
        <w:t>7</w:t>
      </w:r>
      <w:r>
        <w:rPr>
          <w:rFonts w:hint="eastAsia" w:ascii="仿宋_GB2312" w:eastAsia="仿宋_GB2312"/>
          <w:sz w:val="32"/>
          <w:szCs w:val="32"/>
        </w:rPr>
        <w:t>。</w:t>
      </w:r>
    </w:p>
    <w:p>
      <w:pPr>
        <w:ind w:firstLine="555"/>
        <w:jc w:val="center"/>
        <w:rPr>
          <w:rFonts w:ascii="仿宋_GB2312" w:eastAsia="仿宋_GB2312"/>
          <w:sz w:val="30"/>
          <w:szCs w:val="30"/>
        </w:rPr>
      </w:pPr>
      <w:r>
        <w:rPr>
          <w:rFonts w:hint="eastAsia" w:ascii="仿宋_GB2312" w:eastAsia="仿宋_GB2312"/>
          <w:sz w:val="30"/>
          <w:szCs w:val="30"/>
        </w:rPr>
        <w:t>表</w:t>
      </w:r>
      <w:r>
        <w:rPr>
          <w:rFonts w:ascii="仿宋_GB2312" w:eastAsia="仿宋_GB2312"/>
          <w:sz w:val="30"/>
          <w:szCs w:val="30"/>
        </w:rPr>
        <w:t>7</w:t>
      </w:r>
      <w:r>
        <w:rPr>
          <w:rFonts w:hint="eastAsia" w:ascii="仿宋_GB2312" w:eastAsia="仿宋_GB2312"/>
          <w:sz w:val="30"/>
          <w:szCs w:val="30"/>
        </w:rPr>
        <w:t xml:space="preserve"> 拟制定的安全生产标准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050"/>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44"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4050"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3728"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拟立项年度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bookmarkStart w:id="44" w:name="_Hlk477789500"/>
            <w:r>
              <w:rPr>
                <w:rFonts w:ascii="Times New Roman" w:hAnsi="Times New Roman" w:cs="Times New Roman"/>
                <w:kern w:val="0"/>
                <w:szCs w:val="21"/>
              </w:rPr>
              <w:t>1</w:t>
            </w:r>
          </w:p>
        </w:tc>
        <w:tc>
          <w:tcPr>
            <w:tcW w:w="4050"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szCs w:val="21"/>
              </w:rPr>
              <w:t>民爆行业安全风险管理指南</w:t>
            </w:r>
          </w:p>
        </w:tc>
        <w:tc>
          <w:tcPr>
            <w:tcW w:w="3728"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已立项，调整了“重大事故隐患判定”标准计划，2015-0664T-MB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050"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szCs w:val="21"/>
              </w:rPr>
              <w:t>民爆企业安全生产标准化实施指南</w:t>
            </w:r>
          </w:p>
        </w:tc>
        <w:tc>
          <w:tcPr>
            <w:tcW w:w="3728"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050"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szCs w:val="21"/>
              </w:rPr>
              <w:t>民爆行业安全隐患分类分级指南</w:t>
            </w:r>
          </w:p>
        </w:tc>
        <w:tc>
          <w:tcPr>
            <w:tcW w:w="3728"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已立项，调整了“重大事故隐患判定”标准计划，2015-0664T-MB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050"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szCs w:val="21"/>
              </w:rPr>
              <w:t>民爆行业应急管理与应急救援指南</w:t>
            </w:r>
          </w:p>
        </w:tc>
        <w:tc>
          <w:tcPr>
            <w:tcW w:w="3728"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已立项，2019-0555T-MB</w:t>
            </w:r>
          </w:p>
        </w:tc>
      </w:tr>
      <w:bookmarkEnd w:id="44"/>
    </w:tbl>
    <w:p>
      <w:pPr>
        <w:ind w:firstLine="630" w:firstLineChars="196"/>
        <w:outlineLvl w:val="2"/>
        <w:rPr>
          <w:rFonts w:ascii="仿宋_GB2312" w:eastAsia="仿宋_GB2312"/>
          <w:b/>
          <w:sz w:val="32"/>
          <w:szCs w:val="32"/>
        </w:rPr>
      </w:pPr>
      <w:bookmarkStart w:id="45" w:name="_Toc6085"/>
      <w:bookmarkStart w:id="46" w:name="_Toc471317092"/>
      <w:r>
        <w:rPr>
          <w:rFonts w:ascii="仿宋_GB2312" w:eastAsia="仿宋_GB2312"/>
          <w:b/>
          <w:sz w:val="32"/>
          <w:szCs w:val="32"/>
        </w:rPr>
        <w:t>4</w:t>
      </w:r>
      <w:r>
        <w:rPr>
          <w:rFonts w:hint="eastAsia" w:ascii="仿宋_GB2312" w:eastAsia="仿宋_GB2312"/>
          <w:b/>
          <w:sz w:val="32"/>
          <w:szCs w:val="32"/>
        </w:rPr>
        <w:t>.节能减排、清洁生产标准研究及制定</w:t>
      </w:r>
      <w:bookmarkEnd w:id="45"/>
      <w:bookmarkEnd w:id="46"/>
    </w:p>
    <w:p>
      <w:pPr>
        <w:ind w:firstLine="555"/>
        <w:rPr>
          <w:rFonts w:ascii="仿宋_GB2312" w:eastAsia="仿宋_GB2312"/>
          <w:sz w:val="32"/>
          <w:szCs w:val="32"/>
        </w:rPr>
      </w:pPr>
      <w:r>
        <w:rPr>
          <w:rFonts w:hint="eastAsia" w:ascii="仿宋_GB2312" w:eastAsia="仿宋_GB2312"/>
          <w:sz w:val="32"/>
          <w:szCs w:val="32"/>
        </w:rPr>
        <w:t>研究落实国家有关双碳目标、节能减排、清洁生产的要求，研究制定民爆行业碳排放标准、三废排放标准、单位产品能源消耗限额，单位产品取水定额，制定节水型企业评价导则，清洁生产要求和评价体系标准。</w:t>
      </w:r>
      <w:r>
        <w:rPr>
          <w:rFonts w:hint="eastAsia" w:ascii="仿宋_GB2312" w:eastAsia="仿宋_GB2312"/>
          <w:sz w:val="30"/>
          <w:szCs w:val="30"/>
        </w:rPr>
        <w:t>拟制定的节能环保、清洁生产标准清单见表</w:t>
      </w:r>
      <w:r>
        <w:rPr>
          <w:rFonts w:ascii="仿宋_GB2312" w:eastAsia="仿宋_GB2312"/>
          <w:sz w:val="30"/>
          <w:szCs w:val="30"/>
        </w:rPr>
        <w:t>8</w:t>
      </w:r>
      <w:r>
        <w:rPr>
          <w:rFonts w:hint="eastAsia" w:ascii="仿宋_GB2312" w:eastAsia="仿宋_GB2312"/>
          <w:sz w:val="30"/>
          <w:szCs w:val="30"/>
        </w:rPr>
        <w:t>。</w:t>
      </w:r>
    </w:p>
    <w:p>
      <w:pPr>
        <w:jc w:val="center"/>
        <w:rPr>
          <w:rFonts w:ascii="仿宋_GB2312" w:eastAsia="仿宋_GB2312"/>
          <w:sz w:val="30"/>
          <w:szCs w:val="30"/>
        </w:rPr>
      </w:pPr>
      <w:r>
        <w:rPr>
          <w:rFonts w:hint="eastAsia" w:ascii="仿宋_GB2312" w:eastAsia="仿宋_GB2312"/>
          <w:sz w:val="30"/>
          <w:szCs w:val="30"/>
        </w:rPr>
        <w:t>表</w:t>
      </w:r>
      <w:r>
        <w:rPr>
          <w:rFonts w:ascii="仿宋_GB2312" w:eastAsia="仿宋_GB2312"/>
          <w:sz w:val="30"/>
          <w:szCs w:val="30"/>
        </w:rPr>
        <w:t>8</w:t>
      </w:r>
      <w:r>
        <w:rPr>
          <w:rFonts w:hint="eastAsia" w:ascii="仿宋_GB2312" w:eastAsia="仿宋_GB2312"/>
          <w:sz w:val="30"/>
          <w:szCs w:val="30"/>
        </w:rPr>
        <w:t xml:space="preserve">  拟制定的节能环保、清洁生产标准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485"/>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4485"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3293" w:type="dxa"/>
            <w:shd w:val="clear" w:color="auto" w:fill="auto"/>
          </w:tcPr>
          <w:p>
            <w:pPr>
              <w:widowControl/>
              <w:jc w:val="center"/>
              <w:rPr>
                <w:rFonts w:ascii="Times New Roman" w:hAnsi="Times New Roman" w:cs="Times New Roman"/>
                <w:kern w:val="0"/>
                <w:szCs w:val="21"/>
              </w:rPr>
            </w:pPr>
            <w:r>
              <w:rPr>
                <w:rFonts w:ascii="Times New Roman" w:hAnsi="Times New Roman" w:cs="Times New Roman"/>
                <w:kern w:val="0"/>
                <w:szCs w:val="21"/>
              </w:rPr>
              <w:t>拟立项年度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vAlign w:val="center"/>
          </w:tcPr>
          <w:p>
            <w:pPr>
              <w:widowControl/>
              <w:jc w:val="center"/>
              <w:rPr>
                <w:rFonts w:ascii="Times New Roman" w:hAnsi="Times New Roman" w:cs="Times New Roman"/>
                <w:kern w:val="0"/>
                <w:szCs w:val="21"/>
              </w:rPr>
            </w:pPr>
            <w:bookmarkStart w:id="47" w:name="_Hlk477789543"/>
            <w:r>
              <w:rPr>
                <w:rFonts w:ascii="Times New Roman" w:hAnsi="Times New Roman" w:cs="Times New Roman"/>
                <w:kern w:val="0"/>
                <w:szCs w:val="21"/>
              </w:rPr>
              <w:t>1</w:t>
            </w:r>
          </w:p>
        </w:tc>
        <w:tc>
          <w:tcPr>
            <w:tcW w:w="4485"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szCs w:val="21"/>
              </w:rPr>
              <w:t>工业炸药清洁生产评价指标体系</w:t>
            </w:r>
          </w:p>
        </w:tc>
        <w:tc>
          <w:tcPr>
            <w:tcW w:w="3293" w:type="dxa"/>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已立项，2017-1422T-MB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485"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szCs w:val="21"/>
              </w:rPr>
              <w:t>工业雷管清洁生产评价指标体系</w:t>
            </w:r>
          </w:p>
        </w:tc>
        <w:tc>
          <w:tcPr>
            <w:tcW w:w="3293" w:type="dxa"/>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已立项，2017-1421T-MB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4485"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民用爆炸物品行业水污染物排放标准</w:t>
            </w:r>
          </w:p>
        </w:tc>
        <w:tc>
          <w:tcPr>
            <w:tcW w:w="3293"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c>
          <w:tcPr>
            <w:tcW w:w="4485" w:type="dxa"/>
            <w:shd w:val="clear" w:color="auto" w:fill="auto"/>
          </w:tcPr>
          <w:p>
            <w:pPr>
              <w:widowControl/>
              <w:jc w:val="left"/>
              <w:rPr>
                <w:rFonts w:ascii="Times New Roman" w:hAnsi="Times New Roman" w:cs="Times New Roman"/>
                <w:szCs w:val="21"/>
              </w:rPr>
            </w:pPr>
            <w:r>
              <w:rPr>
                <w:rFonts w:hint="eastAsia" w:ascii="Times New Roman" w:hAnsi="Times New Roman" w:cs="Times New Roman"/>
                <w:szCs w:val="21"/>
              </w:rPr>
              <w:t>民用爆炸物品行业节水型企业要求</w:t>
            </w:r>
          </w:p>
        </w:tc>
        <w:tc>
          <w:tcPr>
            <w:tcW w:w="3293"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c>
          <w:tcPr>
            <w:tcW w:w="4485"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民用爆炸物品行业废水处理设计规范</w:t>
            </w:r>
          </w:p>
        </w:tc>
        <w:tc>
          <w:tcPr>
            <w:tcW w:w="3293"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auto"/>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c>
          <w:tcPr>
            <w:tcW w:w="4485"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工业炸药生产碳排放核算方法</w:t>
            </w:r>
          </w:p>
        </w:tc>
        <w:tc>
          <w:tcPr>
            <w:tcW w:w="3293" w:type="dxa"/>
            <w:shd w:val="clear" w:color="auto" w:fill="auto"/>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2022以后</w:t>
            </w:r>
          </w:p>
        </w:tc>
      </w:tr>
      <w:bookmarkEnd w:id="47"/>
    </w:tbl>
    <w:p>
      <w:pPr>
        <w:ind w:firstLine="630" w:firstLineChars="196"/>
        <w:outlineLvl w:val="2"/>
        <w:rPr>
          <w:rFonts w:ascii="仿宋_GB2312" w:eastAsia="仿宋_GB2312"/>
          <w:b/>
          <w:sz w:val="32"/>
          <w:szCs w:val="32"/>
        </w:rPr>
      </w:pPr>
      <w:bookmarkStart w:id="48" w:name="_Toc471317093"/>
      <w:bookmarkStart w:id="49" w:name="_Toc9190"/>
      <w:r>
        <w:rPr>
          <w:rFonts w:ascii="仿宋_GB2312" w:eastAsia="仿宋_GB2312"/>
          <w:b/>
          <w:sz w:val="32"/>
          <w:szCs w:val="32"/>
        </w:rPr>
        <w:t>5</w:t>
      </w:r>
      <w:r>
        <w:rPr>
          <w:rFonts w:hint="eastAsia" w:ascii="仿宋_GB2312" w:eastAsia="仿宋_GB2312"/>
          <w:b/>
          <w:sz w:val="32"/>
          <w:szCs w:val="32"/>
        </w:rPr>
        <w:t>.国际标准化</w:t>
      </w:r>
      <w:bookmarkEnd w:id="48"/>
      <w:bookmarkEnd w:id="49"/>
    </w:p>
    <w:p>
      <w:pPr>
        <w:ind w:firstLine="640" w:firstLineChars="200"/>
        <w:rPr>
          <w:rFonts w:ascii="仿宋_GB2312" w:eastAsia="仿宋_GB2312"/>
          <w:sz w:val="32"/>
          <w:szCs w:val="32"/>
        </w:rPr>
      </w:pPr>
      <w:r>
        <w:rPr>
          <w:rFonts w:hint="eastAsia" w:ascii="仿宋_GB2312" w:eastAsia="仿宋_GB2312"/>
          <w:sz w:val="32"/>
          <w:szCs w:val="32"/>
        </w:rPr>
        <w:t>持续开展国外标准搜集研究，开展重点标准的对标分析，积极探索参与制定国际标准的途径，以及将出版我国民爆标准外文版。</w:t>
      </w:r>
    </w:p>
    <w:p>
      <w:pPr>
        <w:ind w:firstLine="643" w:firstLineChars="200"/>
        <w:outlineLvl w:val="1"/>
        <w:rPr>
          <w:rFonts w:ascii="楷体" w:hAnsi="楷体" w:eastAsia="楷体"/>
          <w:b/>
          <w:sz w:val="32"/>
          <w:szCs w:val="32"/>
        </w:rPr>
      </w:pPr>
      <w:bookmarkStart w:id="50" w:name="_Toc10712"/>
      <w:r>
        <w:rPr>
          <w:rFonts w:hint="eastAsia" w:ascii="楷体" w:hAnsi="楷体" w:eastAsia="楷体"/>
          <w:b/>
          <w:sz w:val="32"/>
          <w:szCs w:val="32"/>
        </w:rPr>
        <w:t>（三）拟整合、修订标准项目情况</w:t>
      </w:r>
      <w:bookmarkEnd w:id="50"/>
    </w:p>
    <w:p>
      <w:pPr>
        <w:ind w:firstLine="630" w:firstLineChars="196"/>
        <w:outlineLvl w:val="2"/>
        <w:rPr>
          <w:rFonts w:ascii="仿宋_GB2312" w:eastAsia="仿宋_GB2312"/>
          <w:b/>
          <w:sz w:val="32"/>
          <w:szCs w:val="32"/>
        </w:rPr>
      </w:pPr>
      <w:bookmarkStart w:id="51" w:name="_Toc471317088"/>
      <w:bookmarkStart w:id="52" w:name="_Toc13630"/>
      <w:r>
        <w:rPr>
          <w:rFonts w:hint="eastAsia" w:ascii="仿宋_GB2312" w:eastAsia="仿宋_GB2312"/>
          <w:b/>
          <w:sz w:val="32"/>
          <w:szCs w:val="32"/>
        </w:rPr>
        <w:t>1.产品标准整合、修订</w:t>
      </w:r>
      <w:bookmarkEnd w:id="51"/>
      <w:bookmarkEnd w:id="52"/>
    </w:p>
    <w:p>
      <w:pPr>
        <w:ind w:firstLine="555"/>
        <w:rPr>
          <w:rFonts w:ascii="仿宋_GB2312" w:eastAsia="仿宋_GB2312"/>
          <w:sz w:val="32"/>
          <w:szCs w:val="32"/>
        </w:rPr>
      </w:pPr>
      <w:r>
        <w:rPr>
          <w:rFonts w:hint="eastAsia" w:ascii="仿宋_GB2312" w:eastAsia="仿宋_GB2312"/>
          <w:sz w:val="32"/>
          <w:szCs w:val="32"/>
        </w:rPr>
        <w:t>在强制性标准整合精简、推荐性标准集中复审工作的基础上，对现有产品标准进行整合、修订。“十四五”期间，整合、修订的产品标准项目见表</w:t>
      </w:r>
      <w:r>
        <w:rPr>
          <w:rFonts w:ascii="仿宋_GB2312" w:eastAsia="仿宋_GB2312"/>
          <w:sz w:val="32"/>
          <w:szCs w:val="32"/>
        </w:rPr>
        <w:t>9</w:t>
      </w:r>
      <w:r>
        <w:rPr>
          <w:rFonts w:hint="eastAsia" w:ascii="仿宋_GB2312" w:eastAsia="仿宋_GB2312"/>
          <w:sz w:val="32"/>
          <w:szCs w:val="32"/>
        </w:rPr>
        <w:t>。</w:t>
      </w:r>
    </w:p>
    <w:p>
      <w:pPr>
        <w:jc w:val="center"/>
        <w:rPr>
          <w:rFonts w:ascii="仿宋_GB2312" w:eastAsia="仿宋_GB2312"/>
          <w:sz w:val="30"/>
          <w:szCs w:val="30"/>
        </w:rPr>
      </w:pPr>
      <w:bookmarkStart w:id="53" w:name="OLE_LINK8"/>
      <w:bookmarkStart w:id="54" w:name="OLE_LINK7"/>
      <w:r>
        <w:rPr>
          <w:rFonts w:hint="eastAsia" w:ascii="仿宋_GB2312" w:eastAsia="仿宋_GB2312"/>
          <w:sz w:val="30"/>
          <w:szCs w:val="30"/>
        </w:rPr>
        <w:t>表</w:t>
      </w:r>
      <w:r>
        <w:rPr>
          <w:rFonts w:ascii="仿宋_GB2312" w:eastAsia="仿宋_GB2312"/>
          <w:sz w:val="30"/>
          <w:szCs w:val="30"/>
        </w:rPr>
        <w:t>9</w:t>
      </w:r>
      <w:r>
        <w:rPr>
          <w:rFonts w:hint="eastAsia" w:ascii="仿宋_GB2312" w:eastAsia="仿宋_GB2312"/>
          <w:sz w:val="30"/>
          <w:szCs w:val="30"/>
        </w:rPr>
        <w:t xml:space="preserve">  “十四五”期间拟整合、修订产品标准</w:t>
      </w:r>
    </w:p>
    <w:bookmarkEnd w:id="53"/>
    <w:bookmarkEnd w:id="54"/>
    <w:tbl>
      <w:tblPr>
        <w:tblStyle w:val="1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29"/>
        <w:gridCol w:w="2736"/>
        <w:gridCol w:w="219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4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1729"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2736"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2197"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整合修订后</w:t>
            </w:r>
          </w:p>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122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拟立项</w:t>
            </w:r>
          </w:p>
          <w:p>
            <w:pPr>
              <w:widowControl/>
              <w:jc w:val="center"/>
              <w:rPr>
                <w:rFonts w:ascii="Times New Roman" w:hAnsi="Times New Roman" w:cs="Times New Roman"/>
                <w:kern w:val="0"/>
                <w:szCs w:val="21"/>
              </w:rPr>
            </w:pPr>
            <w:r>
              <w:rPr>
                <w:rFonts w:ascii="Times New Roman" w:hAnsi="Times New Roman" w:cs="Times New Roman"/>
                <w:kern w:val="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14493-2003</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工业炸药包装</w:t>
            </w:r>
          </w:p>
        </w:tc>
        <w:tc>
          <w:tcPr>
            <w:tcW w:w="2197" w:type="dxa"/>
            <w:vMerge w:val="restart"/>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工业炸药通用安全技术要求</w:t>
            </w:r>
          </w:p>
        </w:tc>
        <w:tc>
          <w:tcPr>
            <w:tcW w:w="1220" w:type="dxa"/>
            <w:vMerge w:val="restart"/>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已报国标立项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28286-2012</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工业炸药通用技术条件</w:t>
            </w:r>
          </w:p>
        </w:tc>
        <w:tc>
          <w:tcPr>
            <w:tcW w:w="2197" w:type="dxa"/>
            <w:vMerge w:val="continue"/>
            <w:shd w:val="clear" w:color="auto" w:fill="auto"/>
            <w:vAlign w:val="center"/>
          </w:tcPr>
          <w:p>
            <w:pPr>
              <w:widowControl/>
              <w:jc w:val="left"/>
              <w:rPr>
                <w:rFonts w:ascii="Times New Roman" w:hAnsi="Times New Roman" w:cs="Times New Roman"/>
                <w:kern w:val="0"/>
                <w:szCs w:val="21"/>
              </w:rPr>
            </w:pPr>
          </w:p>
        </w:tc>
        <w:tc>
          <w:tcPr>
            <w:tcW w:w="1220"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9083-2015</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含火药含水工业炸药</w:t>
            </w:r>
          </w:p>
        </w:tc>
        <w:tc>
          <w:tcPr>
            <w:tcW w:w="2197" w:type="dxa"/>
            <w:vMerge w:val="continue"/>
            <w:shd w:val="clear" w:color="auto" w:fill="auto"/>
            <w:vAlign w:val="center"/>
          </w:tcPr>
          <w:p>
            <w:pPr>
              <w:widowControl/>
              <w:jc w:val="left"/>
              <w:rPr>
                <w:rFonts w:ascii="Times New Roman" w:hAnsi="Times New Roman" w:cs="Times New Roman"/>
                <w:kern w:val="0"/>
                <w:szCs w:val="21"/>
              </w:rPr>
            </w:pPr>
          </w:p>
        </w:tc>
        <w:tc>
          <w:tcPr>
            <w:tcW w:w="1220"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15563-2005</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震源药柱</w:t>
            </w:r>
          </w:p>
        </w:tc>
        <w:tc>
          <w:tcPr>
            <w:tcW w:w="2197" w:type="dxa"/>
            <w:vMerge w:val="restart"/>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工业炸药制品通用安全技术要求</w:t>
            </w:r>
          </w:p>
        </w:tc>
        <w:tc>
          <w:tcPr>
            <w:tcW w:w="1220" w:type="dxa"/>
            <w:vMerge w:val="restart"/>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已报国标立项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9045-2004</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起爆具</w:t>
            </w:r>
          </w:p>
        </w:tc>
        <w:tc>
          <w:tcPr>
            <w:tcW w:w="2197" w:type="dxa"/>
            <w:vMerge w:val="continue"/>
            <w:shd w:val="clear" w:color="auto" w:fill="auto"/>
            <w:vAlign w:val="center"/>
          </w:tcPr>
          <w:p>
            <w:pPr>
              <w:widowControl/>
              <w:jc w:val="left"/>
              <w:rPr>
                <w:rFonts w:ascii="Times New Roman" w:hAnsi="Times New Roman" w:cs="Times New Roman"/>
                <w:kern w:val="0"/>
                <w:szCs w:val="21"/>
              </w:rPr>
            </w:pPr>
          </w:p>
        </w:tc>
        <w:tc>
          <w:tcPr>
            <w:tcW w:w="1220"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8031-2015</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工业电雷管</w:t>
            </w:r>
          </w:p>
        </w:tc>
        <w:tc>
          <w:tcPr>
            <w:tcW w:w="2197" w:type="dxa"/>
            <w:vMerge w:val="restart"/>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工业雷管通用技术条件</w:t>
            </w:r>
          </w:p>
        </w:tc>
        <w:tc>
          <w:tcPr>
            <w:tcW w:w="1220" w:type="dxa"/>
            <w:vMerge w:val="restart"/>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已报国标立项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19417-2003</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导爆管雷管</w:t>
            </w:r>
          </w:p>
        </w:tc>
        <w:tc>
          <w:tcPr>
            <w:tcW w:w="2197" w:type="dxa"/>
            <w:vMerge w:val="continue"/>
            <w:shd w:val="clear" w:color="auto" w:fill="FFFF99"/>
            <w:vAlign w:val="center"/>
          </w:tcPr>
          <w:p>
            <w:pPr>
              <w:widowControl/>
              <w:jc w:val="left"/>
              <w:rPr>
                <w:rFonts w:ascii="Times New Roman" w:hAnsi="Times New Roman" w:cs="Times New Roman"/>
                <w:kern w:val="0"/>
                <w:szCs w:val="21"/>
              </w:rPr>
            </w:pPr>
          </w:p>
        </w:tc>
        <w:tc>
          <w:tcPr>
            <w:tcW w:w="1220" w:type="dxa"/>
            <w:vMerge w:val="continue"/>
            <w:shd w:val="clear" w:color="auto" w:fill="FFFF99"/>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9085-2015</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工业数码电子雷管</w:t>
            </w:r>
          </w:p>
        </w:tc>
        <w:tc>
          <w:tcPr>
            <w:tcW w:w="2197" w:type="dxa"/>
            <w:vMerge w:val="continue"/>
            <w:shd w:val="clear" w:color="auto" w:fill="FFFF99"/>
            <w:vAlign w:val="center"/>
          </w:tcPr>
          <w:p>
            <w:pPr>
              <w:widowControl/>
              <w:jc w:val="left"/>
              <w:rPr>
                <w:rFonts w:ascii="Times New Roman" w:hAnsi="Times New Roman" w:cs="Times New Roman"/>
                <w:kern w:val="0"/>
                <w:szCs w:val="21"/>
              </w:rPr>
            </w:pPr>
          </w:p>
        </w:tc>
        <w:tc>
          <w:tcPr>
            <w:tcW w:w="1220" w:type="dxa"/>
            <w:vMerge w:val="continue"/>
            <w:shd w:val="clear" w:color="auto" w:fill="FFFF99"/>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1729" w:type="dxa"/>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WJ/T 2019-2004</w:t>
            </w:r>
            <w:r>
              <w:rPr>
                <w:rFonts w:ascii="Times New Roman" w:hAnsi="Times New Roman" w:cs="Times New Roman"/>
                <w:kern w:val="0"/>
                <w:szCs w:val="21"/>
              </w:rPr>
              <w:t xml:space="preserve"> </w:t>
            </w:r>
          </w:p>
        </w:tc>
        <w:tc>
          <w:tcPr>
            <w:tcW w:w="2736" w:type="dxa"/>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塑料导爆管</w:t>
            </w:r>
          </w:p>
        </w:tc>
        <w:tc>
          <w:tcPr>
            <w:tcW w:w="2197" w:type="dxa"/>
            <w:vMerge w:val="continue"/>
            <w:shd w:val="clear" w:color="auto" w:fill="auto"/>
            <w:vAlign w:val="center"/>
          </w:tcPr>
          <w:p>
            <w:pPr>
              <w:widowControl/>
              <w:jc w:val="left"/>
              <w:rPr>
                <w:rFonts w:ascii="Times New Roman" w:hAnsi="Times New Roman" w:cs="Times New Roman"/>
                <w:kern w:val="0"/>
                <w:szCs w:val="21"/>
              </w:rPr>
            </w:pPr>
          </w:p>
        </w:tc>
        <w:tc>
          <w:tcPr>
            <w:tcW w:w="1220"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Align w:val="center"/>
          </w:tcPr>
          <w:p>
            <w:pPr>
              <w:widowControl/>
              <w:jc w:val="center"/>
              <w:rPr>
                <w:rFonts w:ascii="Times New Roman" w:hAnsi="Times New Roman" w:cs="Times New Roman"/>
                <w:kern w:val="0"/>
                <w:szCs w:val="21"/>
              </w:rPr>
            </w:pPr>
            <w:bookmarkStart w:id="55" w:name="_Hlk471313987"/>
            <w:r>
              <w:rPr>
                <w:rFonts w:ascii="Times New Roman" w:hAnsi="Times New Roman" w:cs="Times New Roman"/>
                <w:kern w:val="0"/>
                <w:szCs w:val="21"/>
              </w:rPr>
              <w:t>10</w:t>
            </w:r>
          </w:p>
        </w:tc>
        <w:tc>
          <w:tcPr>
            <w:tcW w:w="1729" w:type="dxa"/>
          </w:tcPr>
          <w:p>
            <w:r>
              <w:rPr>
                <w:rFonts w:hint="eastAsia"/>
              </w:rPr>
              <w:t>GB/T 13889-2015</w:t>
            </w:r>
          </w:p>
        </w:tc>
        <w:tc>
          <w:tcPr>
            <w:tcW w:w="2736" w:type="dxa"/>
          </w:tcPr>
          <w:p>
            <w:r>
              <w:rPr>
                <w:rFonts w:hint="eastAsia"/>
              </w:rPr>
              <w:t>油气井用电雷管</w:t>
            </w:r>
          </w:p>
        </w:tc>
        <w:tc>
          <w:tcPr>
            <w:tcW w:w="2197" w:type="dxa"/>
            <w:vMerge w:val="restart"/>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油气井用爆炸物品通用安全技术要求</w:t>
            </w:r>
          </w:p>
        </w:tc>
        <w:tc>
          <w:tcPr>
            <w:tcW w:w="1220" w:type="dxa"/>
            <w:vMerge w:val="restart"/>
            <w:vAlign w:val="center"/>
          </w:tcPr>
          <w:p>
            <w:pPr>
              <w:widowControl/>
              <w:jc w:val="center"/>
              <w:rPr>
                <w:rFonts w:ascii="Times New Roman" w:hAnsi="Times New Roman" w:cs="Times New Roman"/>
                <w:kern w:val="0"/>
                <w:szCs w:val="21"/>
              </w:rPr>
            </w:pP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022以后</w:t>
            </w: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1729"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9035-2002</w:t>
            </w:r>
          </w:p>
        </w:tc>
        <w:tc>
          <w:tcPr>
            <w:tcW w:w="2736"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油气井用导爆索</w:t>
            </w:r>
          </w:p>
        </w:tc>
        <w:tc>
          <w:tcPr>
            <w:tcW w:w="2197" w:type="dxa"/>
            <w:vMerge w:val="continue"/>
            <w:vAlign w:val="center"/>
          </w:tcPr>
          <w:p>
            <w:pPr>
              <w:widowControl/>
              <w:jc w:val="left"/>
              <w:rPr>
                <w:rFonts w:ascii="Times New Roman" w:hAnsi="Times New Roman" w:cs="Times New Roman"/>
                <w:kern w:val="0"/>
                <w:szCs w:val="21"/>
              </w:rPr>
            </w:pPr>
          </w:p>
        </w:tc>
        <w:tc>
          <w:tcPr>
            <w:tcW w:w="1220" w:type="dxa"/>
            <w:vMerge w:val="continue"/>
            <w:vAlign w:val="center"/>
          </w:tcPr>
          <w:p>
            <w:pPr>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1729"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9036-2002</w:t>
            </w:r>
          </w:p>
        </w:tc>
        <w:tc>
          <w:tcPr>
            <w:tcW w:w="2736"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油气井用套管爆炸整形弹</w:t>
            </w:r>
          </w:p>
        </w:tc>
        <w:tc>
          <w:tcPr>
            <w:tcW w:w="2197" w:type="dxa"/>
            <w:vMerge w:val="continue"/>
            <w:vAlign w:val="center"/>
          </w:tcPr>
          <w:p>
            <w:pPr>
              <w:widowControl/>
              <w:jc w:val="left"/>
              <w:rPr>
                <w:rFonts w:ascii="Times New Roman" w:hAnsi="Times New Roman" w:cs="Times New Roman"/>
                <w:kern w:val="0"/>
                <w:szCs w:val="21"/>
              </w:rPr>
            </w:pPr>
          </w:p>
        </w:tc>
        <w:tc>
          <w:tcPr>
            <w:tcW w:w="1220" w:type="dxa"/>
            <w:vMerge w:val="continue"/>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3</w:t>
            </w:r>
          </w:p>
        </w:tc>
        <w:tc>
          <w:tcPr>
            <w:tcW w:w="1729"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9037-2002</w:t>
            </w:r>
          </w:p>
        </w:tc>
        <w:tc>
          <w:tcPr>
            <w:tcW w:w="2736"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油气井用聚能切割弹</w:t>
            </w:r>
          </w:p>
        </w:tc>
        <w:tc>
          <w:tcPr>
            <w:tcW w:w="2197" w:type="dxa"/>
            <w:vMerge w:val="continue"/>
            <w:vAlign w:val="center"/>
          </w:tcPr>
          <w:p>
            <w:pPr>
              <w:widowControl/>
              <w:jc w:val="left"/>
              <w:rPr>
                <w:rFonts w:ascii="Times New Roman" w:hAnsi="Times New Roman" w:cs="Times New Roman"/>
                <w:kern w:val="0"/>
                <w:szCs w:val="21"/>
              </w:rPr>
            </w:pPr>
          </w:p>
        </w:tc>
        <w:tc>
          <w:tcPr>
            <w:tcW w:w="1220" w:type="dxa"/>
            <w:vMerge w:val="continue"/>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4</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22"/>
              </w:rPr>
            </w:pPr>
            <w:r>
              <w:rPr>
                <w:rFonts w:ascii="Times New Roman" w:hAnsi="Times New Roman" w:cs="Times New Roman"/>
                <w:sz w:val="22"/>
              </w:rPr>
              <w:t>GB/T 20488-2006</w:t>
            </w:r>
          </w:p>
        </w:tc>
        <w:tc>
          <w:tcPr>
            <w:tcW w:w="273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油气井聚能射孔器材性能试验方法</w:t>
            </w:r>
          </w:p>
        </w:tc>
        <w:tc>
          <w:tcPr>
            <w:tcW w:w="2197" w:type="dxa"/>
            <w:vMerge w:val="continue"/>
            <w:vAlign w:val="center"/>
          </w:tcPr>
          <w:p>
            <w:pPr>
              <w:widowControl/>
              <w:jc w:val="left"/>
              <w:rPr>
                <w:rFonts w:ascii="Times New Roman" w:hAnsi="Times New Roman" w:cs="Times New Roman"/>
                <w:kern w:val="0"/>
                <w:szCs w:val="21"/>
              </w:rPr>
            </w:pPr>
          </w:p>
        </w:tc>
        <w:tc>
          <w:tcPr>
            <w:tcW w:w="1220" w:type="dxa"/>
            <w:vMerge w:val="continue"/>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5</w:t>
            </w:r>
          </w:p>
        </w:tc>
        <w:tc>
          <w:tcPr>
            <w:tcW w:w="1729"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20489-2006</w:t>
            </w:r>
          </w:p>
        </w:tc>
        <w:tc>
          <w:tcPr>
            <w:tcW w:w="2736"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油气井聚能射孔器材通用技术条件</w:t>
            </w:r>
          </w:p>
        </w:tc>
        <w:tc>
          <w:tcPr>
            <w:tcW w:w="2197" w:type="dxa"/>
            <w:vMerge w:val="continue"/>
            <w:vAlign w:val="center"/>
          </w:tcPr>
          <w:p>
            <w:pPr>
              <w:widowControl/>
              <w:jc w:val="left"/>
              <w:rPr>
                <w:rFonts w:ascii="Times New Roman" w:hAnsi="Times New Roman" w:cs="Times New Roman"/>
                <w:kern w:val="0"/>
                <w:szCs w:val="21"/>
              </w:rPr>
            </w:pPr>
          </w:p>
        </w:tc>
        <w:tc>
          <w:tcPr>
            <w:tcW w:w="1220" w:type="dxa"/>
            <w:vMerge w:val="continue"/>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6</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9022-1995</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油、气井用爆破器材命名规则  聚能射孔弹</w:t>
            </w:r>
          </w:p>
        </w:tc>
        <w:tc>
          <w:tcPr>
            <w:tcW w:w="2197" w:type="dxa"/>
            <w:vMerge w:val="restart"/>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油气井用民用爆炸物品命名规则</w:t>
            </w:r>
          </w:p>
        </w:tc>
        <w:tc>
          <w:tcPr>
            <w:tcW w:w="1220" w:type="dxa"/>
            <w:vMerge w:val="restart"/>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7</w:t>
            </w:r>
          </w:p>
        </w:tc>
        <w:tc>
          <w:tcPr>
            <w:tcW w:w="172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9023-1995</w:t>
            </w:r>
          </w:p>
        </w:tc>
        <w:tc>
          <w:tcPr>
            <w:tcW w:w="2736"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油、气井用爆破器材命名规则  聚能切割弹</w:t>
            </w:r>
          </w:p>
        </w:tc>
        <w:tc>
          <w:tcPr>
            <w:tcW w:w="2197" w:type="dxa"/>
            <w:vMerge w:val="continue"/>
            <w:shd w:val="clear" w:color="auto" w:fill="auto"/>
            <w:vAlign w:val="center"/>
          </w:tcPr>
          <w:p>
            <w:pPr>
              <w:widowControl/>
              <w:jc w:val="left"/>
              <w:rPr>
                <w:rFonts w:ascii="Times New Roman" w:hAnsi="Times New Roman" w:cs="Times New Roman"/>
                <w:kern w:val="0"/>
                <w:szCs w:val="21"/>
              </w:rPr>
            </w:pPr>
          </w:p>
        </w:tc>
        <w:tc>
          <w:tcPr>
            <w:tcW w:w="1220"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bookmarkStart w:id="56" w:name="_Toc28517"/>
            <w:r>
              <w:rPr>
                <w:rFonts w:hint="eastAsia" w:ascii="Times New Roman" w:hAnsi="Times New Roman" w:cs="Times New Roman"/>
                <w:kern w:val="0"/>
                <w:szCs w:val="21"/>
              </w:rPr>
              <w:t>1</w:t>
            </w:r>
            <w:r>
              <w:rPr>
                <w:rFonts w:ascii="Times New Roman" w:hAnsi="Times New Roman" w:cs="Times New Roman"/>
                <w:kern w:val="0"/>
                <w:szCs w:val="21"/>
              </w:rPr>
              <w:t>8</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9041-2004</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民用爆破器材分类与代码</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9</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22"/>
              </w:rPr>
            </w:pPr>
            <w:r>
              <w:rPr>
                <w:rFonts w:ascii="Times New Roman" w:hAnsi="Times New Roman" w:cs="Times New Roman"/>
                <w:sz w:val="22"/>
              </w:rPr>
              <w:t>WJ/T 9040-2004</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GTG</w:t>
            </w:r>
            <w:r>
              <w:rPr>
                <w:rFonts w:hint="eastAsia" w:cs="Times New Roman"/>
                <w:sz w:val="22"/>
              </w:rPr>
              <w:t>起爆药</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bookmarkEnd w:id="56"/>
    </w:tbl>
    <w:p>
      <w:pPr>
        <w:ind w:firstLine="627" w:firstLineChars="196"/>
        <w:rPr>
          <w:rFonts w:ascii="仿宋_GB2312" w:eastAsia="仿宋_GB2312"/>
          <w:sz w:val="32"/>
          <w:szCs w:val="32"/>
        </w:rPr>
      </w:pPr>
      <w:bookmarkStart w:id="57" w:name="_Toc471317089"/>
    </w:p>
    <w:p>
      <w:pPr>
        <w:ind w:firstLine="630" w:firstLineChars="196"/>
        <w:outlineLvl w:val="2"/>
        <w:rPr>
          <w:rFonts w:ascii="仿宋_GB2312" w:eastAsia="仿宋_GB2312"/>
          <w:b/>
          <w:sz w:val="32"/>
          <w:szCs w:val="32"/>
        </w:rPr>
      </w:pPr>
      <w:bookmarkStart w:id="58" w:name="_Toc19688"/>
      <w:r>
        <w:rPr>
          <w:rFonts w:hint="eastAsia" w:ascii="仿宋_GB2312" w:eastAsia="仿宋_GB2312"/>
          <w:b/>
          <w:sz w:val="32"/>
          <w:szCs w:val="32"/>
        </w:rPr>
        <w:t>2.检测方法标准整合、修订</w:t>
      </w:r>
      <w:bookmarkEnd w:id="57"/>
      <w:bookmarkEnd w:id="58"/>
    </w:p>
    <w:p>
      <w:pPr>
        <w:ind w:firstLine="555"/>
        <w:rPr>
          <w:rFonts w:ascii="仿宋_GB2312" w:eastAsia="仿宋_GB2312"/>
          <w:sz w:val="32"/>
          <w:szCs w:val="32"/>
        </w:rPr>
      </w:pPr>
      <w:r>
        <w:rPr>
          <w:rFonts w:hint="eastAsia" w:ascii="仿宋_GB2312" w:eastAsia="仿宋_GB2312"/>
          <w:sz w:val="32"/>
          <w:szCs w:val="32"/>
        </w:rPr>
        <w:t>结合强制性标准整合精简、推荐性标准集中复审结论，对现有检测方法标准中技术内容落后、与产品标准不协调的标准进行修订。“十四五”期间修订的检测方法标准见表</w:t>
      </w:r>
      <w:r>
        <w:rPr>
          <w:rFonts w:ascii="仿宋_GB2312" w:eastAsia="仿宋_GB2312"/>
          <w:sz w:val="32"/>
          <w:szCs w:val="32"/>
        </w:rPr>
        <w:t>10</w:t>
      </w:r>
      <w:r>
        <w:rPr>
          <w:rFonts w:hint="eastAsia" w:ascii="仿宋_GB2312" w:eastAsia="仿宋_GB2312"/>
          <w:sz w:val="32"/>
          <w:szCs w:val="32"/>
        </w:rPr>
        <w:t>。</w:t>
      </w:r>
    </w:p>
    <w:p>
      <w:pPr>
        <w:jc w:val="center"/>
        <w:rPr>
          <w:rFonts w:ascii="仿宋_GB2312" w:eastAsia="仿宋_GB2312"/>
          <w:sz w:val="30"/>
          <w:szCs w:val="30"/>
        </w:rPr>
      </w:pPr>
      <w:r>
        <w:rPr>
          <w:rFonts w:hint="eastAsia" w:ascii="仿宋_GB2312" w:eastAsia="仿宋_GB2312"/>
          <w:sz w:val="30"/>
          <w:szCs w:val="30"/>
        </w:rPr>
        <w:t>表</w:t>
      </w:r>
      <w:r>
        <w:rPr>
          <w:rFonts w:ascii="仿宋_GB2312" w:eastAsia="仿宋_GB2312"/>
          <w:sz w:val="30"/>
          <w:szCs w:val="30"/>
        </w:rPr>
        <w:t>10</w:t>
      </w:r>
      <w:r>
        <w:rPr>
          <w:rFonts w:hint="eastAsia" w:ascii="仿宋_GB2312" w:eastAsia="仿宋_GB2312"/>
          <w:sz w:val="30"/>
          <w:szCs w:val="30"/>
        </w:rPr>
        <w:t xml:space="preserve">  “十四五”期间拟修订检测方法标准</w:t>
      </w:r>
    </w:p>
    <w:tbl>
      <w:tblPr>
        <w:tblStyle w:val="14"/>
        <w:tblW w:w="8463" w:type="dxa"/>
        <w:tblInd w:w="93" w:type="dxa"/>
        <w:tblLayout w:type="fixed"/>
        <w:tblCellMar>
          <w:top w:w="0" w:type="dxa"/>
          <w:left w:w="108" w:type="dxa"/>
          <w:bottom w:w="0" w:type="dxa"/>
          <w:right w:w="108" w:type="dxa"/>
        </w:tblCellMar>
      </w:tblPr>
      <w:tblGrid>
        <w:gridCol w:w="724"/>
        <w:gridCol w:w="1588"/>
        <w:gridCol w:w="2126"/>
        <w:gridCol w:w="2977"/>
        <w:gridCol w:w="1048"/>
      </w:tblGrid>
      <w:tr>
        <w:tblPrEx>
          <w:tblCellMar>
            <w:top w:w="0" w:type="dxa"/>
            <w:left w:w="108" w:type="dxa"/>
            <w:bottom w:w="0" w:type="dxa"/>
            <w:right w:w="108" w:type="dxa"/>
          </w:tblCellMar>
        </w:tblPrEx>
        <w:trPr>
          <w:cantSplit/>
          <w:tblHead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158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主要理由</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拟立项年度</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18096-2000</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煤矿许用电雷管可燃气安全度试验方法</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现标准方法内容不包含煤矿许用电子雷管可燃气安全度试验方法，该标准对其他可燃气体组分要求不明确，影响试验结果准确性，需需要对气体组分及含量以具体规定。</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18097-2000</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煤矿许用炸药可燃气安全度试验方法及判定</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该标准中结果判定章节内容与方法标准要求不符合，2该标准5.3.1试验用气的规定，对其他可燃气体组分要求不明确，影响试验结果准确性，需要对气体组分及含量以具体规定，3该标准的上位标准GB28286《工业炸药通用技术条件》已修订，修订内容涉及本标准且有需要修订的技术内容。</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18098-2000</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工业炸药爆炸后有毒气体含量的测定</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现标准方法不适应现场混装炸药等无雷管感度炸药爆炸后有毒气体的测试，2现标准方法规定工业炸药在真空条件下爆炸，与实际工程应用场景不符，测得的有毒气体含量与实际应用的常压条件下相差较大，3该标准的上位标准GB28286《工业炸药通用技术条件》已修订，修订内容涉及本标准且需要修订的技术内容，4与欧洲标准通用性差</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58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12436-1990</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炸药作功能力试验 铅壔法</w:t>
            </w:r>
          </w:p>
        </w:tc>
        <w:tc>
          <w:tcPr>
            <w:tcW w:w="2977" w:type="dxa"/>
            <w:vMerge w:val="restart"/>
            <w:tcBorders>
              <w:top w:val="nil"/>
              <w:left w:val="nil"/>
              <w:righ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整合修订</w:t>
            </w:r>
          </w:p>
        </w:tc>
        <w:tc>
          <w:tcPr>
            <w:tcW w:w="1048" w:type="dxa"/>
            <w:vMerge w:val="restart"/>
            <w:tcBorders>
              <w:top w:val="nil"/>
              <w:left w:val="nil"/>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58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9030-2004</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炸药作功能力试验用铅壔</w:t>
            </w:r>
          </w:p>
        </w:tc>
        <w:tc>
          <w:tcPr>
            <w:tcW w:w="2977" w:type="dxa"/>
            <w:vMerge w:val="continue"/>
            <w:tcBorders>
              <w:left w:val="nil"/>
              <w:bottom w:val="single" w:color="auto" w:sz="4" w:space="0"/>
              <w:right w:val="single" w:color="auto" w:sz="4" w:space="0"/>
            </w:tcBorders>
            <w:vAlign w:val="center"/>
          </w:tcPr>
          <w:p>
            <w:pPr>
              <w:jc w:val="left"/>
              <w:rPr>
                <w:rFonts w:ascii="Times New Roman" w:hAnsi="Times New Roman" w:cs="Times New Roman"/>
                <w:szCs w:val="21"/>
              </w:rPr>
            </w:pPr>
          </w:p>
        </w:tc>
        <w:tc>
          <w:tcPr>
            <w:tcW w:w="10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cantSpli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9051－2006</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煤矿许用炸药煤尘-可燃气安全度试验方法及判定</w:t>
            </w:r>
          </w:p>
        </w:tc>
        <w:tc>
          <w:tcPr>
            <w:tcW w:w="2977"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标准中包含判定的内容，为与相应产品标准一致，需要对本标准进行修订</w:t>
            </w:r>
          </w:p>
        </w:tc>
        <w:tc>
          <w:tcPr>
            <w:tcW w:w="10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2018-1352T-MB</w:t>
            </w:r>
          </w:p>
        </w:tc>
      </w:tr>
      <w:tr>
        <w:tblPrEx>
          <w:tblCellMar>
            <w:top w:w="0" w:type="dxa"/>
            <w:left w:w="108" w:type="dxa"/>
            <w:bottom w:w="0" w:type="dxa"/>
            <w:right w:w="108" w:type="dxa"/>
          </w:tblCellMar>
        </w:tblPrEx>
        <w:trPr>
          <w:cantSpli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13224-1991</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工业导爆索试验方法</w:t>
            </w:r>
          </w:p>
        </w:tc>
        <w:tc>
          <w:tcPr>
            <w:tcW w:w="2977"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标准内容已落后</w:t>
            </w:r>
          </w:p>
        </w:tc>
        <w:tc>
          <w:tcPr>
            <w:tcW w:w="10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20061-2006</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煤矿许用炸药抗爆燃性能测试方法及判定</w:t>
            </w:r>
          </w:p>
        </w:tc>
        <w:tc>
          <w:tcPr>
            <w:tcW w:w="2977"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标准中包含判定的内容，为与相应产品标准一致，需要对本标准进行修订</w:t>
            </w:r>
          </w:p>
        </w:tc>
        <w:tc>
          <w:tcPr>
            <w:tcW w:w="104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158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GB/T13226-1991</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工业雷管铅板试验方法</w:t>
            </w:r>
          </w:p>
        </w:tc>
        <w:tc>
          <w:tcPr>
            <w:tcW w:w="2977"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随着国家对环保的要求的提高和对员工职业健康考虑，建议用铝板代替铅板</w:t>
            </w:r>
          </w:p>
        </w:tc>
        <w:tc>
          <w:tcPr>
            <w:tcW w:w="10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158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sz w:val="22"/>
              </w:rPr>
              <w:t>GB/T 13227-1991</w:t>
            </w:r>
            <w:r>
              <w:rPr>
                <w:rFonts w:hint="eastAsia" w:cs="Times New Roman"/>
                <w:sz w:val="22"/>
              </w:rPr>
              <w:t>（</w:t>
            </w:r>
            <w:r>
              <w:rPr>
                <w:rFonts w:ascii="Times New Roman" w:hAnsi="Times New Roman" w:cs="Times New Roman"/>
                <w:sz w:val="22"/>
              </w:rPr>
              <w:t>2016</w:t>
            </w:r>
            <w:r>
              <w:rPr>
                <w:rFonts w:hint="eastAsia" w:cs="Times New Roman"/>
                <w:sz w:val="22"/>
              </w:rPr>
              <w:t>）</w:t>
            </w:r>
          </w:p>
        </w:tc>
        <w:tc>
          <w:tcPr>
            <w:tcW w:w="2126"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2"/>
              </w:rPr>
            </w:pPr>
            <w:r>
              <w:rPr>
                <w:rFonts w:hint="eastAsia" w:cs="Times New Roman"/>
                <w:sz w:val="22"/>
              </w:rPr>
              <w:t>工业雷管浸水试验方法</w:t>
            </w:r>
          </w:p>
        </w:tc>
        <w:tc>
          <w:tcPr>
            <w:tcW w:w="2977"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szCs w:val="21"/>
              </w:rPr>
            </w:pPr>
            <w:r>
              <w:rPr>
                <w:rFonts w:hint="eastAsia" w:ascii="Times New Roman" w:hAnsi="Times New Roman" w:cs="Times New Roman"/>
                <w:szCs w:val="21"/>
              </w:rPr>
              <w:t>因数码电子雷管的推广，建议整合标准。</w:t>
            </w:r>
          </w:p>
        </w:tc>
        <w:tc>
          <w:tcPr>
            <w:tcW w:w="10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1</w:t>
            </w:r>
          </w:p>
        </w:tc>
        <w:tc>
          <w:tcPr>
            <w:tcW w:w="158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GB12440-1990</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炸药猛度试验  铅柱压缩法</w:t>
            </w:r>
          </w:p>
        </w:tc>
        <w:tc>
          <w:tcPr>
            <w:tcW w:w="2977"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含梯炸药已淘汰，梯恩梯对人体的危害大，建议采用无梯恩梯、民爆生产厂家易得的标准炸药或其它方法对铅柱进行标定。</w:t>
            </w:r>
          </w:p>
        </w:tc>
        <w:tc>
          <w:tcPr>
            <w:tcW w:w="10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2</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GB/T13225-1991</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工业雷管延期时间测定方法</w:t>
            </w:r>
          </w:p>
        </w:tc>
        <w:tc>
          <w:tcPr>
            <w:tcW w:w="2977"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随着技术的发展，延期时间的测定时截止信号可能是光电信号、且有可能多发同时测定延期时间，建议对相关内容进行更新。</w:t>
            </w:r>
          </w:p>
        </w:tc>
        <w:tc>
          <w:tcPr>
            <w:tcW w:w="104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kern w:val="0"/>
                <w:szCs w:val="21"/>
              </w:rPr>
              <w:t>2</w:t>
            </w:r>
            <w:r>
              <w:rPr>
                <w:rFonts w:ascii="Times New Roman" w:hAnsi="Times New Roman" w:cs="Times New Roman"/>
                <w:kern w:val="0"/>
                <w:szCs w:val="21"/>
              </w:rPr>
              <w:t>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3</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20489-2006</w:t>
            </w:r>
          </w:p>
        </w:tc>
        <w:tc>
          <w:tcPr>
            <w:tcW w:w="2126" w:type="dxa"/>
            <w:tcBorders>
              <w:top w:val="single" w:color="auto" w:sz="4" w:space="0"/>
              <w:left w:val="nil"/>
              <w:bottom w:val="single" w:color="auto" w:sz="4" w:space="0"/>
              <w:right w:val="single" w:color="auto" w:sz="4" w:space="0"/>
            </w:tcBorders>
            <w:shd w:val="clear" w:color="auto" w:fill="auto"/>
          </w:tcPr>
          <w:p>
            <w:r>
              <w:rPr>
                <w:rFonts w:hint="eastAsia"/>
              </w:rPr>
              <w:t>油气井聚能射孔器材通用技术条件</w:t>
            </w:r>
          </w:p>
        </w:tc>
        <w:tc>
          <w:tcPr>
            <w:tcW w:w="2977" w:type="dxa"/>
            <w:vMerge w:val="restart"/>
            <w:tcBorders>
              <w:top w:val="single" w:color="auto" w:sz="4" w:space="0"/>
              <w:left w:val="nil"/>
              <w:right w:val="single" w:color="auto" w:sz="4" w:space="0"/>
            </w:tcBorders>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整合修订</w:t>
            </w:r>
            <w:r>
              <w:rPr>
                <w:rFonts w:hint="eastAsia" w:ascii="Times New Roman" w:hAnsi="Times New Roman" w:cs="Times New Roman"/>
                <w:szCs w:val="21"/>
              </w:rPr>
              <w:t>，</w:t>
            </w:r>
            <w:r>
              <w:rPr>
                <w:rFonts w:ascii="Times New Roman" w:hAnsi="Times New Roman" w:cs="Times New Roman"/>
                <w:szCs w:val="21"/>
              </w:rPr>
              <w:t>标准中的产品命名规则</w:t>
            </w:r>
            <w:r>
              <w:rPr>
                <w:rFonts w:hint="eastAsia" w:ascii="Times New Roman" w:hAnsi="Times New Roman" w:cs="Times New Roman"/>
                <w:szCs w:val="21"/>
              </w:rPr>
              <w:t>、</w:t>
            </w:r>
            <w:r>
              <w:rPr>
                <w:rFonts w:ascii="Times New Roman" w:hAnsi="Times New Roman" w:cs="Times New Roman"/>
                <w:szCs w:val="21"/>
              </w:rPr>
              <w:t>性能指标已与目前使用的条件不相符合</w:t>
            </w:r>
            <w:r>
              <w:rPr>
                <w:rFonts w:hint="eastAsia" w:ascii="Times New Roman" w:hAnsi="Times New Roman" w:cs="Times New Roman"/>
                <w:szCs w:val="21"/>
              </w:rPr>
              <w:t>，</w:t>
            </w:r>
            <w:r>
              <w:rPr>
                <w:rFonts w:ascii="Times New Roman" w:hAnsi="Times New Roman" w:cs="Times New Roman"/>
                <w:szCs w:val="21"/>
              </w:rPr>
              <w:t>不能满足产品发展需要</w:t>
            </w:r>
          </w:p>
        </w:tc>
        <w:tc>
          <w:tcPr>
            <w:tcW w:w="1048" w:type="dxa"/>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4</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WJ/T 9036-2002</w:t>
            </w:r>
          </w:p>
        </w:tc>
        <w:tc>
          <w:tcPr>
            <w:tcW w:w="2126" w:type="dxa"/>
            <w:tcBorders>
              <w:top w:val="single" w:color="auto" w:sz="4" w:space="0"/>
              <w:left w:val="nil"/>
              <w:bottom w:val="single" w:color="auto" w:sz="4" w:space="0"/>
              <w:right w:val="single" w:color="auto" w:sz="4" w:space="0"/>
            </w:tcBorders>
            <w:shd w:val="clear" w:color="auto" w:fill="auto"/>
          </w:tcPr>
          <w:p>
            <w:r>
              <w:rPr>
                <w:rFonts w:hint="eastAsia"/>
              </w:rPr>
              <w:t>油气井用套管爆炸整形弹</w:t>
            </w:r>
          </w:p>
        </w:tc>
        <w:tc>
          <w:tcPr>
            <w:tcW w:w="2977" w:type="dxa"/>
            <w:vMerge w:val="continue"/>
            <w:tcBorders>
              <w:left w:val="nil"/>
              <w:right w:val="single" w:color="auto" w:sz="4" w:space="0"/>
            </w:tcBorders>
            <w:shd w:val="clear" w:color="auto" w:fill="auto"/>
            <w:vAlign w:val="center"/>
          </w:tcPr>
          <w:p>
            <w:pPr>
              <w:jc w:val="left"/>
              <w:rPr>
                <w:rFonts w:ascii="Times New Roman" w:hAnsi="Times New Roman" w:cs="Times New Roman"/>
                <w:szCs w:val="21"/>
              </w:rPr>
            </w:pPr>
          </w:p>
        </w:tc>
        <w:tc>
          <w:tcPr>
            <w:tcW w:w="1048" w:type="dxa"/>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5</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WJ/T 9037-2002</w:t>
            </w:r>
          </w:p>
        </w:tc>
        <w:tc>
          <w:tcPr>
            <w:tcW w:w="2126" w:type="dxa"/>
            <w:tcBorders>
              <w:top w:val="single" w:color="auto" w:sz="4" w:space="0"/>
              <w:left w:val="nil"/>
              <w:bottom w:val="single" w:color="auto" w:sz="4" w:space="0"/>
              <w:right w:val="single" w:color="auto" w:sz="4" w:space="0"/>
            </w:tcBorders>
            <w:shd w:val="clear" w:color="auto" w:fill="auto"/>
          </w:tcPr>
          <w:p>
            <w:r>
              <w:rPr>
                <w:rFonts w:hint="eastAsia"/>
              </w:rPr>
              <w:t>油气井用聚能切割弹</w:t>
            </w:r>
          </w:p>
        </w:tc>
        <w:tc>
          <w:tcPr>
            <w:tcW w:w="2977" w:type="dxa"/>
            <w:vMerge w:val="continue"/>
            <w:tcBorders>
              <w:left w:val="nil"/>
              <w:right w:val="single" w:color="auto" w:sz="4" w:space="0"/>
            </w:tcBorders>
            <w:shd w:val="clear" w:color="auto" w:fill="auto"/>
            <w:vAlign w:val="center"/>
          </w:tcPr>
          <w:p>
            <w:pPr>
              <w:jc w:val="left"/>
              <w:rPr>
                <w:rFonts w:ascii="Times New Roman" w:hAnsi="Times New Roman" w:cs="Times New Roman"/>
                <w:szCs w:val="21"/>
              </w:rPr>
            </w:pPr>
          </w:p>
        </w:tc>
        <w:tc>
          <w:tcPr>
            <w:tcW w:w="1048" w:type="dxa"/>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cs="Times New Roman"/>
                <w:kern w:val="0"/>
                <w:szCs w:val="21"/>
              </w:rPr>
            </w:pPr>
            <w:r>
              <w:rPr>
                <w:rFonts w:hint="eastAsia" w:ascii="Times New Roman" w:hAnsi="Times New Roman" w:cs="Times New Roman"/>
                <w:kern w:val="0"/>
                <w:szCs w:val="21"/>
              </w:rPr>
              <w:t>2022以后</w:t>
            </w:r>
          </w:p>
        </w:tc>
      </w:tr>
      <w:tr>
        <w:tblPrEx>
          <w:tblCellMar>
            <w:top w:w="0" w:type="dxa"/>
            <w:left w:w="108" w:type="dxa"/>
            <w:bottom w:w="0" w:type="dxa"/>
            <w:right w:w="108" w:type="dxa"/>
          </w:tblCellMar>
        </w:tblPrEx>
        <w:trPr>
          <w:cantSpli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6</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20488-2006</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油气井聚能射孔器材性能试验方法</w:t>
            </w:r>
          </w:p>
        </w:tc>
        <w:tc>
          <w:tcPr>
            <w:tcW w:w="2977" w:type="dxa"/>
            <w:vMerge w:val="continue"/>
            <w:tcBorders>
              <w:left w:val="nil"/>
              <w:bottom w:val="single" w:color="auto" w:sz="4" w:space="0"/>
              <w:right w:val="single" w:color="auto" w:sz="4" w:space="0"/>
            </w:tcBorders>
            <w:shd w:val="clear" w:color="auto" w:fill="auto"/>
            <w:vAlign w:val="center"/>
          </w:tcPr>
          <w:p>
            <w:pPr>
              <w:jc w:val="left"/>
              <w:rPr>
                <w:rFonts w:ascii="Times New Roman" w:hAnsi="Times New Roman" w:cs="Times New Roman"/>
                <w:szCs w:val="21"/>
              </w:rPr>
            </w:pPr>
          </w:p>
        </w:tc>
        <w:tc>
          <w:tcPr>
            <w:tcW w:w="1048" w:type="dxa"/>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cs="Times New Roman"/>
                <w:kern w:val="0"/>
                <w:szCs w:val="21"/>
              </w:rPr>
            </w:pPr>
            <w:r>
              <w:rPr>
                <w:rFonts w:hint="eastAsia" w:ascii="Times New Roman" w:hAnsi="Times New Roman" w:cs="Times New Roman"/>
                <w:kern w:val="0"/>
                <w:szCs w:val="21"/>
              </w:rPr>
              <w:t>2022以后</w:t>
            </w:r>
          </w:p>
        </w:tc>
      </w:tr>
    </w:tbl>
    <w:p>
      <w:pPr>
        <w:ind w:firstLine="630" w:firstLineChars="196"/>
        <w:outlineLvl w:val="2"/>
        <w:rPr>
          <w:rFonts w:ascii="仿宋_GB2312" w:eastAsia="仿宋_GB2312"/>
          <w:sz w:val="32"/>
          <w:szCs w:val="32"/>
        </w:rPr>
      </w:pPr>
      <w:r>
        <w:rPr>
          <w:rFonts w:hint="eastAsia" w:ascii="仿宋_GB2312" w:eastAsia="仿宋_GB2312"/>
          <w:b/>
          <w:sz w:val="32"/>
          <w:szCs w:val="32"/>
        </w:rPr>
        <w:t>2.安全生产标准整合、修订</w:t>
      </w:r>
    </w:p>
    <w:p>
      <w:pPr>
        <w:ind w:firstLine="555"/>
        <w:rPr>
          <w:rFonts w:ascii="仿宋_GB2312" w:eastAsia="仿宋_GB2312"/>
          <w:sz w:val="32"/>
          <w:szCs w:val="32"/>
        </w:rPr>
      </w:pPr>
      <w:r>
        <w:rPr>
          <w:rFonts w:hint="eastAsia" w:ascii="仿宋_GB2312" w:eastAsia="仿宋_GB2312"/>
          <w:sz w:val="32"/>
          <w:szCs w:val="32"/>
        </w:rPr>
        <w:t>整合现有安全生产标准，修订完善《民用爆炸物品生产、销售企业安全管理规程》，拟整合的标准见表</w:t>
      </w:r>
      <w:r>
        <w:rPr>
          <w:rFonts w:ascii="仿宋_GB2312" w:eastAsia="仿宋_GB2312"/>
          <w:sz w:val="32"/>
          <w:szCs w:val="32"/>
        </w:rPr>
        <w:t>11</w:t>
      </w:r>
      <w:r>
        <w:rPr>
          <w:rFonts w:hint="eastAsia" w:ascii="仿宋_GB2312" w:eastAsia="仿宋_GB2312"/>
          <w:sz w:val="32"/>
          <w:szCs w:val="32"/>
        </w:rPr>
        <w:t>。</w:t>
      </w:r>
    </w:p>
    <w:p>
      <w:pPr>
        <w:ind w:firstLine="555"/>
        <w:jc w:val="center"/>
        <w:rPr>
          <w:rFonts w:ascii="仿宋_GB2312" w:eastAsia="仿宋_GB2312"/>
          <w:sz w:val="30"/>
          <w:szCs w:val="30"/>
        </w:rPr>
      </w:pPr>
      <w:r>
        <w:rPr>
          <w:rFonts w:hint="eastAsia" w:ascii="仿宋_GB2312" w:eastAsia="仿宋_GB2312"/>
          <w:sz w:val="30"/>
          <w:szCs w:val="30"/>
        </w:rPr>
        <w:t>表</w:t>
      </w:r>
      <w:r>
        <w:rPr>
          <w:rFonts w:ascii="仿宋_GB2312" w:eastAsia="仿宋_GB2312"/>
          <w:sz w:val="30"/>
          <w:szCs w:val="30"/>
        </w:rPr>
        <w:t>11</w:t>
      </w:r>
      <w:r>
        <w:rPr>
          <w:rFonts w:hint="eastAsia" w:ascii="仿宋_GB2312" w:eastAsia="仿宋_GB2312"/>
          <w:sz w:val="30"/>
          <w:szCs w:val="30"/>
        </w:rPr>
        <w:t xml:space="preserve">  拟整合/修订的安全生产标准</w:t>
      </w:r>
    </w:p>
    <w:tbl>
      <w:tblPr>
        <w:tblStyle w:val="14"/>
        <w:tblW w:w="86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69"/>
        <w:gridCol w:w="3549"/>
        <w:gridCol w:w="184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1669"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3549"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标准名称</w:t>
            </w:r>
          </w:p>
        </w:tc>
        <w:tc>
          <w:tcPr>
            <w:tcW w:w="1843"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整合后标准名称</w:t>
            </w:r>
          </w:p>
        </w:tc>
        <w:tc>
          <w:tcPr>
            <w:tcW w:w="901"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拟立项年度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28263-2012</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民用爆炸物品生产、销售企业安全管理规程</w:t>
            </w:r>
          </w:p>
        </w:tc>
        <w:tc>
          <w:tcPr>
            <w:tcW w:w="1843" w:type="dxa"/>
            <w:vMerge w:val="restart"/>
            <w:shd w:val="clear" w:color="auto" w:fill="auto"/>
            <w:vAlign w:val="center"/>
          </w:tcPr>
          <w:p>
            <w:pPr>
              <w:widowControl/>
              <w:jc w:val="left"/>
              <w:rPr>
                <w:rFonts w:ascii="Times New Roman" w:hAnsi="Times New Roman" w:cs="Times New Roman"/>
                <w:kern w:val="0"/>
                <w:szCs w:val="21"/>
              </w:rPr>
            </w:pPr>
            <w:bookmarkStart w:id="59" w:name="OLE_LINK17"/>
            <w:bookmarkStart w:id="60" w:name="OLE_LINK18"/>
            <w:r>
              <w:rPr>
                <w:rFonts w:ascii="Times New Roman" w:hAnsi="Times New Roman" w:cs="Times New Roman"/>
                <w:kern w:val="0"/>
                <w:szCs w:val="21"/>
              </w:rPr>
              <w:t>民用爆炸物品生产、销售企业安全管理规程</w:t>
            </w:r>
            <w:bookmarkEnd w:id="59"/>
            <w:bookmarkEnd w:id="60"/>
          </w:p>
        </w:tc>
        <w:tc>
          <w:tcPr>
            <w:tcW w:w="901" w:type="dxa"/>
            <w:vMerge w:val="restart"/>
            <w:shd w:val="clear" w:color="auto" w:fill="auto"/>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已立项20190063-Q-339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28261-2012</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安全气囊气体发生器用点火具生产安全技术条件</w:t>
            </w:r>
          </w:p>
        </w:tc>
        <w:tc>
          <w:tcPr>
            <w:tcW w:w="1843" w:type="dxa"/>
            <w:vMerge w:val="continue"/>
            <w:shd w:val="clear" w:color="auto" w:fill="auto"/>
            <w:vAlign w:val="center"/>
          </w:tcPr>
          <w:p>
            <w:pPr>
              <w:widowControl/>
              <w:jc w:val="left"/>
              <w:rPr>
                <w:rFonts w:ascii="Times New Roman" w:hAnsi="Times New Roman" w:cs="Times New Roman"/>
                <w:kern w:val="0"/>
                <w:szCs w:val="21"/>
              </w:rPr>
            </w:pPr>
          </w:p>
        </w:tc>
        <w:tc>
          <w:tcPr>
            <w:tcW w:w="901" w:type="dxa"/>
            <w:vMerge w:val="continue"/>
            <w:shd w:val="clear" w:color="auto" w:fill="auto"/>
            <w:vAlign w:val="center"/>
          </w:tcPr>
          <w:p>
            <w:pPr>
              <w:widowControl/>
              <w:jc w:val="lef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9064-2010</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增雨防雹火箭弹生产安全技术条件</w:t>
            </w:r>
          </w:p>
        </w:tc>
        <w:tc>
          <w:tcPr>
            <w:tcW w:w="1843" w:type="dxa"/>
            <w:vMerge w:val="continue"/>
            <w:shd w:val="clear" w:color="auto" w:fill="auto"/>
            <w:vAlign w:val="center"/>
          </w:tcPr>
          <w:p>
            <w:pPr>
              <w:widowControl/>
              <w:jc w:val="left"/>
              <w:rPr>
                <w:rFonts w:ascii="Times New Roman" w:hAnsi="Times New Roman" w:cs="Times New Roman"/>
                <w:kern w:val="0"/>
                <w:szCs w:val="21"/>
              </w:rPr>
            </w:pPr>
          </w:p>
        </w:tc>
        <w:tc>
          <w:tcPr>
            <w:tcW w:w="901" w:type="dxa"/>
            <w:vMerge w:val="continue"/>
            <w:shd w:val="clear" w:color="auto" w:fill="auto"/>
            <w:vAlign w:val="center"/>
          </w:tcPr>
          <w:p>
            <w:pPr>
              <w:widowControl/>
              <w:jc w:val="lef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9067-2010</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海上救生烟火信号产品生产安全技术条件</w:t>
            </w:r>
          </w:p>
        </w:tc>
        <w:tc>
          <w:tcPr>
            <w:tcW w:w="1843" w:type="dxa"/>
            <w:vMerge w:val="continue"/>
            <w:shd w:val="clear" w:color="auto" w:fill="auto"/>
            <w:vAlign w:val="center"/>
          </w:tcPr>
          <w:p>
            <w:pPr>
              <w:widowControl/>
              <w:jc w:val="left"/>
              <w:rPr>
                <w:rFonts w:ascii="Times New Roman" w:hAnsi="Times New Roman" w:cs="Times New Roman"/>
                <w:kern w:val="0"/>
                <w:szCs w:val="21"/>
              </w:rPr>
            </w:pPr>
          </w:p>
        </w:tc>
        <w:tc>
          <w:tcPr>
            <w:tcW w:w="901" w:type="dxa"/>
            <w:vMerge w:val="continue"/>
            <w:shd w:val="clear" w:color="auto" w:fill="auto"/>
            <w:vAlign w:val="center"/>
          </w:tcPr>
          <w:p>
            <w:pPr>
              <w:widowControl/>
              <w:jc w:val="lef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9068-2010</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民用爆破器材企业报废生产线销爆安全管理规程</w:t>
            </w:r>
          </w:p>
        </w:tc>
        <w:tc>
          <w:tcPr>
            <w:tcW w:w="1843" w:type="dxa"/>
            <w:vMerge w:val="continue"/>
            <w:shd w:val="clear" w:color="auto" w:fill="auto"/>
            <w:vAlign w:val="center"/>
          </w:tcPr>
          <w:p>
            <w:pPr>
              <w:widowControl/>
              <w:jc w:val="left"/>
              <w:rPr>
                <w:rFonts w:ascii="Times New Roman" w:hAnsi="Times New Roman" w:cs="Times New Roman"/>
                <w:kern w:val="0"/>
                <w:szCs w:val="21"/>
              </w:rPr>
            </w:pPr>
          </w:p>
        </w:tc>
        <w:tc>
          <w:tcPr>
            <w:tcW w:w="901" w:type="dxa"/>
            <w:vMerge w:val="continue"/>
            <w:shd w:val="clear" w:color="auto" w:fill="auto"/>
            <w:vAlign w:val="center"/>
          </w:tcPr>
          <w:p>
            <w:pPr>
              <w:widowControl/>
              <w:jc w:val="lef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9072-2012</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现场混装炸药生产安全管理规程</w:t>
            </w:r>
          </w:p>
        </w:tc>
        <w:tc>
          <w:tcPr>
            <w:tcW w:w="1843" w:type="dxa"/>
            <w:vMerge w:val="continue"/>
            <w:shd w:val="clear" w:color="auto" w:fill="auto"/>
            <w:vAlign w:val="center"/>
          </w:tcPr>
          <w:p>
            <w:pPr>
              <w:widowControl/>
              <w:jc w:val="left"/>
              <w:rPr>
                <w:rFonts w:ascii="Times New Roman" w:hAnsi="Times New Roman" w:cs="Times New Roman"/>
                <w:kern w:val="0"/>
                <w:szCs w:val="21"/>
              </w:rPr>
            </w:pPr>
          </w:p>
        </w:tc>
        <w:tc>
          <w:tcPr>
            <w:tcW w:w="901" w:type="dxa"/>
            <w:vMerge w:val="continue"/>
            <w:shd w:val="clear" w:color="auto" w:fill="auto"/>
            <w:vAlign w:val="center"/>
          </w:tcPr>
          <w:p>
            <w:pPr>
              <w:widowControl/>
              <w:jc w:val="lef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669"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9082-2015</w:t>
            </w:r>
          </w:p>
        </w:tc>
        <w:tc>
          <w:tcPr>
            <w:tcW w:w="3549" w:type="dxa"/>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含火药含水工业炸药安全生产技术条件</w:t>
            </w:r>
          </w:p>
        </w:tc>
        <w:tc>
          <w:tcPr>
            <w:tcW w:w="1843" w:type="dxa"/>
            <w:vMerge w:val="continue"/>
            <w:shd w:val="clear" w:color="auto" w:fill="auto"/>
            <w:vAlign w:val="center"/>
          </w:tcPr>
          <w:p>
            <w:pPr>
              <w:widowControl/>
              <w:jc w:val="left"/>
              <w:rPr>
                <w:rFonts w:ascii="Times New Roman" w:hAnsi="Times New Roman" w:cs="Times New Roman"/>
                <w:kern w:val="0"/>
                <w:szCs w:val="21"/>
              </w:rPr>
            </w:pPr>
          </w:p>
        </w:tc>
        <w:tc>
          <w:tcPr>
            <w:tcW w:w="901" w:type="dxa"/>
            <w:vMerge w:val="continue"/>
            <w:shd w:val="clear" w:color="auto" w:fill="auto"/>
            <w:vAlign w:val="center"/>
          </w:tcPr>
          <w:p>
            <w:pPr>
              <w:widowControl/>
              <w:jc w:val="lef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22"/>
              </w:rPr>
            </w:pPr>
            <w:r>
              <w:rPr>
                <w:rFonts w:ascii="Times New Roman" w:hAnsi="Times New Roman" w:cs="Times New Roman"/>
                <w:sz w:val="22"/>
              </w:rPr>
              <w:t>WJ/T 9075.1-2012</w:t>
            </w:r>
          </w:p>
        </w:tc>
        <w:tc>
          <w:tcPr>
            <w:tcW w:w="3549"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1</w:t>
            </w:r>
            <w:r>
              <w:rPr>
                <w:rFonts w:hint="eastAsia" w:cs="Times New Roman"/>
                <w:sz w:val="22"/>
              </w:rPr>
              <w:t>部分：总则</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9</w:t>
            </w:r>
          </w:p>
        </w:tc>
        <w:tc>
          <w:tcPr>
            <w:tcW w:w="1669"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WJ/T 9075.2-2012</w:t>
            </w:r>
          </w:p>
        </w:tc>
        <w:tc>
          <w:tcPr>
            <w:tcW w:w="354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2</w:t>
            </w:r>
            <w:r>
              <w:rPr>
                <w:rFonts w:hint="eastAsia" w:cs="Times New Roman"/>
                <w:sz w:val="22"/>
              </w:rPr>
              <w:t>部分：生产企业综合安全管理及总体安全条件</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r>
              <w:rPr>
                <w:rFonts w:hint="eastAsi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0</w:t>
            </w:r>
          </w:p>
        </w:tc>
        <w:tc>
          <w:tcPr>
            <w:tcW w:w="1669"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WJ/T 9075.3-2012</w:t>
            </w:r>
          </w:p>
        </w:tc>
        <w:tc>
          <w:tcPr>
            <w:tcW w:w="354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3</w:t>
            </w:r>
            <w:r>
              <w:rPr>
                <w:rFonts w:hint="eastAsia" w:cs="Times New Roman"/>
                <w:sz w:val="22"/>
              </w:rPr>
              <w:t>部分：工业炸药及其制品生产线</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r>
              <w:rPr>
                <w:rFonts w:hint="eastAsi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1</w:t>
            </w:r>
          </w:p>
        </w:tc>
        <w:tc>
          <w:tcPr>
            <w:tcW w:w="1669"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WJ/T 9075.4-2012</w:t>
            </w:r>
          </w:p>
        </w:tc>
        <w:tc>
          <w:tcPr>
            <w:tcW w:w="354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4</w:t>
            </w:r>
            <w:r>
              <w:rPr>
                <w:rFonts w:hint="eastAsia" w:cs="Times New Roman"/>
                <w:sz w:val="22"/>
              </w:rPr>
              <w:t>部分：工业雷管生产线</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r>
              <w:rPr>
                <w:rFonts w:hint="eastAsi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2</w:t>
            </w:r>
          </w:p>
        </w:tc>
        <w:tc>
          <w:tcPr>
            <w:tcW w:w="1669"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WJ/T 9075.5-2012</w:t>
            </w:r>
          </w:p>
        </w:tc>
        <w:tc>
          <w:tcPr>
            <w:tcW w:w="354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5</w:t>
            </w:r>
            <w:r>
              <w:rPr>
                <w:rFonts w:hint="eastAsia" w:cs="Times New Roman"/>
                <w:sz w:val="22"/>
              </w:rPr>
              <w:t>部分：工业索类火工品生产线</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r>
              <w:rPr>
                <w:rFonts w:hint="eastAsi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3</w:t>
            </w:r>
          </w:p>
        </w:tc>
        <w:tc>
          <w:tcPr>
            <w:tcW w:w="1669"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WJ/T 9075.6-2012</w:t>
            </w:r>
          </w:p>
        </w:tc>
        <w:tc>
          <w:tcPr>
            <w:tcW w:w="354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6</w:t>
            </w:r>
            <w:r>
              <w:rPr>
                <w:rFonts w:hint="eastAsia" w:cs="Times New Roman"/>
                <w:sz w:val="22"/>
              </w:rPr>
              <w:t>部分：油气井用及其他爆破器材生产线</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r>
              <w:rPr>
                <w:rFonts w:hint="eastAsi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4</w:t>
            </w:r>
          </w:p>
        </w:tc>
        <w:tc>
          <w:tcPr>
            <w:tcW w:w="1669"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ascii="Times New Roman" w:hAnsi="Times New Roman" w:cs="Times New Roman"/>
                <w:sz w:val="22"/>
              </w:rPr>
              <w:t>WJ/T 9075.7-2012</w:t>
            </w:r>
          </w:p>
        </w:tc>
        <w:tc>
          <w:tcPr>
            <w:tcW w:w="354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民用爆破器材企业安全检查方法</w:t>
            </w:r>
            <w:r>
              <w:rPr>
                <w:rFonts w:ascii="Times New Roman" w:hAnsi="Times New Roman" w:cs="Times New Roman"/>
                <w:sz w:val="22"/>
              </w:rPr>
              <w:t xml:space="preserve">  </w:t>
            </w:r>
            <w:r>
              <w:rPr>
                <w:rFonts w:hint="eastAsia" w:cs="Times New Roman"/>
                <w:sz w:val="22"/>
              </w:rPr>
              <w:t>检查表法</w:t>
            </w:r>
            <w:r>
              <w:rPr>
                <w:rFonts w:ascii="Times New Roman" w:hAnsi="Times New Roman" w:cs="Times New Roman"/>
                <w:sz w:val="22"/>
              </w:rPr>
              <w:t xml:space="preserve">  </w:t>
            </w:r>
            <w:r>
              <w:rPr>
                <w:rFonts w:hint="eastAsia" w:cs="Times New Roman"/>
                <w:sz w:val="22"/>
              </w:rPr>
              <w:t>第</w:t>
            </w:r>
            <w:r>
              <w:rPr>
                <w:rFonts w:ascii="Times New Roman" w:hAnsi="Times New Roman" w:cs="Times New Roman"/>
                <w:sz w:val="22"/>
              </w:rPr>
              <w:t>7</w:t>
            </w:r>
            <w:r>
              <w:rPr>
                <w:rFonts w:hint="eastAsia" w:cs="Times New Roman"/>
                <w:sz w:val="22"/>
              </w:rPr>
              <w:t>部分：销售企业</w:t>
            </w:r>
          </w:p>
        </w:tc>
        <w:tc>
          <w:tcPr>
            <w:tcW w:w="1843" w:type="dxa"/>
            <w:vAlign w:val="center"/>
          </w:tcPr>
          <w:p>
            <w:pPr>
              <w:widowControl/>
              <w:jc w:val="left"/>
              <w:rPr>
                <w:rFonts w:ascii="Times New Roman" w:hAnsi="Times New Roman" w:cs="Times New Roman"/>
                <w:kern w:val="0"/>
                <w:szCs w:val="21"/>
              </w:rPr>
            </w:pPr>
          </w:p>
        </w:tc>
        <w:tc>
          <w:tcPr>
            <w:tcW w:w="901" w:type="dxa"/>
            <w:vAlign w:val="center"/>
          </w:tcPr>
          <w:p>
            <w:r>
              <w:rPr>
                <w:rFonts w:hint="eastAsia"/>
              </w:rPr>
              <w:t>2022年</w:t>
            </w:r>
          </w:p>
        </w:tc>
      </w:tr>
    </w:tbl>
    <w:p>
      <w:pPr>
        <w:ind w:firstLine="640" w:firstLineChars="200"/>
        <w:rPr>
          <w:rFonts w:ascii="仿宋_GB2312" w:eastAsia="仿宋_GB2312"/>
          <w:color w:val="FF0000"/>
          <w:sz w:val="32"/>
          <w:szCs w:val="32"/>
        </w:rPr>
      </w:pPr>
    </w:p>
    <w:p>
      <w:pPr>
        <w:ind w:firstLine="643" w:firstLineChars="200"/>
        <w:outlineLvl w:val="1"/>
        <w:rPr>
          <w:rFonts w:ascii="楷体" w:hAnsi="楷体" w:eastAsia="楷体"/>
          <w:b/>
          <w:sz w:val="32"/>
          <w:szCs w:val="32"/>
        </w:rPr>
      </w:pPr>
      <w:bookmarkStart w:id="61" w:name="_Toc8877"/>
      <w:r>
        <w:rPr>
          <w:rFonts w:hint="eastAsia" w:ascii="楷体" w:hAnsi="楷体" w:eastAsia="楷体"/>
          <w:b/>
          <w:sz w:val="32"/>
          <w:szCs w:val="32"/>
        </w:rPr>
        <w:t>（四）废止及改为推荐性标准情况</w:t>
      </w:r>
      <w:bookmarkEnd w:id="61"/>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中华人民国家标准公告2017年6号、7号，中华人民共和国工业和信息化部公告2017年第11号，民爆行业14项标准废止，19项标准改为推荐性。废止标准在体系表中不再列出，亦不再给出体系编号。废止及改为推荐性标准清单见表1</w:t>
      </w:r>
      <w:r>
        <w:rPr>
          <w:rFonts w:ascii="Times New Roman" w:hAnsi="Times New Roman" w:eastAsia="仿宋_GB2312"/>
          <w:sz w:val="32"/>
          <w:szCs w:val="32"/>
        </w:rPr>
        <w:t>2</w:t>
      </w:r>
      <w:r>
        <w:rPr>
          <w:rFonts w:hint="eastAsia" w:ascii="Times New Roman" w:hAnsi="Times New Roman" w:eastAsia="仿宋_GB2312"/>
          <w:sz w:val="32"/>
          <w:szCs w:val="32"/>
        </w:rPr>
        <w:t>。</w:t>
      </w:r>
    </w:p>
    <w:p>
      <w:pPr>
        <w:jc w:val="center"/>
        <w:rPr>
          <w:rFonts w:ascii="Times New Roman" w:hAnsi="Times New Roman" w:eastAsia="仿宋_GB2312"/>
          <w:sz w:val="30"/>
          <w:szCs w:val="30"/>
        </w:rPr>
      </w:pPr>
      <w:r>
        <w:rPr>
          <w:rFonts w:hint="eastAsia" w:ascii="Times New Roman" w:hAnsi="Times New Roman" w:eastAsia="仿宋_GB2312"/>
          <w:sz w:val="30"/>
          <w:szCs w:val="30"/>
        </w:rPr>
        <w:t>表12 废止和改为推荐性标准清单</w:t>
      </w:r>
    </w:p>
    <w:tbl>
      <w:tblPr>
        <w:tblStyle w:val="14"/>
        <w:tblW w:w="8522" w:type="dxa"/>
        <w:tblInd w:w="93" w:type="dxa"/>
        <w:tblLayout w:type="fixed"/>
        <w:tblCellMar>
          <w:top w:w="0" w:type="dxa"/>
          <w:left w:w="108" w:type="dxa"/>
          <w:bottom w:w="0" w:type="dxa"/>
          <w:right w:w="108" w:type="dxa"/>
        </w:tblCellMar>
      </w:tblPr>
      <w:tblGrid>
        <w:gridCol w:w="733"/>
        <w:gridCol w:w="1871"/>
        <w:gridCol w:w="2169"/>
        <w:gridCol w:w="1009"/>
        <w:gridCol w:w="2740"/>
      </w:tblGrid>
      <w:tr>
        <w:tblPrEx>
          <w:tblCellMar>
            <w:top w:w="0" w:type="dxa"/>
            <w:left w:w="108" w:type="dxa"/>
            <w:bottom w:w="0" w:type="dxa"/>
            <w:right w:w="108" w:type="dxa"/>
          </w:tblCellMar>
        </w:tblPrEx>
        <w:trPr>
          <w:cantSplit/>
          <w:trHeight w:val="270" w:hRule="atLeast"/>
          <w:tblHead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1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2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整合精简结论</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依据</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9108-1995</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工业导火索</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中华人民共和国国家标准公告2017年第6号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12437-2000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工业粉状铵梯炸药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中华人民共和国国家标准公告2017年第6号</w:t>
            </w:r>
          </w:p>
        </w:tc>
      </w:tr>
      <w:tr>
        <w:tblPrEx>
          <w:tblCellMar>
            <w:top w:w="0" w:type="dxa"/>
            <w:left w:w="108" w:type="dxa"/>
            <w:bottom w:w="0" w:type="dxa"/>
            <w:right w:w="108" w:type="dxa"/>
          </w:tblCellMar>
        </w:tblPrEx>
        <w:trPr>
          <w:cantSplit/>
          <w:trHeight w:val="72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17583-1998</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多孔粒状铵油炸药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中华人民共和国国家标准公告2017年第6号</w:t>
            </w:r>
          </w:p>
        </w:tc>
      </w:tr>
      <w:tr>
        <w:tblPrEx>
          <w:tblCellMar>
            <w:top w:w="0" w:type="dxa"/>
            <w:left w:w="108" w:type="dxa"/>
            <w:bottom w:w="0" w:type="dxa"/>
            <w:right w:w="108" w:type="dxa"/>
          </w:tblCellMar>
        </w:tblPrEx>
        <w:trPr>
          <w:cantSplit/>
          <w:trHeight w:val="72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18094-2000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水胶炸药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中华人民共和国国家标准公告2017年第6号</w:t>
            </w:r>
          </w:p>
        </w:tc>
      </w:tr>
      <w:tr>
        <w:tblPrEx>
          <w:tblCellMar>
            <w:top w:w="0" w:type="dxa"/>
            <w:left w:w="108" w:type="dxa"/>
            <w:bottom w:w="0" w:type="dxa"/>
            <w:right w:w="108" w:type="dxa"/>
          </w:tblCellMar>
        </w:tblPrEx>
        <w:trPr>
          <w:cantSplit/>
          <w:trHeight w:val="72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18095-2000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乳化炸药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中华人民共和国国家标准公告2017年第6号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18450-2001</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民用黑火药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中华人民共和国国家标准公告2017年第6号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9003-1992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太乳炸药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9005-1992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岩石粉状铵梯油炸药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2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9025-2004</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粉状乳化炸药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2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9026-2004</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膨化硝铵炸药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9027-1999</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导爆管雷管</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9032-1999</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民用爆破器材术语、符号</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9049-2005</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民用爆破器材企业安全管理规程</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2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9062-2010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改性铵油炸药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废止</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18096-2000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煤矿许用电雷管可燃气安全度试验方法</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中华人民共和国国家标准公告2017年第7号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18097-2000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煤矿许用炸药可燃气安全度试验方法及判定</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中华人民共和国国家标准公告2017年第8号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18098-2000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工业炸药爆炸后有毒气体含量的测定</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中华人民共和国国家标准公告2017年第9号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GB 32071-2015</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胶质硝化甘油炸药  </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中华人民共和国国家标准公告2017年第10号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9004-1992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工业炸药爆热测定法</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9009-1992</w:t>
            </w:r>
          </w:p>
        </w:tc>
        <w:tc>
          <w:tcPr>
            <w:tcW w:w="2169"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kern w:val="0"/>
                <w:szCs w:val="21"/>
              </w:rPr>
            </w:pPr>
            <w:r>
              <w:rPr>
                <w:rFonts w:ascii="Times New Roman" w:hAnsi="Times New Roman" w:cs="Times New Roman"/>
                <w:kern w:val="0"/>
                <w:szCs w:val="21"/>
              </w:rPr>
              <w:t>六硝基茋</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9016-1994</w:t>
            </w:r>
          </w:p>
        </w:tc>
        <w:tc>
          <w:tcPr>
            <w:tcW w:w="2169"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kern w:val="0"/>
                <w:szCs w:val="21"/>
              </w:rPr>
            </w:pPr>
            <w:r>
              <w:rPr>
                <w:rFonts w:ascii="Times New Roman" w:hAnsi="Times New Roman" w:cs="Times New Roman"/>
                <w:kern w:val="0"/>
                <w:szCs w:val="21"/>
              </w:rPr>
              <w:t>聚黑-16炸药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9029-2004</w:t>
            </w:r>
          </w:p>
        </w:tc>
        <w:tc>
          <w:tcPr>
            <w:tcW w:w="2169"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kern w:val="0"/>
                <w:szCs w:val="21"/>
              </w:rPr>
            </w:pPr>
            <w:r>
              <w:rPr>
                <w:rFonts w:ascii="Times New Roman" w:hAnsi="Times New Roman" w:cs="Times New Roman"/>
                <w:kern w:val="0"/>
                <w:szCs w:val="21"/>
              </w:rPr>
              <w:t>工业梯恩梯</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9046-2004</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工业炸药爆速测试仪校准规范</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9047-2004</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工业电雷管电参数测试仪校准规范</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48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WJ 9066-2010</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煤矿瓦斯抽采水胶药柱</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51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9075.1-2012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第1部分：总则</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5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9075.2-2012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第2部分：生产企业综合安全管理及总体安全条件</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5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9075.3-2012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第3部分：工业炸药及其制品生产线</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rPr>
          <w:cantSplit/>
          <w:trHeight w:val="75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9075.4-2012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第4部分：工业雷管生产线</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5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9075.5-2012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第5部分：工业索类火工品生产线</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75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9075.6-2012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第6部分：油气井用及其他爆破器材生产线</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51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9075.7-2012</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第7部分：销售企业</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r>
        <w:tblPrEx>
          <w:tblCellMar>
            <w:top w:w="0" w:type="dxa"/>
            <w:left w:w="108" w:type="dxa"/>
            <w:bottom w:w="0" w:type="dxa"/>
            <w:right w:w="108" w:type="dxa"/>
          </w:tblCellMar>
        </w:tblPrEx>
        <w:trPr>
          <w:cantSplit/>
          <w:trHeight w:val="510"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18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9050-2006</w:t>
            </w:r>
          </w:p>
        </w:tc>
        <w:tc>
          <w:tcPr>
            <w:tcW w:w="21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农用硝酸铵抗爆性能试验方法及判定</w:t>
            </w: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转化为推荐性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中华人民共和国工业和信息化部公告2017年 第11号</w:t>
            </w:r>
          </w:p>
        </w:tc>
      </w:tr>
    </w:tbl>
    <w:p>
      <w:pPr>
        <w:ind w:firstLine="640" w:firstLineChars="200"/>
        <w:outlineLvl w:val="0"/>
        <w:rPr>
          <w:rFonts w:ascii="Times New Roman" w:hAnsi="黑体" w:eastAsia="黑体"/>
          <w:sz w:val="32"/>
          <w:szCs w:val="32"/>
        </w:rPr>
      </w:pPr>
      <w:bookmarkStart w:id="62" w:name="_Toc15131"/>
      <w:r>
        <w:rPr>
          <w:rFonts w:hint="eastAsia" w:ascii="Times New Roman" w:hAnsi="黑体" w:eastAsia="黑体"/>
          <w:sz w:val="32"/>
          <w:szCs w:val="32"/>
        </w:rPr>
        <w:t>六、各分领域技术标准体系建设方案</w:t>
      </w:r>
      <w:bookmarkEnd w:id="62"/>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民爆行业按照产品种类分为通用（涉及两种及以上产品种类）、工业炸药及炸药制品、工业雷管、工业索类火工品、油气井用爆炸物品、其他民用爆炸物品和主要原材料、辅料七个领域，各领域下标准体系的设计架构完全一样，因此，对标准现状及“十四五”技术标准体系建设目标和主要任务不再赘述。</w:t>
      </w:r>
    </w:p>
    <w:p>
      <w:pPr>
        <w:ind w:firstLine="643" w:firstLineChars="200"/>
        <w:outlineLvl w:val="1"/>
        <w:rPr>
          <w:rFonts w:ascii="楷体" w:hAnsi="楷体" w:eastAsia="楷体"/>
          <w:b/>
          <w:sz w:val="32"/>
          <w:szCs w:val="32"/>
        </w:rPr>
      </w:pPr>
      <w:bookmarkStart w:id="63" w:name="_Toc16446"/>
      <w:r>
        <w:rPr>
          <w:rFonts w:hint="eastAsia" w:ascii="楷体" w:hAnsi="楷体" w:eastAsia="楷体"/>
          <w:b/>
          <w:sz w:val="32"/>
          <w:szCs w:val="32"/>
        </w:rPr>
        <w:t>（一）通用</w:t>
      </w:r>
      <w:bookmarkEnd w:id="63"/>
    </w:p>
    <w:p>
      <w:pPr>
        <w:ind w:firstLine="630" w:firstLineChars="196"/>
        <w:outlineLvl w:val="2"/>
        <w:rPr>
          <w:rFonts w:ascii="仿宋_GB2312" w:eastAsia="仿宋_GB2312"/>
          <w:b/>
          <w:sz w:val="32"/>
          <w:szCs w:val="32"/>
        </w:rPr>
      </w:pPr>
      <w:bookmarkStart w:id="64" w:name="_Toc1"/>
      <w:r>
        <w:rPr>
          <w:rFonts w:hint="eastAsia" w:ascii="仿宋_GB2312" w:eastAsia="仿宋_GB2312"/>
          <w:b/>
          <w:sz w:val="32"/>
          <w:szCs w:val="32"/>
        </w:rPr>
        <w:t>1. 标准现状</w:t>
      </w:r>
      <w:bookmarkEnd w:id="64"/>
    </w:p>
    <w:p>
      <w:pPr>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通用领域的标准包括基础通用标准，工艺装备、智能制造标准，安全生产与职业健康标准、节能与综合利用标准。现有标准2</w:t>
      </w:r>
      <w:r>
        <w:rPr>
          <w:rFonts w:ascii="Times New Roman" w:hAnsi="Times New Roman" w:eastAsia="仿宋_GB2312"/>
          <w:sz w:val="32"/>
          <w:szCs w:val="32"/>
        </w:rPr>
        <w:t>7</w:t>
      </w:r>
      <w:r>
        <w:rPr>
          <w:rFonts w:hint="eastAsia" w:ascii="Times New Roman" w:hAnsi="Times New Roman" w:eastAsia="仿宋_GB2312"/>
          <w:sz w:val="32"/>
          <w:szCs w:val="32"/>
        </w:rPr>
        <w:t>项。</w:t>
      </w:r>
    </w:p>
    <w:p>
      <w:pPr>
        <w:ind w:firstLine="630" w:firstLineChars="196"/>
        <w:outlineLvl w:val="2"/>
        <w:rPr>
          <w:rFonts w:ascii="仿宋_GB2312" w:eastAsia="仿宋_GB2312"/>
          <w:b/>
          <w:sz w:val="32"/>
          <w:szCs w:val="32"/>
        </w:rPr>
      </w:pPr>
      <w:bookmarkStart w:id="65" w:name="_Toc25571"/>
      <w:r>
        <w:rPr>
          <w:rFonts w:hint="eastAsia" w:ascii="仿宋_GB2312" w:eastAsia="仿宋_GB2312"/>
          <w:b/>
          <w:sz w:val="32"/>
          <w:szCs w:val="32"/>
        </w:rPr>
        <w:t>2. “十四五”拟制修订标准</w:t>
      </w:r>
      <w:bookmarkEnd w:id="65"/>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“十四五”期间，拟制修订标准见表13。</w:t>
      </w:r>
    </w:p>
    <w:p>
      <w:pPr>
        <w:jc w:val="center"/>
        <w:rPr>
          <w:rFonts w:ascii="Times New Roman" w:hAnsi="Times New Roman" w:eastAsia="仿宋_GB2312"/>
          <w:sz w:val="30"/>
          <w:szCs w:val="30"/>
        </w:rPr>
      </w:pPr>
      <w:r>
        <w:rPr>
          <w:rFonts w:hint="eastAsia" w:ascii="Times New Roman" w:hAnsi="Times New Roman" w:eastAsia="仿宋_GB2312"/>
          <w:sz w:val="30"/>
          <w:szCs w:val="30"/>
        </w:rPr>
        <w:t>表13  拟制修订通用标准</w:t>
      </w:r>
    </w:p>
    <w:tbl>
      <w:tblPr>
        <w:tblStyle w:val="14"/>
        <w:tblW w:w="5000" w:type="pct"/>
        <w:tblInd w:w="0" w:type="dxa"/>
        <w:tblLayout w:type="autofit"/>
        <w:tblCellMar>
          <w:top w:w="0" w:type="dxa"/>
          <w:left w:w="108" w:type="dxa"/>
          <w:bottom w:w="0" w:type="dxa"/>
          <w:right w:w="108" w:type="dxa"/>
        </w:tblCellMar>
      </w:tblPr>
      <w:tblGrid>
        <w:gridCol w:w="851"/>
        <w:gridCol w:w="1686"/>
        <w:gridCol w:w="3139"/>
        <w:gridCol w:w="1325"/>
        <w:gridCol w:w="1521"/>
      </w:tblGrid>
      <w:tr>
        <w:tblPrEx>
          <w:tblCellMar>
            <w:top w:w="0" w:type="dxa"/>
            <w:left w:w="108" w:type="dxa"/>
            <w:bottom w:w="0" w:type="dxa"/>
            <w:right w:w="108" w:type="dxa"/>
          </w:tblCellMar>
        </w:tblPrEx>
        <w:trPr>
          <w:cantSplit/>
          <w:trHeight w:val="300" w:hRule="atLeast"/>
          <w:tblHeader/>
        </w:trPr>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9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1841"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77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标准状态</w:t>
            </w:r>
          </w:p>
        </w:tc>
        <w:tc>
          <w:tcPr>
            <w:tcW w:w="892"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立项年度</w:t>
            </w:r>
          </w:p>
        </w:tc>
      </w:tr>
      <w:tr>
        <w:tblPrEx>
          <w:tblCellMar>
            <w:top w:w="0" w:type="dxa"/>
            <w:left w:w="108" w:type="dxa"/>
            <w:bottom w:w="0" w:type="dxa"/>
            <w:right w:w="108" w:type="dxa"/>
          </w:tblCellMar>
        </w:tblPrEx>
        <w:trPr>
          <w:cantSplit/>
          <w:trHeight w:val="600" w:hRule="atLeast"/>
        </w:trPr>
        <w:tc>
          <w:tcPr>
            <w:tcW w:w="499" w:type="pct"/>
            <w:tcBorders>
              <w:top w:val="nil"/>
              <w:left w:val="single" w:color="auto" w:sz="4" w:space="0"/>
              <w:bottom w:val="single" w:color="auto" w:sz="4" w:space="0"/>
              <w:right w:val="single" w:color="auto" w:sz="4" w:space="0"/>
            </w:tcBorders>
            <w:vAlign w:val="center"/>
          </w:tcPr>
          <w:p>
            <w:pPr>
              <w:jc w:val="center"/>
            </w:pPr>
            <w:r>
              <w:t>1</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9075.1-2012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第1部分：总则</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870" w:hRule="atLeast"/>
        </w:trPr>
        <w:tc>
          <w:tcPr>
            <w:tcW w:w="499" w:type="pct"/>
            <w:tcBorders>
              <w:top w:val="nil"/>
              <w:left w:val="single" w:color="auto" w:sz="4" w:space="0"/>
              <w:bottom w:val="single" w:color="auto" w:sz="4" w:space="0"/>
              <w:right w:val="single" w:color="auto" w:sz="4" w:space="0"/>
            </w:tcBorders>
            <w:vAlign w:val="center"/>
          </w:tcPr>
          <w:p>
            <w:pPr>
              <w:jc w:val="center"/>
            </w:pPr>
            <w:r>
              <w:t>2</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9075.2-2012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第2部分：生产企业综合安全管理及总体安全条件</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600" w:hRule="atLeast"/>
        </w:trPr>
        <w:tc>
          <w:tcPr>
            <w:tcW w:w="499" w:type="pct"/>
            <w:tcBorders>
              <w:top w:val="nil"/>
              <w:left w:val="single" w:color="auto" w:sz="4" w:space="0"/>
              <w:bottom w:val="single" w:color="auto" w:sz="4" w:space="0"/>
              <w:right w:val="single" w:color="auto" w:sz="4" w:space="0"/>
            </w:tcBorders>
            <w:vAlign w:val="center"/>
          </w:tcPr>
          <w:p>
            <w:pPr>
              <w:jc w:val="center"/>
            </w:pPr>
            <w:r>
              <w:t>3</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9075.3-2012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第3部分：工业炸药及其制品生产线</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600" w:hRule="atLeast"/>
        </w:trPr>
        <w:tc>
          <w:tcPr>
            <w:tcW w:w="499" w:type="pct"/>
            <w:tcBorders>
              <w:top w:val="nil"/>
              <w:left w:val="single" w:color="auto" w:sz="4" w:space="0"/>
              <w:bottom w:val="single" w:color="auto" w:sz="4" w:space="0"/>
              <w:right w:val="single" w:color="auto" w:sz="4" w:space="0"/>
            </w:tcBorders>
            <w:vAlign w:val="center"/>
          </w:tcPr>
          <w:p>
            <w:pPr>
              <w:jc w:val="center"/>
            </w:pPr>
            <w:r>
              <w:t>4</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9075.4-2012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第4部分：工业雷管生产线</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600" w:hRule="atLeast"/>
        </w:trPr>
        <w:tc>
          <w:tcPr>
            <w:tcW w:w="499" w:type="pct"/>
            <w:tcBorders>
              <w:top w:val="nil"/>
              <w:left w:val="single" w:color="auto" w:sz="4" w:space="0"/>
              <w:bottom w:val="single" w:color="auto" w:sz="4" w:space="0"/>
              <w:right w:val="single" w:color="auto" w:sz="4" w:space="0"/>
            </w:tcBorders>
            <w:vAlign w:val="center"/>
          </w:tcPr>
          <w:p>
            <w:pPr>
              <w:jc w:val="center"/>
            </w:pPr>
            <w:r>
              <w:t>5</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9075.5-2012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第5部分：工业索类火工品生产线</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600" w:hRule="atLeast"/>
        </w:trPr>
        <w:tc>
          <w:tcPr>
            <w:tcW w:w="499" w:type="pct"/>
            <w:tcBorders>
              <w:top w:val="nil"/>
              <w:left w:val="single" w:color="auto" w:sz="4" w:space="0"/>
              <w:bottom w:val="single" w:color="auto" w:sz="4" w:space="0"/>
              <w:right w:val="single" w:color="auto" w:sz="4" w:space="0"/>
            </w:tcBorders>
            <w:vAlign w:val="center"/>
          </w:tcPr>
          <w:p>
            <w:pPr>
              <w:jc w:val="center"/>
            </w:pPr>
            <w:r>
              <w:t>6</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WJ/T 9075.6-2012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第6部分：油气井用及其他爆破器材生产线</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600" w:hRule="atLeast"/>
        </w:trPr>
        <w:tc>
          <w:tcPr>
            <w:tcW w:w="499" w:type="pct"/>
            <w:tcBorders>
              <w:top w:val="nil"/>
              <w:left w:val="single" w:color="auto" w:sz="4" w:space="0"/>
              <w:bottom w:val="single" w:color="auto" w:sz="4" w:space="0"/>
              <w:right w:val="single" w:color="auto" w:sz="4" w:space="0"/>
            </w:tcBorders>
            <w:vAlign w:val="center"/>
          </w:tcPr>
          <w:p>
            <w:pPr>
              <w:jc w:val="center"/>
            </w:pPr>
            <w:r>
              <w:t>7</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9075.7-2012</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民用爆破器材企业安全检查方法  检查表法  第7部分：销售企业</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拟修订</w:t>
            </w:r>
          </w:p>
        </w:tc>
        <w:tc>
          <w:tcPr>
            <w:tcW w:w="892" w:type="pct"/>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ascii="Times New Roman" w:hAnsi="Times New Roman" w:cs="Times New Roman"/>
                <w:kern w:val="0"/>
                <w:szCs w:val="21"/>
              </w:rPr>
              <w:t>年</w:t>
            </w:r>
          </w:p>
        </w:tc>
      </w:tr>
      <w:tr>
        <w:tblPrEx>
          <w:tblCellMar>
            <w:top w:w="0" w:type="dxa"/>
            <w:left w:w="108" w:type="dxa"/>
            <w:bottom w:w="0" w:type="dxa"/>
            <w:right w:w="108" w:type="dxa"/>
          </w:tblCellMar>
        </w:tblPrEx>
        <w:trPr>
          <w:cantSplit/>
          <w:trHeight w:val="300" w:hRule="atLeast"/>
        </w:trPr>
        <w:tc>
          <w:tcPr>
            <w:tcW w:w="499" w:type="pct"/>
            <w:tcBorders>
              <w:top w:val="nil"/>
              <w:left w:val="single" w:color="auto" w:sz="4" w:space="0"/>
              <w:bottom w:val="single" w:color="auto" w:sz="4" w:space="0"/>
              <w:right w:val="single" w:color="auto" w:sz="4" w:space="0"/>
            </w:tcBorders>
            <w:vAlign w:val="center"/>
          </w:tcPr>
          <w:p>
            <w:pPr>
              <w:jc w:val="center"/>
            </w:pPr>
            <w:r>
              <w:t>8</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民爆企业安全生产资料建档通用要求</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拟制定</w:t>
            </w:r>
          </w:p>
        </w:tc>
        <w:tc>
          <w:tcPr>
            <w:tcW w:w="892" w:type="pct"/>
            <w:tcBorders>
              <w:top w:val="nil"/>
              <w:left w:val="nil"/>
              <w:bottom w:val="single" w:color="auto" w:sz="4" w:space="0"/>
              <w:right w:val="single" w:color="auto" w:sz="4" w:space="0"/>
            </w:tcBorders>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499" w:type="pct"/>
            <w:tcBorders>
              <w:top w:val="nil"/>
              <w:left w:val="single" w:color="auto" w:sz="4" w:space="0"/>
              <w:bottom w:val="single" w:color="auto" w:sz="4" w:space="0"/>
              <w:right w:val="single" w:color="auto" w:sz="4" w:space="0"/>
            </w:tcBorders>
            <w:vAlign w:val="center"/>
          </w:tcPr>
          <w:p>
            <w:pPr>
              <w:jc w:val="center"/>
            </w:pPr>
            <w:r>
              <w:t>9</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民爆行业职业病危害分类分级目录</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拟制定</w:t>
            </w:r>
          </w:p>
        </w:tc>
        <w:tc>
          <w:tcPr>
            <w:tcW w:w="892" w:type="pct"/>
            <w:tcBorders>
              <w:top w:val="nil"/>
              <w:left w:val="nil"/>
              <w:bottom w:val="single" w:color="auto" w:sz="4" w:space="0"/>
              <w:right w:val="single" w:color="auto" w:sz="4" w:space="0"/>
            </w:tcBorders>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499" w:type="pct"/>
            <w:tcBorders>
              <w:top w:val="nil"/>
              <w:left w:val="single" w:color="auto" w:sz="4" w:space="0"/>
              <w:bottom w:val="single" w:color="auto" w:sz="4" w:space="0"/>
              <w:right w:val="single" w:color="auto" w:sz="4" w:space="0"/>
            </w:tcBorders>
            <w:vAlign w:val="center"/>
          </w:tcPr>
          <w:p>
            <w:pPr>
              <w:jc w:val="center"/>
            </w:pPr>
            <w:r>
              <w:t>10</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841" w:type="pct"/>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生产线安全联锁装置校验方法标准</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拟制定</w:t>
            </w:r>
          </w:p>
        </w:tc>
        <w:tc>
          <w:tcPr>
            <w:tcW w:w="892" w:type="pct"/>
            <w:tcBorders>
              <w:top w:val="nil"/>
              <w:left w:val="nil"/>
              <w:bottom w:val="single" w:color="auto" w:sz="4" w:space="0"/>
              <w:right w:val="single" w:color="auto" w:sz="4" w:space="0"/>
            </w:tcBorders>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499" w:type="pct"/>
            <w:tcBorders>
              <w:top w:val="nil"/>
              <w:left w:val="single" w:color="auto" w:sz="4" w:space="0"/>
              <w:bottom w:val="single" w:color="auto" w:sz="4" w:space="0"/>
              <w:right w:val="single" w:color="auto" w:sz="4" w:space="0"/>
            </w:tcBorders>
            <w:vAlign w:val="center"/>
          </w:tcPr>
          <w:p>
            <w:pPr>
              <w:jc w:val="center"/>
            </w:pPr>
            <w:r>
              <w:t>11</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841" w:type="pct"/>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民爆行业智能工厂集成 胶状乳化炸药车间</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拟制定</w:t>
            </w:r>
          </w:p>
        </w:tc>
        <w:tc>
          <w:tcPr>
            <w:tcW w:w="892" w:type="pct"/>
            <w:tcBorders>
              <w:top w:val="nil"/>
              <w:left w:val="nil"/>
              <w:bottom w:val="single" w:color="auto" w:sz="4" w:space="0"/>
              <w:right w:val="single" w:color="auto" w:sz="4" w:space="0"/>
            </w:tcBorders>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499" w:type="pct"/>
            <w:tcBorders>
              <w:top w:val="nil"/>
              <w:left w:val="single" w:color="auto" w:sz="4" w:space="0"/>
              <w:bottom w:val="single" w:color="auto" w:sz="4" w:space="0"/>
              <w:right w:val="single" w:color="auto" w:sz="4" w:space="0"/>
            </w:tcBorders>
            <w:vAlign w:val="center"/>
          </w:tcPr>
          <w:p>
            <w:pPr>
              <w:jc w:val="center"/>
            </w:pPr>
            <w:r>
              <w:t>12</w:t>
            </w:r>
          </w:p>
        </w:tc>
        <w:tc>
          <w:tcPr>
            <w:tcW w:w="989" w:type="pc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841" w:type="pct"/>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民爆行业智能工厂集成  工业电子雷管装配车间</w:t>
            </w:r>
          </w:p>
        </w:tc>
        <w:tc>
          <w:tcPr>
            <w:tcW w:w="777" w:type="pct"/>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1"/>
                <w:szCs w:val="21"/>
                <w:lang w:val="en-US" w:eastAsia="zh-CN" w:bidi="ar-SA"/>
              </w:rPr>
            </w:pPr>
            <w:r>
              <w:rPr>
                <w:rFonts w:ascii="Times New Roman" w:hAnsi="Times New Roman" w:cs="Times New Roman"/>
                <w:kern w:val="0"/>
                <w:szCs w:val="21"/>
              </w:rPr>
              <w:t>拟制定</w:t>
            </w:r>
          </w:p>
        </w:tc>
        <w:tc>
          <w:tcPr>
            <w:tcW w:w="892" w:type="pct"/>
            <w:tcBorders>
              <w:top w:val="nil"/>
              <w:left w:val="nil"/>
              <w:bottom w:val="single" w:color="auto" w:sz="4" w:space="0"/>
              <w:right w:val="single" w:color="auto" w:sz="4" w:space="0"/>
            </w:tcBorders>
            <w:vAlign w:val="top"/>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2022年及以后</w:t>
            </w:r>
          </w:p>
        </w:tc>
      </w:tr>
    </w:tbl>
    <w:p>
      <w:pPr>
        <w:ind w:firstLine="643" w:firstLineChars="200"/>
        <w:outlineLvl w:val="1"/>
        <w:rPr>
          <w:rFonts w:ascii="楷体" w:hAnsi="楷体" w:eastAsia="楷体"/>
          <w:b/>
          <w:sz w:val="32"/>
          <w:szCs w:val="32"/>
        </w:rPr>
      </w:pPr>
      <w:bookmarkStart w:id="66" w:name="_Toc23725"/>
      <w:r>
        <w:rPr>
          <w:rFonts w:hint="eastAsia" w:ascii="楷体" w:hAnsi="楷体" w:eastAsia="楷体"/>
          <w:b/>
          <w:sz w:val="32"/>
          <w:szCs w:val="32"/>
        </w:rPr>
        <w:t>（二）工业炸药及制品</w:t>
      </w:r>
      <w:bookmarkEnd w:id="66"/>
    </w:p>
    <w:p>
      <w:pPr>
        <w:ind w:firstLine="630" w:firstLineChars="196"/>
        <w:outlineLvl w:val="2"/>
        <w:rPr>
          <w:rFonts w:ascii="仿宋_GB2312" w:eastAsia="仿宋_GB2312"/>
          <w:b/>
          <w:sz w:val="32"/>
          <w:szCs w:val="32"/>
        </w:rPr>
      </w:pPr>
      <w:bookmarkStart w:id="67" w:name="_Toc6959"/>
      <w:r>
        <w:rPr>
          <w:rFonts w:hint="eastAsia" w:ascii="仿宋_GB2312" w:eastAsia="仿宋_GB2312"/>
          <w:b/>
          <w:sz w:val="32"/>
          <w:szCs w:val="32"/>
        </w:rPr>
        <w:t>1.标准现状</w:t>
      </w:r>
      <w:bookmarkEnd w:id="67"/>
    </w:p>
    <w:p>
      <w:pPr>
        <w:ind w:firstLine="640" w:firstLineChars="200"/>
        <w:rPr>
          <w:rFonts w:ascii="Times New Roman" w:hAnsi="Times New Roman" w:eastAsia="仿宋_GB2312"/>
          <w:sz w:val="32"/>
          <w:szCs w:val="32"/>
        </w:rPr>
      </w:pPr>
      <w:bookmarkStart w:id="68" w:name="OLE_LINK23"/>
      <w:bookmarkStart w:id="69" w:name="OLE_LINK24"/>
      <w:r>
        <w:rPr>
          <w:rFonts w:hint="eastAsia" w:ascii="Times New Roman" w:hAnsi="Times New Roman" w:eastAsia="仿宋_GB2312"/>
          <w:sz w:val="32"/>
          <w:szCs w:val="32"/>
        </w:rPr>
        <w:t>工业炸药及制品标准以产品标准和试验方法标准为主。现有标准</w:t>
      </w:r>
      <w:r>
        <w:rPr>
          <w:rFonts w:ascii="Times New Roman" w:hAnsi="Times New Roman" w:eastAsia="仿宋_GB2312"/>
          <w:sz w:val="32"/>
          <w:szCs w:val="32"/>
        </w:rPr>
        <w:t>32</w:t>
      </w:r>
      <w:r>
        <w:rPr>
          <w:rFonts w:hint="eastAsia" w:ascii="Times New Roman" w:hAnsi="Times New Roman" w:eastAsia="仿宋_GB2312"/>
          <w:sz w:val="32"/>
          <w:szCs w:val="32"/>
        </w:rPr>
        <w:t>项，产品标准</w:t>
      </w:r>
      <w:r>
        <w:rPr>
          <w:rFonts w:ascii="Times New Roman" w:hAnsi="Times New Roman" w:eastAsia="仿宋_GB2312"/>
          <w:sz w:val="32"/>
          <w:szCs w:val="32"/>
        </w:rPr>
        <w:t>7</w:t>
      </w:r>
      <w:r>
        <w:rPr>
          <w:rFonts w:hint="eastAsia" w:ascii="Times New Roman" w:hAnsi="Times New Roman" w:eastAsia="仿宋_GB2312"/>
          <w:sz w:val="32"/>
          <w:szCs w:val="32"/>
        </w:rPr>
        <w:t>项</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试验方法标准各2</w:t>
      </w:r>
      <w:r>
        <w:rPr>
          <w:rFonts w:ascii="Times New Roman" w:hAnsi="Times New Roman" w:eastAsia="仿宋_GB2312"/>
          <w:sz w:val="32"/>
          <w:szCs w:val="32"/>
        </w:rPr>
        <w:t>0</w:t>
      </w:r>
      <w:r>
        <w:rPr>
          <w:rFonts w:hint="eastAsia" w:ascii="Times New Roman" w:hAnsi="Times New Roman" w:eastAsia="仿宋_GB2312"/>
          <w:sz w:val="32"/>
          <w:szCs w:val="32"/>
        </w:rPr>
        <w:t>项，基础通用标准1项，安全生产与职业健康标准</w:t>
      </w:r>
      <w:r>
        <w:rPr>
          <w:rFonts w:ascii="Times New Roman" w:hAnsi="Times New Roman" w:eastAsia="仿宋_GB2312"/>
          <w:sz w:val="32"/>
          <w:szCs w:val="32"/>
        </w:rPr>
        <w:t>3</w:t>
      </w:r>
      <w:r>
        <w:rPr>
          <w:rFonts w:hint="eastAsia" w:ascii="Times New Roman" w:hAnsi="Times New Roman" w:eastAsia="仿宋_GB2312"/>
          <w:sz w:val="32"/>
          <w:szCs w:val="32"/>
        </w:rPr>
        <w:t>项，工艺装备、智能制造标准1项。</w:t>
      </w:r>
    </w:p>
    <w:bookmarkEnd w:id="68"/>
    <w:bookmarkEnd w:id="69"/>
    <w:p>
      <w:pPr>
        <w:ind w:firstLine="630" w:firstLineChars="196"/>
        <w:outlineLvl w:val="2"/>
        <w:rPr>
          <w:rFonts w:ascii="仿宋_GB2312" w:eastAsia="仿宋_GB2312"/>
          <w:b/>
          <w:sz w:val="32"/>
          <w:szCs w:val="32"/>
        </w:rPr>
      </w:pPr>
      <w:bookmarkStart w:id="70" w:name="_Toc25207"/>
      <w:r>
        <w:rPr>
          <w:rFonts w:hint="eastAsia" w:ascii="仿宋_GB2312" w:eastAsia="仿宋_GB2312"/>
          <w:b/>
          <w:sz w:val="32"/>
          <w:szCs w:val="32"/>
        </w:rPr>
        <w:t>2.“十四五”拟制修订标准</w:t>
      </w:r>
      <w:bookmarkEnd w:id="70"/>
    </w:p>
    <w:p>
      <w:pPr>
        <w:ind w:firstLine="640" w:firstLineChars="200"/>
        <w:rPr>
          <w:rFonts w:ascii="Times New Roman" w:hAnsi="Times New Roman" w:eastAsia="仿宋_GB2312"/>
          <w:sz w:val="32"/>
          <w:szCs w:val="32"/>
        </w:rPr>
      </w:pPr>
      <w:bookmarkStart w:id="71" w:name="OLE_LINK27"/>
      <w:bookmarkStart w:id="72" w:name="OLE_LINK28"/>
      <w:r>
        <w:rPr>
          <w:rFonts w:hint="eastAsia" w:ascii="Times New Roman" w:hAnsi="Times New Roman" w:eastAsia="仿宋_GB2312"/>
          <w:sz w:val="32"/>
          <w:szCs w:val="32"/>
        </w:rPr>
        <w:t>“十四五”期间，主要开展现有产品标准的整合，试验方法标准的修订工作。今后，工业炸药及制品领域将形成《工业炸药通用安全技术要求》和《工业炸药制品通用安全技术要求》两项强制性标准，现有《乳化炸药》、《水胶炸药》等产品标准将废止。“十四五”期间拟制修订标准见表14。</w:t>
      </w:r>
    </w:p>
    <w:bookmarkEnd w:id="71"/>
    <w:bookmarkEnd w:id="72"/>
    <w:p>
      <w:pPr>
        <w:jc w:val="center"/>
        <w:rPr>
          <w:rFonts w:ascii="Times New Roman" w:hAnsi="Times New Roman" w:eastAsia="仿宋_GB2312"/>
          <w:sz w:val="32"/>
          <w:szCs w:val="32"/>
        </w:rPr>
      </w:pPr>
    </w:p>
    <w:p>
      <w:pPr>
        <w:jc w:val="center"/>
        <w:rPr>
          <w:rFonts w:ascii="Times New Roman" w:hAnsi="Times New Roman" w:eastAsia="仿宋_GB2312"/>
          <w:sz w:val="32"/>
          <w:szCs w:val="32"/>
        </w:rPr>
      </w:pPr>
      <w:r>
        <w:rPr>
          <w:rFonts w:hint="eastAsia" w:ascii="Times New Roman" w:hAnsi="Times New Roman" w:eastAsia="仿宋_GB2312"/>
          <w:sz w:val="32"/>
          <w:szCs w:val="32"/>
        </w:rPr>
        <w:t>表14  拟制修订工业炸药及炸药制品标准</w:t>
      </w:r>
    </w:p>
    <w:tbl>
      <w:tblPr>
        <w:tblStyle w:val="14"/>
        <w:tblW w:w="9371" w:type="dxa"/>
        <w:jc w:val="center"/>
        <w:tblLayout w:type="fixed"/>
        <w:tblCellMar>
          <w:top w:w="0" w:type="dxa"/>
          <w:left w:w="108" w:type="dxa"/>
          <w:bottom w:w="0" w:type="dxa"/>
          <w:right w:w="108" w:type="dxa"/>
        </w:tblCellMar>
      </w:tblPr>
      <w:tblGrid>
        <w:gridCol w:w="724"/>
        <w:gridCol w:w="1794"/>
        <w:gridCol w:w="2637"/>
        <w:gridCol w:w="1664"/>
        <w:gridCol w:w="1468"/>
        <w:gridCol w:w="1084"/>
      </w:tblGrid>
      <w:tr>
        <w:tblPrEx>
          <w:tblCellMar>
            <w:top w:w="0" w:type="dxa"/>
            <w:left w:w="108" w:type="dxa"/>
            <w:bottom w:w="0" w:type="dxa"/>
            <w:right w:w="108" w:type="dxa"/>
          </w:tblCellMar>
        </w:tblPrEx>
        <w:trPr>
          <w:cantSplit/>
          <w:trHeight w:val="540"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序号</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标准号</w:t>
            </w:r>
          </w:p>
        </w:tc>
        <w:tc>
          <w:tcPr>
            <w:tcW w:w="2637"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Times New Roman" w:hAnsi="Times New Roman" w:cs="Times New Roman"/>
                <w:kern w:val="0"/>
                <w:sz w:val="22"/>
              </w:rPr>
              <w:t>标准名称</w:t>
            </w:r>
          </w:p>
        </w:tc>
        <w:tc>
          <w:tcPr>
            <w:tcW w:w="16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标准状态</w:t>
            </w:r>
          </w:p>
        </w:tc>
        <w:tc>
          <w:tcPr>
            <w:tcW w:w="14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整合后标准名称</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立项年度</w:t>
            </w:r>
          </w:p>
        </w:tc>
      </w:tr>
      <w:tr>
        <w:tblPrEx>
          <w:tblCellMar>
            <w:top w:w="0" w:type="dxa"/>
            <w:left w:w="108" w:type="dxa"/>
            <w:bottom w:w="0" w:type="dxa"/>
            <w:right w:w="108" w:type="dxa"/>
          </w:tblCellMar>
        </w:tblPrEx>
        <w:trPr>
          <w:cantSplit/>
          <w:trHeight w:val="54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28286-2012</w:t>
            </w:r>
          </w:p>
        </w:tc>
        <w:tc>
          <w:tcPr>
            <w:tcW w:w="263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工业炸药通用技术条件</w:t>
            </w:r>
          </w:p>
        </w:tc>
        <w:tc>
          <w:tcPr>
            <w:tcW w:w="16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restart"/>
            <w:tcBorders>
              <w:top w:val="single" w:color="auto" w:sz="4" w:space="0"/>
              <w:left w:val="nil"/>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工业炸药通用安全技术要求</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2018</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2</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WJ 9083-2015</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含火药含水工业炸药</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continue"/>
            <w:tcBorders>
              <w:left w:val="nil"/>
              <w:right w:val="single" w:color="auto" w:sz="4" w:space="0"/>
            </w:tcBorders>
            <w:vAlign w:val="center"/>
          </w:tcPr>
          <w:p>
            <w:pPr>
              <w:jc w:val="left"/>
              <w:rPr>
                <w:rFonts w:ascii="宋体" w:hAnsi="宋体" w:cs="宋体"/>
                <w:kern w:val="0"/>
                <w:sz w:val="22"/>
              </w:rPr>
            </w:pP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2018</w:t>
            </w:r>
          </w:p>
        </w:tc>
      </w:tr>
      <w:tr>
        <w:tblPrEx>
          <w:tblCellMar>
            <w:top w:w="0" w:type="dxa"/>
            <w:left w:w="108" w:type="dxa"/>
            <w:bottom w:w="0" w:type="dxa"/>
            <w:right w:w="108" w:type="dxa"/>
          </w:tblCellMar>
        </w:tblPrEx>
        <w:trPr>
          <w:cantSplit/>
          <w:trHeight w:val="3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3</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14493-2003</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工业炸药包装</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continue"/>
            <w:tcBorders>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2018</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4</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15563-2005</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震源药柱</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restart"/>
            <w:tcBorders>
              <w:top w:val="nil"/>
              <w:left w:val="nil"/>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工业炸药制品通用安全技术要求</w:t>
            </w: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2017</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5</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WJ 9045-2004</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起爆具</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2"/>
              </w:rPr>
            </w:pP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2017</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6</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12436-1990</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炸药作功能力试验铅壔法</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restart"/>
            <w:tcBorders>
              <w:top w:val="nil"/>
              <w:left w:val="nil"/>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炸药作功能力试验 铅壔法</w:t>
            </w: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2018</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7</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WJ/T 9030-2004</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炸药作功能力试验用铅壔</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2"/>
              </w:rPr>
            </w:pP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2018</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8</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WJ 9072-2012</w:t>
            </w:r>
          </w:p>
        </w:tc>
        <w:tc>
          <w:tcPr>
            <w:tcW w:w="2637" w:type="dxa"/>
            <w:tcBorders>
              <w:top w:val="nil"/>
              <w:left w:val="nil"/>
              <w:bottom w:val="single" w:color="auto" w:sz="4" w:space="0"/>
              <w:right w:val="single" w:color="auto" w:sz="4" w:space="0"/>
            </w:tcBorders>
            <w:vAlign w:val="center"/>
          </w:tcPr>
          <w:p>
            <w:pPr>
              <w:widowControl/>
              <w:jc w:val="left"/>
              <w:rPr>
                <w:rFonts w:ascii="宋体" w:hAnsi="宋体" w:cs="Times New Roman"/>
                <w:kern w:val="0"/>
                <w:sz w:val="22"/>
              </w:rPr>
            </w:pPr>
            <w:r>
              <w:rPr>
                <w:rFonts w:hint="eastAsia" w:ascii="宋体" w:hAnsi="宋体" w:cs="Times New Roman"/>
                <w:kern w:val="0"/>
                <w:sz w:val="22"/>
              </w:rPr>
              <w:t>现场混装炸药生产安全管理规程</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restart"/>
            <w:tcBorders>
              <w:left w:val="nil"/>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民用爆炸物品生产、销售企业安全管理规程</w:t>
            </w: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2017</w:t>
            </w:r>
          </w:p>
        </w:tc>
      </w:tr>
      <w:tr>
        <w:tblPrEx>
          <w:tblCellMar>
            <w:top w:w="0" w:type="dxa"/>
            <w:left w:w="108" w:type="dxa"/>
            <w:bottom w:w="0" w:type="dxa"/>
            <w:right w:w="108" w:type="dxa"/>
          </w:tblCellMar>
        </w:tblPrEx>
        <w:trPr>
          <w:cantSplit/>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9</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WJ 9082-2015</w:t>
            </w:r>
          </w:p>
        </w:tc>
        <w:tc>
          <w:tcPr>
            <w:tcW w:w="2637" w:type="dxa"/>
            <w:tcBorders>
              <w:top w:val="nil"/>
              <w:left w:val="nil"/>
              <w:bottom w:val="single" w:color="auto" w:sz="4" w:space="0"/>
              <w:right w:val="single" w:color="auto" w:sz="4" w:space="0"/>
            </w:tcBorders>
            <w:vAlign w:val="center"/>
          </w:tcPr>
          <w:p>
            <w:pPr>
              <w:widowControl/>
              <w:jc w:val="left"/>
              <w:rPr>
                <w:rFonts w:ascii="宋体" w:hAnsi="宋体" w:cs="Times New Roman"/>
                <w:kern w:val="0"/>
                <w:sz w:val="22"/>
              </w:rPr>
            </w:pPr>
            <w:r>
              <w:rPr>
                <w:rFonts w:hint="eastAsia" w:ascii="宋体" w:hAnsi="宋体" w:cs="Times New Roman"/>
                <w:kern w:val="0"/>
                <w:sz w:val="22"/>
              </w:rPr>
              <w:t>含火药含水工业炸药安全生产技术条件</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拟整合修订</w:t>
            </w:r>
          </w:p>
        </w:tc>
        <w:tc>
          <w:tcPr>
            <w:tcW w:w="146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2"/>
              </w:rPr>
            </w:pP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2017</w:t>
            </w:r>
          </w:p>
        </w:tc>
      </w:tr>
      <w:tr>
        <w:tblPrEx>
          <w:tblCellMar>
            <w:top w:w="0" w:type="dxa"/>
            <w:left w:w="108" w:type="dxa"/>
            <w:bottom w:w="0" w:type="dxa"/>
            <w:right w:w="108" w:type="dxa"/>
          </w:tblCellMar>
        </w:tblPrEx>
        <w:trPr>
          <w:cantSplit/>
          <w:trHeight w:val="3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10</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12440-1990</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炸药猛度试验铅柱压缩法</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拟修订</w:t>
            </w:r>
          </w:p>
        </w:tc>
        <w:tc>
          <w:tcPr>
            <w:tcW w:w="1468"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0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2022</w:t>
            </w:r>
            <w:r>
              <w:rPr>
                <w:rFonts w:hint="eastAsia" w:ascii="宋体" w:hAnsi="宋体" w:cs="Times New Roman"/>
                <w:kern w:val="0"/>
                <w:sz w:val="22"/>
              </w:rPr>
              <w:t>年及以后</w:t>
            </w:r>
          </w:p>
        </w:tc>
      </w:tr>
      <w:tr>
        <w:tblPrEx>
          <w:tblCellMar>
            <w:top w:w="0" w:type="dxa"/>
            <w:left w:w="108" w:type="dxa"/>
            <w:bottom w:w="0" w:type="dxa"/>
            <w:right w:w="108" w:type="dxa"/>
          </w:tblCellMar>
        </w:tblPrEx>
        <w:trPr>
          <w:cantSplit/>
          <w:trHeight w:val="3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11</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18097-2000</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煤矿许用炸药可燃气安全度试验方法及判定</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拟修订</w:t>
            </w:r>
          </w:p>
        </w:tc>
        <w:tc>
          <w:tcPr>
            <w:tcW w:w="1468"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084" w:type="dxa"/>
            <w:tcBorders>
              <w:top w:val="nil"/>
              <w:left w:val="nil"/>
              <w:bottom w:val="single" w:color="auto" w:sz="4" w:space="0"/>
              <w:right w:val="single" w:color="auto" w:sz="4" w:space="0"/>
            </w:tcBorders>
          </w:tcPr>
          <w:p>
            <w:pPr>
              <w:widowControl/>
              <w:jc w:val="center"/>
              <w:rPr>
                <w:rFonts w:ascii="Times New Roman" w:hAnsi="Times New Roman" w:cs="Times New Roman"/>
                <w:kern w:val="0"/>
                <w:sz w:val="22"/>
              </w:rPr>
            </w:pPr>
            <w:r>
              <w:rPr>
                <w:rFonts w:hint="eastAsia" w:ascii="Times New Roman" w:hAnsi="Times New Roman" w:cs="Times New Roman"/>
                <w:kern w:val="0"/>
                <w:sz w:val="22"/>
              </w:rPr>
              <w:t>2022年及以后</w:t>
            </w:r>
          </w:p>
        </w:tc>
      </w:tr>
      <w:tr>
        <w:tblPrEx>
          <w:tblCellMar>
            <w:top w:w="0" w:type="dxa"/>
            <w:left w:w="108" w:type="dxa"/>
            <w:bottom w:w="0" w:type="dxa"/>
            <w:right w:w="108" w:type="dxa"/>
          </w:tblCellMar>
        </w:tblPrEx>
        <w:trPr>
          <w:cantSplit/>
          <w:trHeight w:val="3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12</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 18098-2000</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工业炸药爆炸后有毒气体含量的测定</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拟修订</w:t>
            </w:r>
          </w:p>
        </w:tc>
        <w:tc>
          <w:tcPr>
            <w:tcW w:w="1468"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084" w:type="dxa"/>
            <w:tcBorders>
              <w:top w:val="nil"/>
              <w:left w:val="nil"/>
              <w:bottom w:val="single" w:color="auto" w:sz="4" w:space="0"/>
              <w:right w:val="single" w:color="auto" w:sz="4" w:space="0"/>
            </w:tcBorders>
          </w:tcPr>
          <w:p>
            <w:pPr>
              <w:widowControl/>
              <w:jc w:val="center"/>
              <w:rPr>
                <w:rFonts w:ascii="Times New Roman" w:hAnsi="Times New Roman" w:cs="Times New Roman"/>
                <w:kern w:val="0"/>
                <w:sz w:val="22"/>
              </w:rPr>
            </w:pPr>
            <w:r>
              <w:rPr>
                <w:rFonts w:hint="eastAsia" w:ascii="Times New Roman" w:hAnsi="Times New Roman" w:cs="Times New Roman"/>
                <w:kern w:val="0"/>
                <w:sz w:val="22"/>
              </w:rPr>
              <w:t>2022年及以后</w:t>
            </w:r>
          </w:p>
        </w:tc>
      </w:tr>
      <w:tr>
        <w:tblPrEx>
          <w:tblCellMar>
            <w:top w:w="0" w:type="dxa"/>
            <w:left w:w="108" w:type="dxa"/>
            <w:bottom w:w="0" w:type="dxa"/>
            <w:right w:w="108" w:type="dxa"/>
          </w:tblCellMar>
        </w:tblPrEx>
        <w:trPr>
          <w:cantSplit/>
          <w:trHeight w:val="3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13</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GB/T 20061-2006</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煤矿许用炸药抗爆燃性能测试方法及判定</w:t>
            </w:r>
          </w:p>
        </w:tc>
        <w:tc>
          <w:tcPr>
            <w:tcW w:w="166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拟修订</w:t>
            </w:r>
          </w:p>
        </w:tc>
        <w:tc>
          <w:tcPr>
            <w:tcW w:w="1468"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084" w:type="dxa"/>
            <w:tcBorders>
              <w:top w:val="nil"/>
              <w:left w:val="nil"/>
              <w:bottom w:val="single" w:color="auto" w:sz="4" w:space="0"/>
              <w:right w:val="single" w:color="auto" w:sz="4" w:space="0"/>
            </w:tcBorders>
          </w:tcPr>
          <w:p>
            <w:pPr>
              <w:widowControl/>
              <w:jc w:val="center"/>
              <w:rPr>
                <w:rFonts w:ascii="Times New Roman" w:hAnsi="Times New Roman" w:cs="Times New Roman"/>
                <w:kern w:val="0"/>
                <w:sz w:val="22"/>
              </w:rPr>
            </w:pPr>
            <w:r>
              <w:rPr>
                <w:rFonts w:hint="eastAsia" w:ascii="Times New Roman" w:hAnsi="Times New Roman" w:cs="Times New Roman"/>
                <w:kern w:val="0"/>
                <w:sz w:val="22"/>
              </w:rPr>
              <w:t>2022年及以后</w:t>
            </w:r>
          </w:p>
        </w:tc>
      </w:tr>
      <w:tr>
        <w:tblPrEx>
          <w:tblCellMar>
            <w:top w:w="0" w:type="dxa"/>
            <w:left w:w="108" w:type="dxa"/>
            <w:bottom w:w="0" w:type="dxa"/>
            <w:right w:w="108" w:type="dxa"/>
          </w:tblCellMar>
        </w:tblPrEx>
        <w:trPr>
          <w:cantSplit/>
          <w:trHeight w:val="57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14</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无雷管感度现场混装炸药试验方法</w:t>
            </w:r>
          </w:p>
        </w:tc>
        <w:tc>
          <w:tcPr>
            <w:tcW w:w="166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拟制定</w:t>
            </w:r>
          </w:p>
        </w:tc>
        <w:tc>
          <w:tcPr>
            <w:tcW w:w="146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　</w:t>
            </w:r>
          </w:p>
        </w:tc>
        <w:tc>
          <w:tcPr>
            <w:tcW w:w="1084" w:type="dxa"/>
            <w:tcBorders>
              <w:top w:val="nil"/>
              <w:left w:val="nil"/>
              <w:bottom w:val="single" w:color="auto" w:sz="4" w:space="0"/>
              <w:right w:val="single" w:color="auto" w:sz="4" w:space="0"/>
            </w:tcBorders>
          </w:tcPr>
          <w:p>
            <w:pPr>
              <w:widowControl/>
              <w:jc w:val="center"/>
              <w:rPr>
                <w:rFonts w:ascii="Times New Roman" w:hAnsi="Times New Roman" w:cs="Times New Roman"/>
                <w:kern w:val="0"/>
                <w:sz w:val="22"/>
              </w:rPr>
            </w:pPr>
            <w:r>
              <w:rPr>
                <w:rFonts w:hint="eastAsia" w:ascii="Times New Roman" w:hAnsi="Times New Roman" w:cs="Times New Roman"/>
                <w:kern w:val="0"/>
                <w:sz w:val="22"/>
              </w:rPr>
              <w:t>2022年及以后</w:t>
            </w:r>
          </w:p>
        </w:tc>
      </w:tr>
      <w:tr>
        <w:tblPrEx>
          <w:tblCellMar>
            <w:top w:w="0" w:type="dxa"/>
            <w:left w:w="108" w:type="dxa"/>
            <w:bottom w:w="0" w:type="dxa"/>
            <w:right w:w="108" w:type="dxa"/>
          </w:tblCellMar>
        </w:tblPrEx>
        <w:trPr>
          <w:cantSplit/>
          <w:trHeight w:val="3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15</w:t>
            </w:r>
          </w:p>
        </w:tc>
        <w:tc>
          <w:tcPr>
            <w:tcW w:w="179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　</w:t>
            </w:r>
          </w:p>
        </w:tc>
        <w:tc>
          <w:tcPr>
            <w:tcW w:w="263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现场混装炸药车通用技术要求</w:t>
            </w:r>
          </w:p>
        </w:tc>
        <w:tc>
          <w:tcPr>
            <w:tcW w:w="166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拟制定</w:t>
            </w:r>
          </w:p>
        </w:tc>
        <w:tc>
          <w:tcPr>
            <w:tcW w:w="146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　</w:t>
            </w:r>
          </w:p>
        </w:tc>
        <w:tc>
          <w:tcPr>
            <w:tcW w:w="1084" w:type="dxa"/>
            <w:tcBorders>
              <w:top w:val="nil"/>
              <w:left w:val="nil"/>
              <w:bottom w:val="single" w:color="auto" w:sz="4" w:space="0"/>
              <w:right w:val="single" w:color="auto" w:sz="4" w:space="0"/>
            </w:tcBorders>
          </w:tcPr>
          <w:p>
            <w:pPr>
              <w:widowControl/>
              <w:jc w:val="center"/>
              <w:rPr>
                <w:rFonts w:ascii="Times New Roman" w:hAnsi="Times New Roman" w:cs="Times New Roman"/>
                <w:kern w:val="0"/>
                <w:sz w:val="22"/>
              </w:rPr>
            </w:pPr>
            <w:r>
              <w:rPr>
                <w:rFonts w:hint="eastAsia" w:ascii="Times New Roman" w:hAnsi="Times New Roman" w:cs="Times New Roman"/>
                <w:kern w:val="0"/>
                <w:sz w:val="22"/>
              </w:rPr>
              <w:t>2022年及以后</w:t>
            </w:r>
          </w:p>
        </w:tc>
      </w:tr>
    </w:tbl>
    <w:p>
      <w:pPr>
        <w:ind w:firstLine="643" w:firstLineChars="200"/>
        <w:outlineLvl w:val="1"/>
        <w:rPr>
          <w:rFonts w:ascii="楷体" w:hAnsi="楷体" w:eastAsia="楷体"/>
          <w:b/>
          <w:sz w:val="32"/>
          <w:szCs w:val="32"/>
        </w:rPr>
      </w:pPr>
      <w:bookmarkStart w:id="73" w:name="_Toc19429"/>
      <w:r>
        <w:rPr>
          <w:rFonts w:hint="eastAsia" w:ascii="楷体" w:hAnsi="楷体" w:eastAsia="楷体"/>
          <w:b/>
          <w:sz w:val="32"/>
          <w:szCs w:val="32"/>
        </w:rPr>
        <w:t>（三）工业雷管</w:t>
      </w:r>
      <w:bookmarkEnd w:id="73"/>
    </w:p>
    <w:p>
      <w:pPr>
        <w:ind w:firstLine="630" w:firstLineChars="196"/>
        <w:outlineLvl w:val="2"/>
        <w:rPr>
          <w:rFonts w:ascii="仿宋_GB2312" w:eastAsia="仿宋_GB2312"/>
          <w:b/>
          <w:sz w:val="32"/>
          <w:szCs w:val="32"/>
        </w:rPr>
      </w:pPr>
      <w:bookmarkStart w:id="74" w:name="_Toc15034"/>
      <w:bookmarkStart w:id="75" w:name="OLE_LINK20"/>
      <w:bookmarkStart w:id="76" w:name="OLE_LINK19"/>
      <w:r>
        <w:rPr>
          <w:rFonts w:hint="eastAsia" w:ascii="仿宋_GB2312" w:eastAsia="仿宋_GB2312"/>
          <w:b/>
          <w:sz w:val="32"/>
          <w:szCs w:val="32"/>
        </w:rPr>
        <w:t>1.标准现状</w:t>
      </w:r>
      <w:bookmarkEnd w:id="74"/>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工业雷管标准以产品标准和试验方法标准为主。现有标准3</w:t>
      </w:r>
      <w:r>
        <w:rPr>
          <w:rFonts w:ascii="Times New Roman" w:hAnsi="Times New Roman" w:eastAsia="仿宋_GB2312"/>
          <w:sz w:val="32"/>
          <w:szCs w:val="32"/>
        </w:rPr>
        <w:t>1</w:t>
      </w:r>
      <w:r>
        <w:rPr>
          <w:rFonts w:hint="eastAsia" w:ascii="Times New Roman" w:hAnsi="Times New Roman" w:eastAsia="仿宋_GB2312"/>
          <w:sz w:val="32"/>
          <w:szCs w:val="32"/>
        </w:rPr>
        <w:t>项，产品标准</w:t>
      </w:r>
      <w:r>
        <w:rPr>
          <w:rFonts w:ascii="Times New Roman" w:hAnsi="Times New Roman" w:eastAsia="仿宋_GB2312"/>
          <w:sz w:val="32"/>
          <w:szCs w:val="32"/>
        </w:rPr>
        <w:t>6</w:t>
      </w:r>
      <w:r>
        <w:rPr>
          <w:rFonts w:hint="eastAsia" w:ascii="Times New Roman" w:hAnsi="Times New Roman" w:eastAsia="仿宋_GB2312"/>
          <w:sz w:val="32"/>
          <w:szCs w:val="32"/>
        </w:rPr>
        <w:t>项，试验方法标准各23项，基础通用标准1项，安全生产与职业健康标准1项。</w:t>
      </w:r>
    </w:p>
    <w:p>
      <w:pPr>
        <w:ind w:firstLine="630" w:firstLineChars="196"/>
        <w:outlineLvl w:val="2"/>
        <w:rPr>
          <w:rFonts w:ascii="仿宋_GB2312" w:eastAsia="仿宋_GB2312"/>
          <w:b/>
          <w:sz w:val="32"/>
          <w:szCs w:val="32"/>
        </w:rPr>
      </w:pPr>
      <w:bookmarkStart w:id="77" w:name="_Toc29197"/>
      <w:r>
        <w:rPr>
          <w:rFonts w:hint="eastAsia" w:ascii="仿宋_GB2312" w:eastAsia="仿宋_GB2312"/>
          <w:b/>
          <w:sz w:val="32"/>
          <w:szCs w:val="32"/>
        </w:rPr>
        <w:t>2.“十四五”拟制修订标准</w:t>
      </w:r>
      <w:bookmarkEnd w:id="77"/>
    </w:p>
    <w:bookmarkEnd w:id="75"/>
    <w:bookmarkEnd w:id="76"/>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“十四五”期间，主要开展现有产品标准的整合，试验方法标准的修订工作。“十四五”期间拟制修订标准见表15。</w:t>
      </w:r>
    </w:p>
    <w:p>
      <w:pPr>
        <w:jc w:val="center"/>
        <w:rPr>
          <w:rFonts w:ascii="Times New Roman" w:hAnsi="Times New Roman" w:eastAsia="仿宋_GB2312"/>
          <w:sz w:val="30"/>
          <w:szCs w:val="30"/>
        </w:rPr>
        <w:sectPr>
          <w:pgSz w:w="11906" w:h="16838"/>
          <w:pgMar w:top="1440" w:right="1800" w:bottom="1440" w:left="1800" w:header="851" w:footer="992" w:gutter="0"/>
          <w:cols w:space="720" w:num="1"/>
          <w:docGrid w:type="lines" w:linePitch="312" w:charSpace="0"/>
        </w:sectPr>
      </w:pPr>
    </w:p>
    <w:p>
      <w:pPr>
        <w:jc w:val="center"/>
        <w:rPr>
          <w:rFonts w:ascii="Times New Roman" w:hAnsi="Times New Roman" w:eastAsia="仿宋_GB2312"/>
          <w:sz w:val="30"/>
          <w:szCs w:val="30"/>
        </w:rPr>
      </w:pPr>
      <w:r>
        <w:rPr>
          <w:rFonts w:hint="eastAsia" w:ascii="Times New Roman" w:hAnsi="Times New Roman" w:eastAsia="仿宋_GB2312"/>
          <w:sz w:val="30"/>
          <w:szCs w:val="30"/>
        </w:rPr>
        <w:t>表15  拟制修订雷管标准</w:t>
      </w:r>
    </w:p>
    <w:tbl>
      <w:tblPr>
        <w:tblStyle w:val="14"/>
        <w:tblW w:w="8522" w:type="dxa"/>
        <w:tblInd w:w="93" w:type="dxa"/>
        <w:tblLayout w:type="fixed"/>
        <w:tblCellMar>
          <w:top w:w="0" w:type="dxa"/>
          <w:left w:w="108" w:type="dxa"/>
          <w:bottom w:w="0" w:type="dxa"/>
          <w:right w:w="108" w:type="dxa"/>
        </w:tblCellMar>
      </w:tblPr>
      <w:tblGrid>
        <w:gridCol w:w="724"/>
        <w:gridCol w:w="1701"/>
        <w:gridCol w:w="2429"/>
        <w:gridCol w:w="1305"/>
        <w:gridCol w:w="1256"/>
        <w:gridCol w:w="1107"/>
      </w:tblGrid>
      <w:tr>
        <w:tblPrEx>
          <w:tblCellMar>
            <w:top w:w="0" w:type="dxa"/>
            <w:left w:w="108" w:type="dxa"/>
            <w:bottom w:w="0" w:type="dxa"/>
            <w:right w:w="108" w:type="dxa"/>
          </w:tblCellMar>
        </w:tblPrEx>
        <w:trPr>
          <w:cantSplit/>
          <w:trHeight w:val="540" w:hRule="atLeast"/>
          <w:tblHead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标准号</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szCs w:val="21"/>
              </w:rPr>
            </w:pPr>
            <w:r>
              <w:rPr>
                <w:rFonts w:hint="eastAsia" w:ascii="宋体" w:hAnsi="宋体" w:cs="Times New Roman"/>
                <w:kern w:val="0"/>
                <w:szCs w:val="21"/>
              </w:rPr>
              <w:t>标准名称</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标准状态</w:t>
            </w:r>
          </w:p>
        </w:tc>
        <w:tc>
          <w:tcPr>
            <w:tcW w:w="12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整合修订后标准名称</w:t>
            </w:r>
          </w:p>
        </w:tc>
        <w:tc>
          <w:tcPr>
            <w:tcW w:w="1107" w:type="dxa"/>
            <w:tcBorders>
              <w:top w:val="single" w:color="auto" w:sz="4" w:space="0"/>
              <w:left w:val="nil"/>
              <w:bottom w:val="single" w:color="auto" w:sz="4" w:space="0"/>
              <w:right w:val="single" w:color="auto" w:sz="4" w:space="0"/>
            </w:tcBorders>
            <w:vAlign w:val="center"/>
          </w:tcPr>
          <w:p>
            <w:pPr>
              <w:widowControl/>
              <w:ind w:right="-67" w:rightChars="-32"/>
              <w:jc w:val="center"/>
              <w:rPr>
                <w:rFonts w:ascii="Times New Roman" w:hAnsi="Times New Roman" w:cs="Times New Roman"/>
                <w:kern w:val="0"/>
                <w:szCs w:val="21"/>
              </w:rPr>
            </w:pPr>
            <w:r>
              <w:rPr>
                <w:rFonts w:hint="eastAsia" w:ascii="Times New Roman" w:hAnsi="Times New Roman" w:cs="Times New Roman"/>
                <w:kern w:val="0"/>
                <w:szCs w:val="21"/>
              </w:rPr>
              <w:t>立项年度</w:t>
            </w:r>
          </w:p>
        </w:tc>
      </w:tr>
      <w:tr>
        <w:tblPrEx>
          <w:tblCellMar>
            <w:top w:w="0" w:type="dxa"/>
            <w:left w:w="108" w:type="dxa"/>
            <w:bottom w:w="0" w:type="dxa"/>
            <w:right w:w="108" w:type="dxa"/>
          </w:tblCellMar>
        </w:tblPrEx>
        <w:trPr>
          <w:cantSplit/>
          <w:trHeight w:val="92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8031-2015</w:t>
            </w:r>
          </w:p>
        </w:tc>
        <w:tc>
          <w:tcPr>
            <w:tcW w:w="24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工业电雷管</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拟整合修订</w:t>
            </w:r>
          </w:p>
        </w:tc>
        <w:tc>
          <w:tcPr>
            <w:tcW w:w="1256" w:type="dxa"/>
            <w:vMerge w:val="restart"/>
            <w:tcBorders>
              <w:top w:val="single" w:color="auto" w:sz="4" w:space="0"/>
              <w:left w:val="nil"/>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工业雷管通用技术条件</w:t>
            </w:r>
          </w:p>
        </w:tc>
        <w:tc>
          <w:tcPr>
            <w:tcW w:w="110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rPr>
              <w:t>已立项</w:t>
            </w:r>
          </w:p>
        </w:tc>
      </w:tr>
      <w:tr>
        <w:tblPrEx>
          <w:tblCellMar>
            <w:top w:w="0" w:type="dxa"/>
            <w:left w:w="108" w:type="dxa"/>
            <w:bottom w:w="0" w:type="dxa"/>
            <w:right w:w="108" w:type="dxa"/>
          </w:tblCellMar>
        </w:tblPrEx>
        <w:trPr>
          <w:cantSplit/>
          <w:trHeight w:val="786"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19417-2003</w:t>
            </w:r>
          </w:p>
        </w:tc>
        <w:tc>
          <w:tcPr>
            <w:tcW w:w="242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导爆管雷管</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拟整合修订</w:t>
            </w:r>
          </w:p>
        </w:tc>
        <w:tc>
          <w:tcPr>
            <w:tcW w:w="1256" w:type="dxa"/>
            <w:vMerge w:val="continue"/>
            <w:tcBorders>
              <w:left w:val="nil"/>
              <w:right w:val="single" w:color="auto" w:sz="4" w:space="0"/>
            </w:tcBorders>
            <w:vAlign w:val="center"/>
          </w:tcPr>
          <w:p>
            <w:pPr>
              <w:widowControl/>
              <w:jc w:val="left"/>
              <w:rPr>
                <w:rFonts w:ascii="宋体" w:hAnsi="宋体" w:cs="宋体"/>
                <w:kern w:val="0"/>
                <w:szCs w:val="21"/>
              </w:rPr>
            </w:pPr>
          </w:p>
        </w:tc>
        <w:tc>
          <w:tcPr>
            <w:tcW w:w="11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rPr>
              <w:t>已立项</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2019-2004</w:t>
            </w:r>
          </w:p>
        </w:tc>
        <w:tc>
          <w:tcPr>
            <w:tcW w:w="2429" w:type="dxa"/>
            <w:tcBorders>
              <w:top w:val="nil"/>
              <w:left w:val="nil"/>
              <w:bottom w:val="single" w:color="auto" w:sz="4" w:space="0"/>
              <w:right w:val="single" w:color="auto" w:sz="4" w:space="0"/>
            </w:tcBorders>
            <w:vAlign w:val="center"/>
          </w:tcPr>
          <w:p>
            <w:pPr>
              <w:widowControl/>
              <w:jc w:val="left"/>
              <w:rPr>
                <w:rFonts w:ascii="宋体" w:hAnsi="宋体" w:cs="Times New Roman"/>
                <w:kern w:val="0"/>
                <w:szCs w:val="21"/>
              </w:rPr>
            </w:pPr>
            <w:r>
              <w:rPr>
                <w:rFonts w:hint="eastAsia" w:ascii="宋体" w:hAnsi="宋体" w:cs="Times New Roman"/>
                <w:kern w:val="0"/>
                <w:szCs w:val="21"/>
              </w:rPr>
              <w:t>塑料导爆管</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拟整合修订</w:t>
            </w:r>
          </w:p>
        </w:tc>
        <w:tc>
          <w:tcPr>
            <w:tcW w:w="1256" w:type="dxa"/>
            <w:vMerge w:val="continue"/>
            <w:tcBorders>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07" w:type="dxa"/>
            <w:tcBorders>
              <w:top w:val="nil"/>
              <w:left w:val="nil"/>
              <w:bottom w:val="single" w:color="auto" w:sz="4" w:space="0"/>
              <w:right w:val="single" w:color="auto" w:sz="4" w:space="0"/>
            </w:tcBorders>
          </w:tcPr>
          <w:p>
            <w:r>
              <w:rPr>
                <w:rFonts w:hint="eastAsia"/>
              </w:rPr>
              <w:t>已立项</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9085-2015</w:t>
            </w:r>
          </w:p>
        </w:tc>
        <w:tc>
          <w:tcPr>
            <w:tcW w:w="2429" w:type="dxa"/>
            <w:tcBorders>
              <w:top w:val="nil"/>
              <w:left w:val="nil"/>
              <w:bottom w:val="single" w:color="auto" w:sz="4" w:space="0"/>
              <w:right w:val="single" w:color="auto" w:sz="4" w:space="0"/>
            </w:tcBorders>
            <w:vAlign w:val="center"/>
          </w:tcPr>
          <w:p>
            <w:pPr>
              <w:widowControl/>
              <w:jc w:val="left"/>
              <w:rPr>
                <w:rFonts w:ascii="宋体" w:hAnsi="宋体" w:cs="Times New Roman"/>
                <w:kern w:val="0"/>
                <w:szCs w:val="21"/>
              </w:rPr>
            </w:pPr>
            <w:r>
              <w:rPr>
                <w:rFonts w:hint="eastAsia" w:ascii="宋体" w:hAnsi="宋体" w:cs="Times New Roman"/>
                <w:kern w:val="0"/>
                <w:szCs w:val="21"/>
              </w:rPr>
              <w:t>工业数码电子雷管</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拟整合修订</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07" w:type="dxa"/>
            <w:tcBorders>
              <w:top w:val="nil"/>
              <w:left w:val="nil"/>
              <w:bottom w:val="single" w:color="auto" w:sz="4" w:space="0"/>
              <w:right w:val="single" w:color="auto" w:sz="4" w:space="0"/>
            </w:tcBorders>
          </w:tcPr>
          <w:p>
            <w:r>
              <w:rPr>
                <w:rFonts w:hint="eastAsia"/>
              </w:rPr>
              <w:t>已立项</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9040-2004</w:t>
            </w:r>
          </w:p>
        </w:tc>
        <w:tc>
          <w:tcPr>
            <w:tcW w:w="242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GTG</w:t>
            </w:r>
            <w:r>
              <w:rPr>
                <w:rFonts w:hint="eastAsia" w:ascii="宋体" w:hAnsi="宋体" w:cs="Times New Roman"/>
                <w:kern w:val="0"/>
                <w:szCs w:val="21"/>
              </w:rPr>
              <w:t>起爆药</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拟修订</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07"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18096-2000</w:t>
            </w:r>
          </w:p>
        </w:tc>
        <w:tc>
          <w:tcPr>
            <w:tcW w:w="242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煤矿许用电雷管可燃气安全度试验方法</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拟修订</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07"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7</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13225-1991</w:t>
            </w:r>
          </w:p>
        </w:tc>
        <w:tc>
          <w:tcPr>
            <w:tcW w:w="242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工业雷管延期时间测定方法</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拟修订</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07"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13226-1991</w:t>
            </w:r>
          </w:p>
        </w:tc>
        <w:tc>
          <w:tcPr>
            <w:tcW w:w="242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工业雷管铅板试验方法</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拟修订</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07"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9</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kern w:val="0"/>
                <w:sz w:val="22"/>
              </w:rPr>
            </w:pPr>
            <w:r>
              <w:rPr>
                <w:rFonts w:ascii="Times New Roman" w:hAnsi="Times New Roman" w:cs="Times New Roman"/>
                <w:sz w:val="22"/>
              </w:rPr>
              <w:t>GB/T 13227-1991</w:t>
            </w:r>
          </w:p>
        </w:tc>
        <w:tc>
          <w:tcPr>
            <w:tcW w:w="2429"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2"/>
              </w:rPr>
            </w:pPr>
            <w:r>
              <w:rPr>
                <w:rFonts w:hint="eastAsia" w:cs="Times New Roman"/>
                <w:sz w:val="22"/>
              </w:rPr>
              <w:t>工业雷管浸水试验方法</w:t>
            </w:r>
          </w:p>
        </w:tc>
        <w:tc>
          <w:tcPr>
            <w:tcW w:w="130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拟修订</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07"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10</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sz w:val="22"/>
              </w:rPr>
            </w:pPr>
          </w:p>
        </w:tc>
        <w:tc>
          <w:tcPr>
            <w:tcW w:w="2429" w:type="dxa"/>
            <w:tcBorders>
              <w:top w:val="single" w:color="auto" w:sz="4" w:space="0"/>
              <w:left w:val="nil"/>
              <w:bottom w:val="single" w:color="auto" w:sz="4" w:space="0"/>
              <w:right w:val="single" w:color="auto" w:sz="4" w:space="0"/>
            </w:tcBorders>
            <w:shd w:val="clear" w:color="auto" w:fill="auto"/>
            <w:vAlign w:val="center"/>
          </w:tcPr>
          <w:p>
            <w:pPr>
              <w:rPr>
                <w:rFonts w:hint="eastAsia" w:cs="Times New Roman"/>
                <w:sz w:val="22"/>
              </w:rPr>
            </w:pPr>
            <w:r>
              <w:rPr>
                <w:rFonts w:hint="eastAsia" w:cs="Times New Roman"/>
                <w:sz w:val="22"/>
              </w:rPr>
              <w:t>基础雷管</w:t>
            </w:r>
          </w:p>
        </w:tc>
        <w:tc>
          <w:tcPr>
            <w:tcW w:w="13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Times New Roman"/>
                <w:kern w:val="0"/>
                <w:szCs w:val="21"/>
              </w:rPr>
              <w:t>拟制定</w:t>
            </w:r>
          </w:p>
        </w:tc>
        <w:tc>
          <w:tcPr>
            <w:tcW w:w="125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07" w:type="dxa"/>
            <w:tcBorders>
              <w:top w:val="nil"/>
              <w:left w:val="nil"/>
              <w:bottom w:val="single" w:color="auto" w:sz="4" w:space="0"/>
              <w:right w:val="single" w:color="auto" w:sz="4" w:space="0"/>
            </w:tcBorders>
          </w:tcPr>
          <w:p>
            <w:pPr>
              <w:rPr>
                <w:rFonts w:hint="default" w:eastAsia="宋体"/>
                <w:lang w:val="en-US" w:eastAsia="zh-CN"/>
              </w:rPr>
            </w:pPr>
            <w:r>
              <w:rPr>
                <w:rFonts w:hint="eastAsia" w:ascii="Times New Roman" w:hAnsi="Times New Roman" w:cs="Times New Roman"/>
                <w:kern w:val="0"/>
                <w:szCs w:val="21"/>
                <w:lang w:val="en-US" w:eastAsia="zh-CN"/>
              </w:rPr>
              <w:t>2022年3季度申请立项</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sz w:val="22"/>
              </w:rPr>
            </w:pPr>
          </w:p>
        </w:tc>
        <w:tc>
          <w:tcPr>
            <w:tcW w:w="24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Times New Roman"/>
                <w:kern w:val="0"/>
                <w:sz w:val="21"/>
                <w:szCs w:val="21"/>
                <w:lang w:val="en-US" w:eastAsia="zh-CN" w:bidi="ar-SA"/>
              </w:rPr>
            </w:pPr>
            <w:r>
              <w:rPr>
                <w:rFonts w:hint="eastAsia" w:ascii="宋体" w:hAnsi="宋体" w:cs="Times New Roman"/>
                <w:kern w:val="0"/>
                <w:szCs w:val="21"/>
              </w:rPr>
              <w:t>电子雷管  电子引火元件</w:t>
            </w:r>
          </w:p>
        </w:tc>
        <w:tc>
          <w:tcPr>
            <w:tcW w:w="1305" w:type="dxa"/>
            <w:tcBorders>
              <w:top w:val="nil"/>
              <w:left w:val="nil"/>
              <w:bottom w:val="single" w:color="auto" w:sz="4" w:space="0"/>
              <w:right w:val="single" w:color="auto" w:sz="4" w:space="0"/>
            </w:tcBorders>
            <w:vAlign w:val="center"/>
          </w:tcPr>
          <w:p>
            <w:pPr>
              <w:widowControl/>
              <w:jc w:val="left"/>
              <w:rPr>
                <w:rFonts w:hint="eastAsia" w:ascii="宋体" w:hAnsi="宋体" w:eastAsia="宋体" w:cs="Times New Roman"/>
                <w:kern w:val="0"/>
                <w:sz w:val="21"/>
                <w:szCs w:val="21"/>
                <w:lang w:val="en-US" w:eastAsia="zh-CN" w:bidi="ar-SA"/>
              </w:rPr>
            </w:pPr>
            <w:r>
              <w:rPr>
                <w:rFonts w:hint="eastAsia" w:ascii="宋体" w:hAnsi="宋体" w:cs="Times New Roman"/>
                <w:kern w:val="0"/>
                <w:szCs w:val="21"/>
              </w:rPr>
              <w:t>拟制定</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1"/>
                <w:szCs w:val="21"/>
                <w:lang w:val="en-US" w:eastAsia="zh-CN" w:bidi="ar-SA"/>
              </w:rPr>
            </w:pPr>
          </w:p>
        </w:tc>
        <w:tc>
          <w:tcPr>
            <w:tcW w:w="1107" w:type="dxa"/>
            <w:tcBorders>
              <w:top w:val="nil"/>
              <w:left w:val="nil"/>
              <w:bottom w:val="single" w:color="auto" w:sz="4" w:space="0"/>
              <w:right w:val="single" w:color="auto" w:sz="4" w:space="0"/>
            </w:tcBorders>
            <w:vAlign w:val="top"/>
          </w:tcPr>
          <w:p>
            <w:pPr>
              <w:widowControl/>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2022年3季度申请立项</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12</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429" w:type="dxa"/>
            <w:tcBorders>
              <w:top w:val="nil"/>
              <w:left w:val="nil"/>
              <w:bottom w:val="single" w:color="auto" w:sz="4" w:space="0"/>
              <w:right w:val="single" w:color="auto" w:sz="4" w:space="0"/>
            </w:tcBorders>
          </w:tcPr>
          <w:p>
            <w:r>
              <w:rPr>
                <w:rFonts w:hint="eastAsia"/>
              </w:rPr>
              <w:t>电子雷管  电子控制模块</w:t>
            </w:r>
          </w:p>
        </w:tc>
        <w:tc>
          <w:tcPr>
            <w:tcW w:w="1305" w:type="dxa"/>
            <w:tcBorders>
              <w:top w:val="nil"/>
              <w:left w:val="nil"/>
              <w:bottom w:val="single" w:color="auto" w:sz="4" w:space="0"/>
              <w:right w:val="single" w:color="auto" w:sz="4" w:space="0"/>
            </w:tcBorders>
            <w:vAlign w:val="center"/>
          </w:tcPr>
          <w:p>
            <w:r>
              <w:rPr>
                <w:rFonts w:hint="eastAsia"/>
              </w:rPr>
              <w:t>拟制定</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107" w:type="dxa"/>
            <w:tcBorders>
              <w:top w:val="nil"/>
              <w:left w:val="nil"/>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51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13</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429" w:type="dxa"/>
            <w:tcBorders>
              <w:top w:val="nil"/>
              <w:left w:val="nil"/>
              <w:bottom w:val="single" w:color="auto" w:sz="4" w:space="0"/>
              <w:right w:val="single" w:color="auto" w:sz="4" w:space="0"/>
            </w:tcBorders>
          </w:tcPr>
          <w:p>
            <w:r>
              <w:rPr>
                <w:rFonts w:hint="eastAsia"/>
              </w:rPr>
              <w:t>电子雷管  起爆控制器（普通型）</w:t>
            </w:r>
          </w:p>
        </w:tc>
        <w:tc>
          <w:tcPr>
            <w:tcW w:w="1305" w:type="dxa"/>
            <w:tcBorders>
              <w:top w:val="nil"/>
              <w:left w:val="nil"/>
              <w:bottom w:val="single" w:color="auto" w:sz="4" w:space="0"/>
              <w:right w:val="single" w:color="auto" w:sz="4" w:space="0"/>
            </w:tcBorders>
            <w:vAlign w:val="center"/>
          </w:tcPr>
          <w:p>
            <w:r>
              <w:rPr>
                <w:rFonts w:hint="eastAsia"/>
              </w:rPr>
              <w:t>拟制定</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1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14</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429" w:type="dxa"/>
            <w:tcBorders>
              <w:top w:val="nil"/>
              <w:left w:val="nil"/>
              <w:bottom w:val="single" w:color="auto" w:sz="4" w:space="0"/>
              <w:right w:val="single" w:color="auto" w:sz="4" w:space="0"/>
            </w:tcBorders>
          </w:tcPr>
          <w:p>
            <w:r>
              <w:rPr>
                <w:rFonts w:hint="eastAsia"/>
              </w:rPr>
              <w:t>电子雷管  起爆控制器（煤矿许用型）</w:t>
            </w:r>
          </w:p>
        </w:tc>
        <w:tc>
          <w:tcPr>
            <w:tcW w:w="1305" w:type="dxa"/>
            <w:tcBorders>
              <w:top w:val="nil"/>
              <w:left w:val="nil"/>
              <w:bottom w:val="single" w:color="auto" w:sz="4" w:space="0"/>
              <w:right w:val="single" w:color="auto" w:sz="4" w:space="0"/>
            </w:tcBorders>
            <w:vAlign w:val="center"/>
          </w:tcPr>
          <w:p>
            <w:r>
              <w:rPr>
                <w:rFonts w:hint="eastAsia"/>
              </w:rPr>
              <w:t>拟制定</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107" w:type="dxa"/>
            <w:tcBorders>
              <w:top w:val="nil"/>
              <w:left w:val="nil"/>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15</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429" w:type="dxa"/>
            <w:tcBorders>
              <w:top w:val="nil"/>
              <w:left w:val="nil"/>
              <w:bottom w:val="single" w:color="auto" w:sz="4" w:space="0"/>
              <w:right w:val="single" w:color="auto" w:sz="4" w:space="0"/>
            </w:tcBorders>
          </w:tcPr>
          <w:p>
            <w:r>
              <w:rPr>
                <w:rFonts w:hint="eastAsia"/>
              </w:rPr>
              <w:t>电子雷管在特殊使用环境下的性能试验方法</w:t>
            </w:r>
          </w:p>
        </w:tc>
        <w:tc>
          <w:tcPr>
            <w:tcW w:w="1305" w:type="dxa"/>
            <w:tcBorders>
              <w:top w:val="nil"/>
              <w:left w:val="nil"/>
              <w:bottom w:val="single" w:color="auto" w:sz="4" w:space="0"/>
              <w:right w:val="single" w:color="auto" w:sz="4" w:space="0"/>
            </w:tcBorders>
            <w:vAlign w:val="center"/>
          </w:tcPr>
          <w:p>
            <w:r>
              <w:rPr>
                <w:rFonts w:hint="eastAsia"/>
              </w:rPr>
              <w:t>拟制定</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1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429" w:type="dxa"/>
            <w:tcBorders>
              <w:top w:val="single" w:color="auto" w:sz="4" w:space="0"/>
              <w:left w:val="single" w:color="auto" w:sz="4" w:space="0"/>
              <w:bottom w:val="single" w:color="auto" w:sz="4" w:space="0"/>
              <w:right w:val="single" w:color="auto" w:sz="4" w:space="0"/>
            </w:tcBorders>
          </w:tcPr>
          <w:p>
            <w:r>
              <w:rPr>
                <w:rFonts w:hint="eastAsia"/>
              </w:rPr>
              <w:t>智能制造 民爆行业应用 电子雷管生产通用技术要求</w:t>
            </w:r>
          </w:p>
        </w:tc>
        <w:tc>
          <w:tcPr>
            <w:tcW w:w="1305" w:type="dxa"/>
            <w:tcBorders>
              <w:top w:val="single" w:color="auto" w:sz="4" w:space="0"/>
              <w:left w:val="single" w:color="auto" w:sz="4" w:space="0"/>
              <w:bottom w:val="single" w:color="auto" w:sz="4" w:space="0"/>
              <w:right w:val="single" w:color="auto" w:sz="4" w:space="0"/>
            </w:tcBorders>
            <w:vAlign w:val="center"/>
          </w:tcPr>
          <w:p>
            <w:r>
              <w:rPr>
                <w:rFonts w:hint="eastAsia"/>
              </w:rPr>
              <w:t>拟制定</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107"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rPr>
              <w:t>1</w:t>
            </w:r>
            <w:r>
              <w:rPr>
                <w:rFonts w:ascii="Times New Roman" w:hAnsi="Times New Roman" w:cs="Times New Roman"/>
                <w:kern w:val="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2429" w:type="dxa"/>
            <w:tcBorders>
              <w:top w:val="single" w:color="auto" w:sz="4" w:space="0"/>
              <w:left w:val="single" w:color="auto" w:sz="4" w:space="0"/>
              <w:bottom w:val="single" w:color="auto" w:sz="4" w:space="0"/>
              <w:right w:val="single" w:color="auto" w:sz="4" w:space="0"/>
            </w:tcBorders>
          </w:tcPr>
          <w:p>
            <w:r>
              <w:rPr>
                <w:rFonts w:hint="eastAsia"/>
              </w:rPr>
              <w:t>智能制造 民爆行业应用 电子雷管生产控制系统技术要求</w:t>
            </w:r>
          </w:p>
        </w:tc>
        <w:tc>
          <w:tcPr>
            <w:tcW w:w="1305" w:type="dxa"/>
            <w:tcBorders>
              <w:top w:val="single" w:color="auto" w:sz="4" w:space="0"/>
              <w:left w:val="single" w:color="auto" w:sz="4" w:space="0"/>
              <w:bottom w:val="single" w:color="auto" w:sz="4" w:space="0"/>
              <w:right w:val="single" w:color="auto" w:sz="4" w:space="0"/>
            </w:tcBorders>
            <w:vAlign w:val="center"/>
          </w:tcPr>
          <w:p>
            <w:r>
              <w:rPr>
                <w:rFonts w:hint="eastAsia"/>
              </w:rPr>
              <w:t>拟制定</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1107"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r>
        <w:tblPrEx>
          <w:tblCellMar>
            <w:top w:w="0" w:type="dxa"/>
            <w:left w:w="108" w:type="dxa"/>
            <w:bottom w:w="0" w:type="dxa"/>
            <w:right w:w="108" w:type="dxa"/>
          </w:tblCellMar>
        </w:tblPrEx>
        <w:trPr>
          <w:cantSplit/>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2429" w:type="dxa"/>
            <w:tcBorders>
              <w:top w:val="single" w:color="auto" w:sz="4" w:space="0"/>
              <w:left w:val="single" w:color="auto" w:sz="4" w:space="0"/>
              <w:bottom w:val="single" w:color="auto" w:sz="4" w:space="0"/>
              <w:right w:val="single" w:color="auto" w:sz="4" w:space="0"/>
            </w:tcBorders>
          </w:tcPr>
          <w:p>
            <w:r>
              <w:rPr>
                <w:rFonts w:hint="eastAsia"/>
              </w:rPr>
              <w:t>智能制造 民爆行业应用 电子雷管数字化车间建设指南</w:t>
            </w:r>
          </w:p>
        </w:tc>
        <w:tc>
          <w:tcPr>
            <w:tcW w:w="1305" w:type="dxa"/>
            <w:tcBorders>
              <w:top w:val="single" w:color="auto" w:sz="4" w:space="0"/>
              <w:left w:val="single" w:color="auto" w:sz="4" w:space="0"/>
              <w:bottom w:val="single" w:color="auto" w:sz="4" w:space="0"/>
              <w:right w:val="single" w:color="auto" w:sz="4" w:space="0"/>
            </w:tcBorders>
            <w:vAlign w:val="center"/>
          </w:tcPr>
          <w:p>
            <w:r>
              <w:rPr>
                <w:rFonts w:hint="eastAsia"/>
              </w:rPr>
              <w:t>拟制定</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1107"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Cs w:val="21"/>
              </w:rPr>
            </w:pPr>
            <w:r>
              <w:rPr>
                <w:rFonts w:hint="eastAsia" w:ascii="Times New Roman" w:hAnsi="Times New Roman" w:cs="Times New Roman"/>
                <w:kern w:val="0"/>
                <w:szCs w:val="21"/>
              </w:rPr>
              <w:t>2022年及以后</w:t>
            </w:r>
          </w:p>
        </w:tc>
      </w:tr>
    </w:tbl>
    <w:p>
      <w:pPr>
        <w:ind w:firstLine="643" w:firstLineChars="200"/>
        <w:outlineLvl w:val="1"/>
        <w:rPr>
          <w:rFonts w:ascii="楷体" w:hAnsi="楷体" w:eastAsia="楷体"/>
          <w:b/>
          <w:sz w:val="32"/>
          <w:szCs w:val="32"/>
        </w:rPr>
      </w:pPr>
      <w:bookmarkStart w:id="78" w:name="_Toc28943"/>
      <w:r>
        <w:rPr>
          <w:rFonts w:hint="eastAsia" w:ascii="楷体" w:hAnsi="楷体" w:eastAsia="楷体"/>
          <w:b/>
          <w:sz w:val="32"/>
          <w:szCs w:val="32"/>
        </w:rPr>
        <w:t>（四）工业索类火工品</w:t>
      </w:r>
      <w:bookmarkEnd w:id="78"/>
    </w:p>
    <w:p>
      <w:pPr>
        <w:ind w:firstLine="630" w:firstLineChars="196"/>
        <w:outlineLvl w:val="2"/>
        <w:rPr>
          <w:rFonts w:ascii="仿宋_GB2312" w:eastAsia="仿宋_GB2312"/>
          <w:b/>
          <w:sz w:val="32"/>
          <w:szCs w:val="32"/>
        </w:rPr>
      </w:pPr>
      <w:bookmarkStart w:id="79" w:name="_Toc13254"/>
      <w:r>
        <w:rPr>
          <w:rFonts w:hint="eastAsia" w:ascii="仿宋_GB2312" w:eastAsia="仿宋_GB2312"/>
          <w:b/>
          <w:sz w:val="32"/>
          <w:szCs w:val="32"/>
        </w:rPr>
        <w:t>1.标准现状</w:t>
      </w:r>
      <w:bookmarkEnd w:id="79"/>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工业索类火工品现有标准</w:t>
      </w:r>
      <w:r>
        <w:rPr>
          <w:rFonts w:ascii="Times New Roman" w:hAnsi="Times New Roman" w:eastAsia="仿宋_GB2312"/>
          <w:sz w:val="32"/>
          <w:szCs w:val="32"/>
        </w:rPr>
        <w:t>4</w:t>
      </w:r>
      <w:r>
        <w:rPr>
          <w:rFonts w:hint="eastAsia" w:ascii="Times New Roman" w:hAnsi="Times New Roman" w:eastAsia="仿宋_GB2312"/>
          <w:sz w:val="32"/>
          <w:szCs w:val="32"/>
        </w:rPr>
        <w:t>项，产品标准</w:t>
      </w:r>
      <w:r>
        <w:rPr>
          <w:rFonts w:ascii="Times New Roman" w:hAnsi="Times New Roman" w:eastAsia="仿宋_GB2312"/>
          <w:sz w:val="32"/>
          <w:szCs w:val="32"/>
        </w:rPr>
        <w:t>2</w:t>
      </w:r>
      <w:r>
        <w:rPr>
          <w:rFonts w:hint="eastAsia" w:ascii="Times New Roman" w:hAnsi="Times New Roman" w:eastAsia="仿宋_GB2312"/>
          <w:sz w:val="32"/>
          <w:szCs w:val="32"/>
        </w:rPr>
        <w:t>项，试验方法标准1项，基础通用标准1项。</w:t>
      </w:r>
    </w:p>
    <w:p>
      <w:pPr>
        <w:ind w:firstLine="630" w:firstLineChars="196"/>
        <w:outlineLvl w:val="2"/>
        <w:rPr>
          <w:rFonts w:ascii="仿宋_GB2312" w:eastAsia="仿宋_GB2312"/>
          <w:b/>
          <w:sz w:val="32"/>
          <w:szCs w:val="32"/>
        </w:rPr>
      </w:pPr>
      <w:bookmarkStart w:id="80" w:name="_Toc24669"/>
      <w:r>
        <w:rPr>
          <w:rFonts w:hint="eastAsia" w:ascii="仿宋_GB2312" w:eastAsia="仿宋_GB2312"/>
          <w:b/>
          <w:sz w:val="32"/>
          <w:szCs w:val="32"/>
        </w:rPr>
        <w:t>2.“十四五”拟制修订标准</w:t>
      </w:r>
      <w:bookmarkEnd w:id="80"/>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“十四五”期间，拟将塑料导爆管标准与导爆管雷管标准合并，修订工业导爆索试验方法，废止工业导火索标准。拟制修订标准见表16。</w:t>
      </w:r>
    </w:p>
    <w:p>
      <w:pPr>
        <w:ind w:firstLine="600" w:firstLineChars="200"/>
        <w:jc w:val="center"/>
        <w:rPr>
          <w:rFonts w:ascii="Times New Roman" w:hAnsi="Times New Roman" w:eastAsia="仿宋_GB2312"/>
          <w:sz w:val="30"/>
          <w:szCs w:val="30"/>
        </w:rPr>
      </w:pPr>
      <w:r>
        <w:rPr>
          <w:rFonts w:hint="eastAsia" w:ascii="Times New Roman" w:hAnsi="Times New Roman" w:eastAsia="仿宋_GB2312"/>
          <w:sz w:val="30"/>
          <w:szCs w:val="30"/>
        </w:rPr>
        <w:t>表16  拟制修订工业索类火工品标准</w:t>
      </w:r>
    </w:p>
    <w:tbl>
      <w:tblPr>
        <w:tblStyle w:val="14"/>
        <w:tblW w:w="8522" w:type="dxa"/>
        <w:tblInd w:w="93" w:type="dxa"/>
        <w:tblLayout w:type="fixed"/>
        <w:tblCellMar>
          <w:top w:w="0" w:type="dxa"/>
          <w:left w:w="108" w:type="dxa"/>
          <w:bottom w:w="0" w:type="dxa"/>
          <w:right w:w="108" w:type="dxa"/>
        </w:tblCellMar>
      </w:tblPr>
      <w:tblGrid>
        <w:gridCol w:w="951"/>
        <w:gridCol w:w="2495"/>
        <w:gridCol w:w="2529"/>
        <w:gridCol w:w="1298"/>
        <w:gridCol w:w="1249"/>
      </w:tblGrid>
      <w:tr>
        <w:tblPrEx>
          <w:tblCellMar>
            <w:top w:w="0" w:type="dxa"/>
            <w:left w:w="108" w:type="dxa"/>
            <w:bottom w:w="0" w:type="dxa"/>
            <w:right w:w="108" w:type="dxa"/>
          </w:tblCellMar>
        </w:tblPrEx>
        <w:trPr>
          <w:trHeight w:val="300"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序号</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标准号</w:t>
            </w:r>
          </w:p>
        </w:tc>
        <w:tc>
          <w:tcPr>
            <w:tcW w:w="252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标准名称</w:t>
            </w:r>
          </w:p>
        </w:tc>
        <w:tc>
          <w:tcPr>
            <w:tcW w:w="12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标准状态</w:t>
            </w:r>
          </w:p>
        </w:tc>
        <w:tc>
          <w:tcPr>
            <w:tcW w:w="124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立项年度</w:t>
            </w:r>
          </w:p>
        </w:tc>
      </w:tr>
      <w:tr>
        <w:tblPrEx>
          <w:tblCellMar>
            <w:top w:w="0" w:type="dxa"/>
            <w:left w:w="108" w:type="dxa"/>
            <w:bottom w:w="0" w:type="dxa"/>
            <w:right w:w="108" w:type="dxa"/>
          </w:tblCellMar>
        </w:tblPrEx>
        <w:trPr>
          <w:trHeight w:val="300"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GB/T 13224-1991</w:t>
            </w:r>
          </w:p>
        </w:tc>
        <w:tc>
          <w:tcPr>
            <w:tcW w:w="25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工业导爆索试验方法</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拟修订</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Times New Roman" w:hAnsi="Times New Roman" w:cs="Times New Roman"/>
                <w:kern w:val="0"/>
                <w:sz w:val="22"/>
              </w:rPr>
              <w:t>2022年及以后</w:t>
            </w:r>
          </w:p>
        </w:tc>
      </w:tr>
      <w:tr>
        <w:tblPrEx>
          <w:tblCellMar>
            <w:top w:w="0" w:type="dxa"/>
            <w:left w:w="108" w:type="dxa"/>
            <w:bottom w:w="0" w:type="dxa"/>
            <w:right w:w="108" w:type="dxa"/>
          </w:tblCellMar>
        </w:tblPrEx>
        <w:trPr>
          <w:trHeight w:val="300"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2</w:t>
            </w:r>
          </w:p>
        </w:tc>
        <w:tc>
          <w:tcPr>
            <w:tcW w:w="2495"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　</w:t>
            </w:r>
          </w:p>
        </w:tc>
        <w:tc>
          <w:tcPr>
            <w:tcW w:w="252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废绝缘爆破线及导爆管的处理回收</w:t>
            </w:r>
          </w:p>
        </w:tc>
        <w:tc>
          <w:tcPr>
            <w:tcW w:w="12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hint="eastAsia" w:ascii="宋体" w:hAnsi="宋体" w:cs="Times New Roman"/>
                <w:kern w:val="0"/>
                <w:sz w:val="22"/>
              </w:rPr>
              <w:t>拟制定</w:t>
            </w:r>
          </w:p>
        </w:tc>
        <w:tc>
          <w:tcPr>
            <w:tcW w:w="124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hint="eastAsia" w:ascii="宋体" w:hAnsi="宋体" w:cs="Times New Roman"/>
                <w:kern w:val="0"/>
                <w:szCs w:val="21"/>
              </w:rPr>
              <w:t>年及以后</w:t>
            </w:r>
          </w:p>
        </w:tc>
      </w:tr>
    </w:tbl>
    <w:p>
      <w:pPr>
        <w:ind w:firstLine="643" w:firstLineChars="200"/>
        <w:outlineLvl w:val="1"/>
        <w:rPr>
          <w:rFonts w:ascii="楷体" w:hAnsi="楷体" w:eastAsia="楷体"/>
          <w:b/>
          <w:sz w:val="32"/>
          <w:szCs w:val="32"/>
        </w:rPr>
      </w:pPr>
      <w:bookmarkStart w:id="81" w:name="_Toc8340"/>
      <w:r>
        <w:rPr>
          <w:rFonts w:hint="eastAsia" w:ascii="楷体" w:hAnsi="楷体" w:eastAsia="楷体"/>
          <w:b/>
          <w:sz w:val="32"/>
          <w:szCs w:val="32"/>
        </w:rPr>
        <w:t>（五）油气井用爆炸物品</w:t>
      </w:r>
      <w:bookmarkEnd w:id="81"/>
    </w:p>
    <w:p>
      <w:pPr>
        <w:ind w:firstLine="630" w:firstLineChars="196"/>
        <w:outlineLvl w:val="2"/>
        <w:rPr>
          <w:rFonts w:ascii="仿宋_GB2312" w:eastAsia="仿宋_GB2312"/>
          <w:b/>
          <w:sz w:val="32"/>
          <w:szCs w:val="32"/>
        </w:rPr>
      </w:pPr>
      <w:bookmarkStart w:id="82" w:name="_Toc24934"/>
      <w:r>
        <w:rPr>
          <w:rFonts w:hint="eastAsia" w:ascii="仿宋_GB2312" w:eastAsia="仿宋_GB2312"/>
          <w:b/>
          <w:sz w:val="32"/>
          <w:szCs w:val="32"/>
        </w:rPr>
        <w:t>1.标准现状</w:t>
      </w:r>
      <w:bookmarkEnd w:id="82"/>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油气井用爆炸物品现有标准9项，其中，产品标准6项，试验方法标准1项，基础标准2项。</w:t>
      </w:r>
    </w:p>
    <w:p>
      <w:pPr>
        <w:ind w:firstLine="630" w:firstLineChars="196"/>
        <w:outlineLvl w:val="2"/>
        <w:rPr>
          <w:rFonts w:ascii="仿宋_GB2312" w:eastAsia="仿宋_GB2312"/>
          <w:b/>
          <w:sz w:val="32"/>
          <w:szCs w:val="32"/>
        </w:rPr>
      </w:pPr>
      <w:bookmarkStart w:id="83" w:name="_Toc24640"/>
      <w:r>
        <w:rPr>
          <w:rFonts w:hint="eastAsia" w:ascii="仿宋_GB2312" w:eastAsia="仿宋_GB2312"/>
          <w:b/>
          <w:sz w:val="32"/>
          <w:szCs w:val="32"/>
        </w:rPr>
        <w:t>2.“十四五”拟制修订标准</w:t>
      </w:r>
      <w:bookmarkEnd w:id="83"/>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“十四五”期间，拟整合修订基础标准为一项标准，整合修订产品标准为一项标准，修订试验方法标准。拟整合修订标准见表17。</w:t>
      </w:r>
    </w:p>
    <w:p>
      <w:pPr>
        <w:ind w:firstLine="600" w:firstLineChars="200"/>
        <w:jc w:val="center"/>
        <w:rPr>
          <w:rFonts w:ascii="Times New Roman" w:hAnsi="Times New Roman" w:eastAsia="仿宋_GB2312"/>
          <w:sz w:val="30"/>
          <w:szCs w:val="30"/>
        </w:rPr>
      </w:pPr>
      <w:r>
        <w:rPr>
          <w:rFonts w:hint="eastAsia" w:ascii="Times New Roman" w:hAnsi="Times New Roman" w:eastAsia="仿宋_GB2312"/>
          <w:sz w:val="30"/>
          <w:szCs w:val="30"/>
        </w:rPr>
        <w:t>表17  拟整合修订油气井用爆炸物品标准</w:t>
      </w:r>
    </w:p>
    <w:tbl>
      <w:tblPr>
        <w:tblStyle w:val="14"/>
        <w:tblW w:w="8522" w:type="dxa"/>
        <w:tblInd w:w="93" w:type="dxa"/>
        <w:tblLayout w:type="fixed"/>
        <w:tblCellMar>
          <w:top w:w="0" w:type="dxa"/>
          <w:left w:w="108" w:type="dxa"/>
          <w:bottom w:w="0" w:type="dxa"/>
          <w:right w:w="108" w:type="dxa"/>
        </w:tblCellMar>
      </w:tblPr>
      <w:tblGrid>
        <w:gridCol w:w="724"/>
        <w:gridCol w:w="1418"/>
        <w:gridCol w:w="2126"/>
        <w:gridCol w:w="1417"/>
        <w:gridCol w:w="1849"/>
        <w:gridCol w:w="988"/>
      </w:tblGrid>
      <w:tr>
        <w:trPr>
          <w:trHeight w:val="54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标准状态</w:t>
            </w:r>
          </w:p>
        </w:tc>
        <w:tc>
          <w:tcPr>
            <w:tcW w:w="184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整合修订后</w:t>
            </w:r>
          </w:p>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立项年度</w:t>
            </w:r>
          </w:p>
        </w:tc>
      </w:tr>
      <w:tr>
        <w:tblPrEx>
          <w:tblCellMar>
            <w:top w:w="0" w:type="dxa"/>
            <w:left w:w="108" w:type="dxa"/>
            <w:bottom w:w="0" w:type="dxa"/>
            <w:right w:w="108" w:type="dxa"/>
          </w:tblCellMar>
        </w:tblPrEx>
        <w:trPr>
          <w:trHeight w:val="54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9022-1995</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油、气井用爆破器材命名规则  聚能射孔弹</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restart"/>
            <w:tcBorders>
              <w:top w:val="single" w:color="auto" w:sz="4" w:space="0"/>
              <w:left w:val="nil"/>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油气井用民用爆炸物品命名规则</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2017</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41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9023-1995</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油、气井用爆破器材命名规则  聚能切割弹</w:t>
            </w: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continue"/>
            <w:tcBorders>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98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2017</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41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13889-2015</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油气井用电雷管</w:t>
            </w: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restart"/>
            <w:tcBorders>
              <w:top w:val="nil"/>
              <w:left w:val="nil"/>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油气井用爆炸物品通用安全技术要求</w:t>
            </w:r>
          </w:p>
        </w:tc>
        <w:tc>
          <w:tcPr>
            <w:tcW w:w="988"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41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GB/T 20489-2006</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油气井聚能射孔器材通用技术条件</w:t>
            </w: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988"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41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9035-2002</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油气井用导爆索</w:t>
            </w: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988"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41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9036-2002</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油气井用套管爆炸整形弹</w:t>
            </w: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988" w:type="dxa"/>
            <w:tcBorders>
              <w:top w:val="nil"/>
              <w:left w:val="nil"/>
              <w:bottom w:val="single" w:color="auto" w:sz="4" w:space="0"/>
              <w:right w:val="single" w:color="auto" w:sz="4" w:space="0"/>
            </w:tcBorders>
          </w:tcPr>
          <w:p>
            <w:r>
              <w:rPr>
                <w:rFonts w:hint="eastAsia"/>
              </w:rPr>
              <w:t>2022年及以后</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41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WJ/T 9037-2002</w:t>
            </w:r>
          </w:p>
        </w:tc>
        <w:tc>
          <w:tcPr>
            <w:tcW w:w="212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油气井用聚能切割弹</w:t>
            </w: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849" w:type="dxa"/>
            <w:vMerge w:val="continue"/>
            <w:tcBorders>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988" w:type="dxa"/>
            <w:tcBorders>
              <w:top w:val="nil"/>
              <w:left w:val="nil"/>
              <w:bottom w:val="single" w:color="auto" w:sz="4" w:space="0"/>
              <w:right w:val="single" w:color="auto" w:sz="4" w:space="0"/>
            </w:tcBorders>
          </w:tcPr>
          <w:p>
            <w:r>
              <w:rPr>
                <w:rFonts w:hint="eastAsia"/>
              </w:rPr>
              <w:t>2022年及以后</w:t>
            </w:r>
          </w:p>
        </w:tc>
      </w:tr>
    </w:tbl>
    <w:p>
      <w:pPr>
        <w:ind w:firstLine="643" w:firstLineChars="200"/>
        <w:outlineLvl w:val="1"/>
        <w:rPr>
          <w:rFonts w:ascii="楷体" w:hAnsi="楷体" w:eastAsia="楷体"/>
          <w:b/>
          <w:sz w:val="32"/>
          <w:szCs w:val="32"/>
        </w:rPr>
      </w:pPr>
      <w:bookmarkStart w:id="84" w:name="_Toc3765"/>
      <w:r>
        <w:rPr>
          <w:rFonts w:hint="eastAsia" w:ascii="楷体" w:hAnsi="楷体" w:eastAsia="楷体"/>
          <w:b/>
          <w:sz w:val="32"/>
          <w:szCs w:val="32"/>
        </w:rPr>
        <w:t>（六）其他民用爆炸物品</w:t>
      </w:r>
      <w:bookmarkEnd w:id="84"/>
    </w:p>
    <w:p>
      <w:pPr>
        <w:ind w:firstLine="630" w:firstLineChars="196"/>
        <w:outlineLvl w:val="2"/>
        <w:rPr>
          <w:rFonts w:ascii="仿宋_GB2312" w:eastAsia="仿宋_GB2312"/>
          <w:b/>
          <w:sz w:val="32"/>
          <w:szCs w:val="32"/>
        </w:rPr>
      </w:pPr>
      <w:bookmarkStart w:id="85" w:name="_Toc30076"/>
      <w:r>
        <w:rPr>
          <w:rFonts w:hint="eastAsia" w:ascii="仿宋_GB2312" w:eastAsia="仿宋_GB2312"/>
          <w:b/>
          <w:sz w:val="32"/>
          <w:szCs w:val="32"/>
        </w:rPr>
        <w:t>1.标准现状</w:t>
      </w:r>
      <w:bookmarkEnd w:id="85"/>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其他民用爆炸物品标准共</w:t>
      </w:r>
      <w:r>
        <w:rPr>
          <w:rFonts w:ascii="Times New Roman" w:hAnsi="Times New Roman" w:eastAsia="仿宋_GB2312"/>
          <w:sz w:val="32"/>
          <w:szCs w:val="32"/>
        </w:rPr>
        <w:t>3</w:t>
      </w:r>
      <w:r>
        <w:rPr>
          <w:rFonts w:hint="eastAsia" w:ascii="Times New Roman" w:hAnsi="Times New Roman" w:eastAsia="仿宋_GB2312"/>
          <w:sz w:val="32"/>
          <w:szCs w:val="32"/>
        </w:rPr>
        <w:t>项，均为安全生产与职业健康标准。</w:t>
      </w:r>
    </w:p>
    <w:p>
      <w:pPr>
        <w:ind w:firstLine="630" w:firstLineChars="196"/>
        <w:outlineLvl w:val="2"/>
        <w:rPr>
          <w:rFonts w:ascii="仿宋_GB2312" w:eastAsia="仿宋_GB2312"/>
          <w:b/>
          <w:sz w:val="32"/>
          <w:szCs w:val="32"/>
        </w:rPr>
      </w:pPr>
      <w:bookmarkStart w:id="86" w:name="_Toc20770"/>
      <w:r>
        <w:rPr>
          <w:rFonts w:hint="eastAsia" w:ascii="仿宋_GB2312" w:eastAsia="仿宋_GB2312"/>
          <w:b/>
          <w:sz w:val="32"/>
          <w:szCs w:val="32"/>
        </w:rPr>
        <w:t>2.“十四五”拟制修订标准</w:t>
      </w:r>
      <w:bookmarkEnd w:id="86"/>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“十四五”期间，拟将现有六项标准整合到GB 28263《民用爆炸物品生产、销售企业安全管理规程》中。拟整合修订标准见表</w:t>
      </w:r>
      <w:r>
        <w:rPr>
          <w:rFonts w:ascii="Times New Roman" w:hAnsi="Times New Roman" w:eastAsia="仿宋_GB2312"/>
          <w:sz w:val="32"/>
          <w:szCs w:val="32"/>
        </w:rPr>
        <w:t>18</w:t>
      </w:r>
      <w:r>
        <w:rPr>
          <w:rFonts w:hint="eastAsia" w:ascii="Times New Roman" w:hAnsi="Times New Roman" w:eastAsia="仿宋_GB2312"/>
          <w:sz w:val="32"/>
          <w:szCs w:val="32"/>
        </w:rPr>
        <w:t>。</w:t>
      </w:r>
    </w:p>
    <w:p>
      <w:pPr>
        <w:jc w:val="center"/>
        <w:rPr>
          <w:rFonts w:ascii="Times New Roman" w:hAnsi="Times New Roman" w:eastAsia="仿宋_GB2312"/>
          <w:sz w:val="30"/>
          <w:szCs w:val="30"/>
        </w:rPr>
      </w:pPr>
      <w:r>
        <w:rPr>
          <w:rFonts w:hint="eastAsia" w:ascii="Times New Roman" w:hAnsi="Times New Roman" w:eastAsia="仿宋_GB2312"/>
          <w:sz w:val="30"/>
          <w:szCs w:val="30"/>
        </w:rPr>
        <w:t>表</w:t>
      </w:r>
      <w:r>
        <w:rPr>
          <w:rFonts w:ascii="Times New Roman" w:hAnsi="Times New Roman" w:eastAsia="仿宋_GB2312"/>
          <w:sz w:val="30"/>
          <w:szCs w:val="30"/>
        </w:rPr>
        <w:t>18</w:t>
      </w:r>
      <w:r>
        <w:rPr>
          <w:rFonts w:hint="eastAsia" w:ascii="Times New Roman" w:hAnsi="Times New Roman" w:eastAsia="仿宋_GB2312"/>
          <w:sz w:val="30"/>
          <w:szCs w:val="30"/>
        </w:rPr>
        <w:t xml:space="preserve">  拟整合修订其他民用爆炸物品标准</w:t>
      </w:r>
    </w:p>
    <w:tbl>
      <w:tblPr>
        <w:tblStyle w:val="14"/>
        <w:tblW w:w="8522" w:type="dxa"/>
        <w:tblInd w:w="93" w:type="dxa"/>
        <w:tblLayout w:type="fixed"/>
        <w:tblCellMar>
          <w:top w:w="0" w:type="dxa"/>
          <w:left w:w="108" w:type="dxa"/>
          <w:bottom w:w="0" w:type="dxa"/>
          <w:right w:w="108" w:type="dxa"/>
        </w:tblCellMar>
      </w:tblPr>
      <w:tblGrid>
        <w:gridCol w:w="762"/>
        <w:gridCol w:w="1792"/>
        <w:gridCol w:w="2150"/>
        <w:gridCol w:w="1432"/>
        <w:gridCol w:w="1641"/>
        <w:gridCol w:w="745"/>
      </w:tblGrid>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标准号</w:t>
            </w:r>
          </w:p>
        </w:tc>
        <w:tc>
          <w:tcPr>
            <w:tcW w:w="21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标准名称</w:t>
            </w:r>
          </w:p>
        </w:tc>
        <w:tc>
          <w:tcPr>
            <w:tcW w:w="14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标准状态</w:t>
            </w:r>
          </w:p>
        </w:tc>
        <w:tc>
          <w:tcPr>
            <w:tcW w:w="16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整合修订后标准名称</w:t>
            </w:r>
          </w:p>
        </w:tc>
        <w:tc>
          <w:tcPr>
            <w:tcW w:w="74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立项年度</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GB 28261-2012</w:t>
            </w:r>
          </w:p>
        </w:tc>
        <w:tc>
          <w:tcPr>
            <w:tcW w:w="215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安全气囊气体发生器用点火具生产安全技术条件</w:t>
            </w:r>
          </w:p>
        </w:tc>
        <w:tc>
          <w:tcPr>
            <w:tcW w:w="143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641" w:type="dxa"/>
            <w:vMerge w:val="restart"/>
            <w:tcBorders>
              <w:top w:val="single" w:color="auto" w:sz="4" w:space="0"/>
              <w:left w:val="nil"/>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民用爆炸物品生产、销售企业安全管理规程</w:t>
            </w:r>
          </w:p>
        </w:tc>
        <w:tc>
          <w:tcPr>
            <w:tcW w:w="74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已立项</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9064-2010</w:t>
            </w:r>
          </w:p>
        </w:tc>
        <w:tc>
          <w:tcPr>
            <w:tcW w:w="215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增雨防雹火箭弹生产安全技术条件</w:t>
            </w:r>
          </w:p>
        </w:tc>
        <w:tc>
          <w:tcPr>
            <w:tcW w:w="143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641" w:type="dxa"/>
            <w:vMerge w:val="continue"/>
            <w:tcBorders>
              <w:left w:val="nil"/>
              <w:right w:val="single" w:color="auto" w:sz="4" w:space="0"/>
            </w:tcBorders>
            <w:vAlign w:val="center"/>
          </w:tcPr>
          <w:p>
            <w:pPr>
              <w:jc w:val="left"/>
              <w:rPr>
                <w:rFonts w:ascii="Times New Roman" w:hAnsi="Times New Roman" w:cs="Times New Roman"/>
                <w:kern w:val="0"/>
                <w:szCs w:val="21"/>
              </w:rPr>
            </w:pPr>
          </w:p>
        </w:tc>
        <w:tc>
          <w:tcPr>
            <w:tcW w:w="74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9067-2010</w:t>
            </w:r>
          </w:p>
        </w:tc>
        <w:tc>
          <w:tcPr>
            <w:tcW w:w="215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海上救生烟火信号产品生产安全技术条件</w:t>
            </w:r>
          </w:p>
        </w:tc>
        <w:tc>
          <w:tcPr>
            <w:tcW w:w="143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拟整合修订</w:t>
            </w:r>
          </w:p>
        </w:tc>
        <w:tc>
          <w:tcPr>
            <w:tcW w:w="1641"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74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已立项</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4</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9068-2010</w:t>
            </w:r>
          </w:p>
        </w:tc>
        <w:tc>
          <w:tcPr>
            <w:tcW w:w="215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民用爆破器材企业报废生产线销爆安全管理规程</w:t>
            </w:r>
          </w:p>
        </w:tc>
        <w:tc>
          <w:tcPr>
            <w:tcW w:w="1432" w:type="dxa"/>
            <w:tcBorders>
              <w:top w:val="single" w:color="auto" w:sz="4" w:space="0"/>
              <w:left w:val="nil"/>
              <w:bottom w:val="single" w:color="auto" w:sz="4" w:space="0"/>
              <w:right w:val="single" w:color="auto" w:sz="4" w:space="0"/>
            </w:tcBorders>
            <w:vAlign w:val="center"/>
          </w:tcPr>
          <w:p>
            <w:r>
              <w:rPr>
                <w:rFonts w:ascii="Times New Roman" w:hAnsi="Times New Roman" w:cs="Times New Roman"/>
                <w:kern w:val="0"/>
                <w:szCs w:val="21"/>
              </w:rPr>
              <w:t>拟整合修订</w:t>
            </w:r>
          </w:p>
        </w:tc>
        <w:tc>
          <w:tcPr>
            <w:tcW w:w="1641"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745" w:type="dxa"/>
            <w:tcBorders>
              <w:top w:val="single" w:color="auto" w:sz="4" w:space="0"/>
              <w:left w:val="nil"/>
              <w:bottom w:val="single" w:color="auto" w:sz="4" w:space="0"/>
              <w:right w:val="single" w:color="auto" w:sz="4" w:space="0"/>
            </w:tcBorders>
            <w:vAlign w:val="center"/>
          </w:tcPr>
          <w:p>
            <w:r>
              <w:rPr>
                <w:rFonts w:hint="eastAsia" w:ascii="Times New Roman" w:hAnsi="Times New Roman" w:cs="Times New Roman"/>
                <w:kern w:val="0"/>
                <w:szCs w:val="21"/>
              </w:rPr>
              <w:t>已立项</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9072-2012</w:t>
            </w:r>
          </w:p>
        </w:tc>
        <w:tc>
          <w:tcPr>
            <w:tcW w:w="215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现场混装炸药生产安全管理规程</w:t>
            </w:r>
          </w:p>
        </w:tc>
        <w:tc>
          <w:tcPr>
            <w:tcW w:w="1432" w:type="dxa"/>
            <w:tcBorders>
              <w:top w:val="single" w:color="auto" w:sz="4" w:space="0"/>
              <w:left w:val="nil"/>
              <w:bottom w:val="single" w:color="auto" w:sz="4" w:space="0"/>
              <w:right w:val="single" w:color="auto" w:sz="4" w:space="0"/>
            </w:tcBorders>
            <w:vAlign w:val="center"/>
          </w:tcPr>
          <w:p>
            <w:r>
              <w:rPr>
                <w:rFonts w:ascii="Times New Roman" w:hAnsi="Times New Roman" w:cs="Times New Roman"/>
                <w:kern w:val="0"/>
                <w:szCs w:val="21"/>
              </w:rPr>
              <w:t>拟整合修订</w:t>
            </w:r>
          </w:p>
        </w:tc>
        <w:tc>
          <w:tcPr>
            <w:tcW w:w="1641"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745" w:type="dxa"/>
            <w:tcBorders>
              <w:top w:val="single" w:color="auto" w:sz="4" w:space="0"/>
              <w:left w:val="nil"/>
              <w:bottom w:val="single" w:color="auto" w:sz="4" w:space="0"/>
              <w:right w:val="single" w:color="auto" w:sz="4" w:space="0"/>
            </w:tcBorders>
            <w:vAlign w:val="center"/>
          </w:tcPr>
          <w:p>
            <w:r>
              <w:rPr>
                <w:rFonts w:hint="eastAsia" w:ascii="Times New Roman" w:hAnsi="Times New Roman" w:cs="Times New Roman"/>
                <w:kern w:val="0"/>
                <w:szCs w:val="21"/>
              </w:rPr>
              <w:t>已立项</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6</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WJ 9082-2015</w:t>
            </w:r>
          </w:p>
        </w:tc>
        <w:tc>
          <w:tcPr>
            <w:tcW w:w="215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含火药含水工业炸药安全生产技术条件</w:t>
            </w:r>
          </w:p>
        </w:tc>
        <w:tc>
          <w:tcPr>
            <w:tcW w:w="1432" w:type="dxa"/>
            <w:tcBorders>
              <w:top w:val="single" w:color="auto" w:sz="4" w:space="0"/>
              <w:left w:val="nil"/>
              <w:bottom w:val="single" w:color="auto" w:sz="4" w:space="0"/>
              <w:right w:val="single" w:color="auto" w:sz="4" w:space="0"/>
            </w:tcBorders>
            <w:vAlign w:val="center"/>
          </w:tcPr>
          <w:p>
            <w:r>
              <w:rPr>
                <w:rFonts w:ascii="Times New Roman" w:hAnsi="Times New Roman" w:cs="Times New Roman"/>
                <w:kern w:val="0"/>
                <w:szCs w:val="21"/>
              </w:rPr>
              <w:t>拟整合修订</w:t>
            </w:r>
          </w:p>
        </w:tc>
        <w:tc>
          <w:tcPr>
            <w:tcW w:w="1641" w:type="dxa"/>
            <w:vMerge w:val="continue"/>
            <w:tcBorders>
              <w:left w:val="nil"/>
              <w:right w:val="single" w:color="auto" w:sz="4" w:space="0"/>
            </w:tcBorders>
            <w:vAlign w:val="center"/>
          </w:tcPr>
          <w:p>
            <w:pPr>
              <w:widowControl/>
              <w:jc w:val="left"/>
              <w:rPr>
                <w:rFonts w:ascii="Times New Roman" w:hAnsi="Times New Roman" w:cs="Times New Roman"/>
                <w:kern w:val="0"/>
                <w:szCs w:val="21"/>
              </w:rPr>
            </w:pPr>
          </w:p>
        </w:tc>
        <w:tc>
          <w:tcPr>
            <w:tcW w:w="745" w:type="dxa"/>
            <w:tcBorders>
              <w:top w:val="single" w:color="auto" w:sz="4" w:space="0"/>
              <w:left w:val="nil"/>
              <w:bottom w:val="single" w:color="auto" w:sz="4" w:space="0"/>
              <w:right w:val="single" w:color="auto" w:sz="4" w:space="0"/>
            </w:tcBorders>
            <w:vAlign w:val="center"/>
          </w:tcPr>
          <w:p>
            <w:r>
              <w:rPr>
                <w:rFonts w:hint="eastAsia" w:ascii="Times New Roman" w:hAnsi="Times New Roman" w:cs="Times New Roman"/>
                <w:kern w:val="0"/>
                <w:szCs w:val="21"/>
              </w:rPr>
              <w:t>已立项</w:t>
            </w:r>
          </w:p>
        </w:tc>
      </w:tr>
      <w:tr>
        <w:tblPrEx>
          <w:tblCellMar>
            <w:top w:w="0" w:type="dxa"/>
            <w:left w:w="108" w:type="dxa"/>
            <w:bottom w:w="0" w:type="dxa"/>
            <w:right w:w="108" w:type="dxa"/>
          </w:tblCellMar>
        </w:tblPrEx>
        <w:trPr>
          <w:cantSplit/>
          <w:trHeight w:val="540"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7</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22"/>
              </w:rPr>
            </w:pPr>
            <w:r>
              <w:rPr>
                <w:rFonts w:ascii="Times New Roman" w:hAnsi="Times New Roman" w:cs="Times New Roman"/>
                <w:sz w:val="22"/>
              </w:rPr>
              <w:t>WJ 9063-2010</w:t>
            </w:r>
          </w:p>
        </w:tc>
        <w:tc>
          <w:tcPr>
            <w:tcW w:w="215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2"/>
              </w:rPr>
            </w:pPr>
            <w:r>
              <w:rPr>
                <w:rFonts w:hint="eastAsia"/>
                <w:sz w:val="22"/>
              </w:rPr>
              <w:t>民用爆炸物品生产专用设备安全使用年限管理规定</w:t>
            </w:r>
          </w:p>
        </w:tc>
        <w:tc>
          <w:tcPr>
            <w:tcW w:w="1432"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Cs w:val="21"/>
              </w:rPr>
            </w:pPr>
            <w:r>
              <w:rPr>
                <w:rFonts w:hint="eastAsia" w:ascii="Times New Roman" w:hAnsi="Times New Roman" w:cs="Times New Roman"/>
                <w:kern w:val="0"/>
                <w:szCs w:val="21"/>
              </w:rPr>
              <w:t>修订</w:t>
            </w:r>
          </w:p>
        </w:tc>
        <w:tc>
          <w:tcPr>
            <w:tcW w:w="164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745"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szCs w:val="21"/>
              </w:rPr>
            </w:pPr>
            <w:r>
              <w:rPr>
                <w:rFonts w:hint="eastAsia" w:ascii="Times New Roman" w:hAnsi="Times New Roman" w:cs="Times New Roman"/>
                <w:kern w:val="0"/>
                <w:szCs w:val="21"/>
              </w:rPr>
              <w:t>已立项</w:t>
            </w:r>
          </w:p>
        </w:tc>
      </w:tr>
    </w:tbl>
    <w:p>
      <w:pPr>
        <w:ind w:firstLine="643" w:firstLineChars="200"/>
        <w:outlineLvl w:val="1"/>
        <w:rPr>
          <w:rFonts w:ascii="楷体" w:hAnsi="楷体" w:eastAsia="楷体"/>
          <w:b/>
          <w:sz w:val="32"/>
          <w:szCs w:val="32"/>
        </w:rPr>
      </w:pPr>
      <w:bookmarkStart w:id="87" w:name="_Toc6893"/>
      <w:r>
        <w:rPr>
          <w:rFonts w:hint="eastAsia" w:ascii="楷体" w:hAnsi="楷体" w:eastAsia="楷体"/>
          <w:b/>
          <w:sz w:val="32"/>
          <w:szCs w:val="32"/>
        </w:rPr>
        <w:t>（七）主要原材料、辅料</w:t>
      </w:r>
      <w:bookmarkEnd w:id="87"/>
    </w:p>
    <w:p>
      <w:pPr>
        <w:ind w:firstLine="630" w:firstLineChars="196"/>
        <w:outlineLvl w:val="2"/>
        <w:rPr>
          <w:rFonts w:ascii="仿宋_GB2312" w:eastAsia="仿宋_GB2312"/>
          <w:b/>
          <w:sz w:val="32"/>
          <w:szCs w:val="32"/>
        </w:rPr>
      </w:pPr>
      <w:bookmarkStart w:id="88" w:name="_Toc16707"/>
      <w:r>
        <w:rPr>
          <w:rFonts w:hint="eastAsia" w:ascii="仿宋_GB2312" w:eastAsia="仿宋_GB2312"/>
          <w:b/>
          <w:sz w:val="32"/>
          <w:szCs w:val="32"/>
        </w:rPr>
        <w:t>1.标准现状</w:t>
      </w:r>
      <w:bookmarkEnd w:id="88"/>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主要原材料、辅料现有标准6项，其中产品标准5项，试验方法标准1项。</w:t>
      </w:r>
    </w:p>
    <w:p>
      <w:pPr>
        <w:ind w:firstLine="630" w:firstLineChars="196"/>
        <w:outlineLvl w:val="2"/>
        <w:rPr>
          <w:rFonts w:ascii="仿宋_GB2312" w:eastAsia="仿宋_GB2312"/>
          <w:b/>
          <w:sz w:val="32"/>
          <w:szCs w:val="32"/>
        </w:rPr>
      </w:pPr>
      <w:bookmarkStart w:id="89" w:name="_Toc13645"/>
      <w:r>
        <w:rPr>
          <w:rFonts w:hint="eastAsia" w:ascii="仿宋_GB2312" w:eastAsia="仿宋_GB2312"/>
          <w:b/>
          <w:sz w:val="32"/>
          <w:szCs w:val="32"/>
        </w:rPr>
        <w:t>2.“十四五”拟制修订标准</w:t>
      </w:r>
      <w:bookmarkEnd w:id="89"/>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“十四五”期间拟制定工业炸药用原材料标准，见表</w:t>
      </w:r>
      <w:r>
        <w:rPr>
          <w:rFonts w:ascii="Times New Roman" w:hAnsi="Times New Roman" w:eastAsia="仿宋_GB2312"/>
          <w:sz w:val="32"/>
          <w:szCs w:val="32"/>
        </w:rPr>
        <w:t>19</w:t>
      </w:r>
      <w:r>
        <w:rPr>
          <w:rFonts w:hint="eastAsia" w:ascii="Times New Roman" w:hAnsi="Times New Roman" w:eastAsia="仿宋_GB2312"/>
          <w:sz w:val="32"/>
          <w:szCs w:val="32"/>
        </w:rPr>
        <w:t>。</w:t>
      </w:r>
    </w:p>
    <w:p>
      <w:pPr>
        <w:jc w:val="center"/>
        <w:rPr>
          <w:rFonts w:ascii="Times New Roman" w:hAnsi="Times New Roman" w:eastAsia="仿宋_GB2312"/>
          <w:sz w:val="30"/>
          <w:szCs w:val="30"/>
        </w:rPr>
      </w:pPr>
      <w:r>
        <w:rPr>
          <w:rFonts w:hint="eastAsia" w:ascii="Times New Roman" w:hAnsi="Times New Roman" w:eastAsia="仿宋_GB2312"/>
          <w:sz w:val="30"/>
          <w:szCs w:val="30"/>
        </w:rPr>
        <w:t>表</w:t>
      </w:r>
      <w:r>
        <w:rPr>
          <w:rFonts w:ascii="Times New Roman" w:hAnsi="Times New Roman" w:eastAsia="仿宋_GB2312"/>
          <w:sz w:val="30"/>
          <w:szCs w:val="30"/>
        </w:rPr>
        <w:t>19</w:t>
      </w:r>
      <w:r>
        <w:rPr>
          <w:rFonts w:hint="eastAsia" w:ascii="Times New Roman" w:hAnsi="Times New Roman" w:eastAsia="仿宋_GB2312"/>
          <w:sz w:val="30"/>
          <w:szCs w:val="30"/>
        </w:rPr>
        <w:t xml:space="preserve">  拟制定主要原材料、辅料标准</w:t>
      </w:r>
    </w:p>
    <w:tbl>
      <w:tblPr>
        <w:tblStyle w:val="14"/>
        <w:tblW w:w="8522" w:type="dxa"/>
        <w:tblInd w:w="93" w:type="dxa"/>
        <w:tblLayout w:type="fixed"/>
        <w:tblCellMar>
          <w:top w:w="0" w:type="dxa"/>
          <w:left w:w="108" w:type="dxa"/>
          <w:bottom w:w="0" w:type="dxa"/>
          <w:right w:w="108" w:type="dxa"/>
        </w:tblCellMar>
      </w:tblPr>
      <w:tblGrid>
        <w:gridCol w:w="866"/>
        <w:gridCol w:w="3118"/>
        <w:gridCol w:w="2268"/>
        <w:gridCol w:w="2270"/>
      </w:tblGrid>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序号</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szCs w:val="21"/>
              </w:rPr>
            </w:pPr>
            <w:r>
              <w:rPr>
                <w:rFonts w:hint="eastAsia" w:ascii="宋体" w:hAnsi="宋体" w:cs="Times New Roman"/>
                <w:kern w:val="0"/>
                <w:szCs w:val="21"/>
              </w:rPr>
              <w:t>标准名称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szCs w:val="21"/>
              </w:rPr>
            </w:pPr>
            <w:r>
              <w:rPr>
                <w:rFonts w:hint="eastAsia" w:ascii="宋体" w:hAnsi="宋体" w:cs="Times New Roman"/>
                <w:kern w:val="0"/>
                <w:szCs w:val="21"/>
              </w:rPr>
              <w:t>标准状态</w:t>
            </w:r>
          </w:p>
        </w:tc>
        <w:tc>
          <w:tcPr>
            <w:tcW w:w="22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立项年度</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Cs w:val="21"/>
              </w:rPr>
            </w:pPr>
            <w:r>
              <w:rPr>
                <w:rFonts w:hint="eastAsia" w:ascii="宋体" w:hAnsi="宋体" w:cs="Times New Roman"/>
                <w:kern w:val="0"/>
                <w:szCs w:val="21"/>
              </w:rPr>
              <w:t>工业炸药用复合油相</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宋体" w:hAnsi="宋体" w:cs="Times New Roman"/>
                <w:kern w:val="0"/>
                <w:szCs w:val="21"/>
              </w:rPr>
              <w:t>拟制定</w:t>
            </w:r>
          </w:p>
        </w:tc>
        <w:tc>
          <w:tcPr>
            <w:tcW w:w="22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bookmarkStart w:id="90" w:name="OLE_LINK31"/>
            <w:bookmarkStart w:id="91" w:name="OLE_LINK32"/>
            <w:r>
              <w:rPr>
                <w:rFonts w:ascii="Times New Roman" w:hAnsi="Times New Roman" w:cs="Times New Roman"/>
                <w:kern w:val="0"/>
                <w:szCs w:val="21"/>
              </w:rPr>
              <w:t>20</w:t>
            </w:r>
            <w:r>
              <w:rPr>
                <w:rFonts w:hint="eastAsia" w:ascii="Times New Roman" w:hAnsi="Times New Roman" w:cs="Times New Roman"/>
                <w:kern w:val="0"/>
                <w:szCs w:val="21"/>
              </w:rPr>
              <w:t>22</w:t>
            </w:r>
            <w:r>
              <w:rPr>
                <w:rFonts w:hint="eastAsia" w:ascii="宋体" w:hAnsi="宋体" w:cs="Times New Roman"/>
                <w:kern w:val="0"/>
                <w:szCs w:val="21"/>
              </w:rPr>
              <w:t>年及以后</w:t>
            </w:r>
            <w:bookmarkEnd w:id="90"/>
            <w:bookmarkEnd w:id="91"/>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szCs w:val="21"/>
              </w:rPr>
            </w:pPr>
            <w:bookmarkStart w:id="92" w:name="OLE_LINK33"/>
            <w:bookmarkStart w:id="93" w:name="OLE_LINK34"/>
            <w:r>
              <w:rPr>
                <w:rFonts w:hint="eastAsia" w:ascii="Times New Roman" w:hAnsi="Times New Roman" w:cs="Times New Roman"/>
                <w:kern w:val="0"/>
                <w:szCs w:val="21"/>
              </w:rPr>
              <w:t>现场混装炸药用乳胶基质</w:t>
            </w:r>
            <w:bookmarkEnd w:id="92"/>
            <w:bookmarkEnd w:id="93"/>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szCs w:val="21"/>
              </w:rPr>
            </w:pPr>
            <w:r>
              <w:rPr>
                <w:rFonts w:hint="eastAsia" w:ascii="宋体" w:hAnsi="宋体" w:cs="Times New Roman"/>
                <w:kern w:val="0"/>
                <w:szCs w:val="21"/>
              </w:rPr>
              <w:t>拟制定</w:t>
            </w:r>
          </w:p>
        </w:tc>
        <w:tc>
          <w:tcPr>
            <w:tcW w:w="22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r>
              <w:rPr>
                <w:rFonts w:hint="eastAsia" w:ascii="Times New Roman" w:hAnsi="Times New Roman" w:cs="Times New Roman"/>
                <w:kern w:val="0"/>
                <w:szCs w:val="21"/>
              </w:rPr>
              <w:t>22</w:t>
            </w:r>
            <w:r>
              <w:rPr>
                <w:rFonts w:hint="eastAsia" w:ascii="宋体" w:hAnsi="宋体" w:cs="Times New Roman"/>
                <w:kern w:val="0"/>
                <w:szCs w:val="21"/>
              </w:rPr>
              <w:t>年及以后</w:t>
            </w:r>
          </w:p>
        </w:tc>
      </w:tr>
    </w:tbl>
    <w:p>
      <w:pPr>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outlineLvl w:val="0"/>
        <w:rPr>
          <w:rFonts w:ascii="仿宋_GB2312" w:eastAsia="仿宋_GB2312"/>
          <w:b/>
          <w:sz w:val="28"/>
          <w:szCs w:val="28"/>
        </w:rPr>
      </w:pPr>
      <w:bookmarkStart w:id="94" w:name="_Toc471317095"/>
      <w:bookmarkStart w:id="95" w:name="_Toc3451"/>
      <w:r>
        <w:rPr>
          <w:rFonts w:hint="eastAsia" w:ascii="仿宋_GB2312" w:eastAsia="仿宋_GB2312"/>
          <w:b/>
          <w:sz w:val="28"/>
          <w:szCs w:val="28"/>
        </w:rPr>
        <w:t>附件</w:t>
      </w:r>
      <w:bookmarkEnd w:id="94"/>
      <w:bookmarkEnd w:id="95"/>
    </w:p>
    <w:p>
      <w:pPr>
        <w:jc w:val="center"/>
        <w:outlineLvl w:val="0"/>
        <w:rPr>
          <w:rFonts w:ascii="仿宋_GB2312" w:eastAsia="仿宋_GB2312"/>
          <w:b/>
          <w:sz w:val="28"/>
          <w:szCs w:val="28"/>
        </w:rPr>
      </w:pPr>
      <w:bookmarkStart w:id="96" w:name="_Toc471317096"/>
      <w:bookmarkStart w:id="97" w:name="_Toc475450463"/>
      <w:bookmarkStart w:id="98" w:name="_Toc478134529"/>
      <w:bookmarkStart w:id="99" w:name="_Toc27578"/>
      <w:r>
        <w:rPr>
          <w:rFonts w:hint="eastAsia" w:ascii="仿宋_GB2312" w:eastAsia="仿宋_GB2312"/>
          <w:b/>
          <w:sz w:val="28"/>
          <w:szCs w:val="28"/>
        </w:rPr>
        <w:t>民爆行业标准体系明细表</w:t>
      </w:r>
      <w:bookmarkEnd w:id="96"/>
      <w:bookmarkEnd w:id="97"/>
      <w:bookmarkEnd w:id="98"/>
      <w:bookmarkEnd w:id="99"/>
    </w:p>
    <w:tbl>
      <w:tblPr>
        <w:tblStyle w:val="14"/>
        <w:tblW w:w="0" w:type="auto"/>
        <w:tblInd w:w="0" w:type="dxa"/>
        <w:tblLayout w:type="fixed"/>
        <w:tblCellMar>
          <w:top w:w="0" w:type="dxa"/>
          <w:left w:w="0" w:type="dxa"/>
          <w:bottom w:w="0" w:type="dxa"/>
          <w:right w:w="0" w:type="dxa"/>
        </w:tblCellMar>
      </w:tblPr>
      <w:tblGrid>
        <w:gridCol w:w="484"/>
        <w:gridCol w:w="1227"/>
        <w:gridCol w:w="1119"/>
        <w:gridCol w:w="851"/>
        <w:gridCol w:w="1276"/>
        <w:gridCol w:w="1701"/>
        <w:gridCol w:w="2126"/>
        <w:gridCol w:w="850"/>
        <w:gridCol w:w="1134"/>
        <w:gridCol w:w="1293"/>
        <w:gridCol w:w="1072"/>
        <w:gridCol w:w="707"/>
      </w:tblGrid>
      <w:tr>
        <w:tblPrEx>
          <w:tblCellMar>
            <w:top w:w="0" w:type="dxa"/>
            <w:left w:w="0" w:type="dxa"/>
            <w:bottom w:w="0" w:type="dxa"/>
            <w:right w:w="0" w:type="dxa"/>
          </w:tblCellMar>
        </w:tblPrEx>
        <w:trPr>
          <w:trHeight w:val="810" w:hRule="atLeast"/>
          <w:tblHeader/>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体系编号</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领域</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一级分类</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二级分类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标准号/计划号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标准名称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标准级别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标准状态</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整合修订后标准名称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拟立项年度</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一般/重点/基础公益</w:t>
            </w:r>
          </w:p>
        </w:tc>
      </w:tr>
      <w:tr>
        <w:tblPrEx>
          <w:tblCellMar>
            <w:top w:w="0" w:type="dxa"/>
            <w:left w:w="0" w:type="dxa"/>
            <w:bottom w:w="0" w:type="dxa"/>
            <w:right w:w="0" w:type="dxa"/>
          </w:tblCellMar>
        </w:tblPrEx>
        <w:trPr>
          <w:trHeight w:val="60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14659-2015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民用爆破器材术语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2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WJ/T 9041-2004</w:t>
            </w:r>
          </w:p>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2019-0560T-MB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民用爆破器材分类与代码</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53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9090-2015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民用爆炸物品生产企业向用户提供产品信息规则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4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9091.1-2016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民用爆炸物品工艺技术文件管理  第1部分：总则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1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9091.2-2016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民用爆炸物品工艺技术文件管理  第2部分：编制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9091.3-2016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民用爆炸物品工艺技术文件管理  第3部分：图样格式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7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9091.4-2016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民用爆炸物品工艺技术文件管理  第4部分：规程格式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7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9091.5-2016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民用爆炸物品工艺技术文件管理  第5部分：编号和编册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4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MB010103007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其他基础通用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9091.6-2016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民用爆炸物品工艺技术文件管理  第6部分：更改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8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MB010203001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WJ 9073-2012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民用爆炸物品运输车安全技术条件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8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民爆行业智能工厂集成  胶状乳化炸药车间</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8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民爆行业智能工厂集成  工业电子雷管装配车间</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生产线安全联锁装置校验方法标准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55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民爆安全生产智能工厂 网络互联互通总体架构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民爆安全生产智能工厂 网络互联互通信息模型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民爆安全生产智能工厂 物体描述信息模型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7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民用爆炸物品智能工厂（车间）安全性通用要求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民用爆炸物品智能工厂（车间）数据采集、传输、互联互通通用要求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5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民用爆炸物品智能工厂（车间）设备可靠性通用要求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4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MB010203011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工业炸药及制品智能生产线评价标准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3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MB010203012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民用爆炸物品智能工厂（车间）效率评价技术要求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6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MB01020301</w:t>
            </w:r>
            <w:r>
              <w:rPr>
                <w:rFonts w:hint="eastAsia" w:ascii="宋体" w:hAnsi="宋体" w:cs="宋体"/>
                <w:color w:val="000000"/>
                <w:kern w:val="0"/>
                <w:sz w:val="18"/>
                <w:szCs w:val="18"/>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民用爆炸物品智能工厂（车间）物流实时追踪要求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3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MB01020301</w:t>
            </w:r>
            <w:r>
              <w:rPr>
                <w:rFonts w:hint="eastAsia" w:ascii="宋体" w:hAnsi="宋体" w:cs="宋体"/>
                <w:color w:val="000000"/>
                <w:kern w:val="0"/>
                <w:sz w:val="18"/>
                <w:szCs w:val="18"/>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highlight w:val="yellow"/>
              </w:rPr>
            </w:pPr>
          </w:p>
        </w:tc>
        <w:tc>
          <w:tcPr>
            <w:tcW w:w="2126" w:type="dxa"/>
            <w:tcMar>
              <w:top w:w="15" w:type="dxa"/>
              <w:left w:w="15" w:type="dxa"/>
              <w:right w:w="15" w:type="dxa"/>
            </w:tcMar>
          </w:tcPr>
          <w:p>
            <w:pPr>
              <w:widowControl/>
              <w:jc w:val="left"/>
              <w:textAlignment w:val="center"/>
              <w:rPr>
                <w:rFonts w:ascii="Times New Roman" w:hAnsi="Times New Roman" w:cs="Times New Roman"/>
                <w:color w:val="000000"/>
                <w:kern w:val="0"/>
                <w:sz w:val="18"/>
                <w:szCs w:val="18"/>
                <w:lang w:bidi="ar"/>
              </w:rPr>
            </w:pPr>
            <w:r>
              <w:rPr>
                <w:rFonts w:hint="eastAsia" w:ascii="Times New Roman" w:hAnsi="Times New Roman" w:cs="Times New Roman"/>
                <w:color w:val="000000"/>
                <w:kern w:val="0"/>
                <w:sz w:val="18"/>
                <w:szCs w:val="18"/>
                <w:lang w:bidi="ar"/>
              </w:rPr>
              <w:t>民用爆炸物品生产设备智能化评价指标体系</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highlight w:val="yellow"/>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6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工程设计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可移动临时爆炸品储存库</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5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20190063-Q-339</w:t>
            </w:r>
            <w:r>
              <w:rPr>
                <w:rFonts w:ascii="Times New Roman" w:hAnsi="Times New Roman" w:cs="Times New Roman"/>
                <w:color w:val="000000"/>
                <w:kern w:val="0"/>
                <w:sz w:val="18"/>
                <w:szCs w:val="18"/>
                <w:lang w:bidi="ar"/>
              </w:rPr>
              <w:br w:type="textWrapping"/>
            </w:r>
            <w:r>
              <w:rPr>
                <w:rFonts w:ascii="Times New Roman" w:hAnsi="Times New Roman" w:cs="Times New Roman"/>
                <w:color w:val="000000"/>
                <w:kern w:val="0"/>
                <w:sz w:val="18"/>
                <w:szCs w:val="18"/>
                <w:lang w:bidi="ar"/>
              </w:rPr>
              <w:t>GB 28263-2012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民用爆炸物品生产、销售企业安全管理规程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right="-15" w:rightChars="-7"/>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整合修订为《民用爆炸物品生产、销售企业安全管理规程》</w:t>
            </w:r>
          </w:p>
        </w:tc>
        <w:tc>
          <w:tcPr>
            <w:tcW w:w="10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9068-2010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民用爆破器材企业报废生产线销爆安全管理规程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9063-2010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民用爆炸物品生产专用设备安全使用年限管理规定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修订（在研）（行标转为国家强制性标准计划项目）</w:t>
            </w:r>
          </w:p>
        </w:tc>
        <w:tc>
          <w:tcPr>
            <w:tcW w:w="12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已立项</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2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2015-0663Q-MB</w:t>
            </w:r>
            <w:r>
              <w:rPr>
                <w:rFonts w:ascii="Times New Roman" w:hAnsi="Times New Roman" w:cs="Times New Roman"/>
                <w:color w:val="000000"/>
                <w:kern w:val="0"/>
                <w:sz w:val="18"/>
                <w:szCs w:val="18"/>
                <w:lang w:bidi="ar"/>
              </w:rPr>
              <w:br w:type="textWrapping"/>
            </w:r>
            <w:r>
              <w:rPr>
                <w:rFonts w:ascii="Times New Roman" w:hAnsi="Times New Roman" w:cs="Times New Roman"/>
                <w:color w:val="000000"/>
                <w:kern w:val="0"/>
                <w:sz w:val="18"/>
                <w:szCs w:val="18"/>
                <w:lang w:bidi="ar"/>
              </w:rPr>
              <w:t>20190064-Q-339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民用爆炸物品生产专用设备安全使用年限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1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9065-2010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民用爆炸物品危险作业场所监控系统设置要求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05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9075.1-2012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1</w:t>
            </w:r>
            <w:r>
              <w:rPr>
                <w:rStyle w:val="85"/>
                <w:rFonts w:hint="default"/>
                <w:sz w:val="18"/>
                <w:szCs w:val="18"/>
                <w:lang w:bidi="ar"/>
              </w:rPr>
              <w:t>部分：总则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143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9075.2-2012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2</w:t>
            </w:r>
            <w:r>
              <w:rPr>
                <w:rStyle w:val="85"/>
                <w:rFonts w:hint="default"/>
                <w:sz w:val="18"/>
                <w:szCs w:val="18"/>
                <w:lang w:bidi="ar"/>
              </w:rPr>
              <w:t>部分：生产企业综合安全管理及总体安全条件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128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9075.3-2012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3</w:t>
            </w:r>
            <w:r>
              <w:rPr>
                <w:rStyle w:val="85"/>
                <w:rFonts w:hint="default"/>
                <w:sz w:val="18"/>
                <w:szCs w:val="18"/>
                <w:lang w:bidi="ar"/>
              </w:rPr>
              <w:t>部分：工业炸药及其制品生产线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114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9075.4-2012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4</w:t>
            </w:r>
            <w:r>
              <w:rPr>
                <w:rStyle w:val="85"/>
                <w:rFonts w:hint="default"/>
                <w:sz w:val="18"/>
                <w:szCs w:val="18"/>
                <w:lang w:bidi="ar"/>
              </w:rPr>
              <w:t>部分：工业雷管生产线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128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9075.5-2012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5</w:t>
            </w:r>
            <w:r>
              <w:rPr>
                <w:rStyle w:val="85"/>
                <w:rFonts w:hint="default"/>
                <w:sz w:val="18"/>
                <w:szCs w:val="18"/>
                <w:lang w:bidi="ar"/>
              </w:rPr>
              <w:t>部分：工业索类火工品生产线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93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9075.6-2012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6</w:t>
            </w:r>
            <w:r>
              <w:rPr>
                <w:rStyle w:val="85"/>
                <w:rFonts w:hint="default"/>
                <w:sz w:val="18"/>
                <w:szCs w:val="18"/>
                <w:lang w:bidi="ar"/>
              </w:rPr>
              <w:t>部分：油气井用及其他爆破器材生产线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9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9075.7-2012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民用爆破器材企业安全检查方法</w:t>
            </w:r>
            <w:r>
              <w:rPr>
                <w:rFonts w:ascii="Times New Roman" w:hAnsi="Times New Roman" w:cs="Times New Roman"/>
                <w:color w:val="000000"/>
                <w:kern w:val="0"/>
                <w:sz w:val="18"/>
                <w:szCs w:val="18"/>
                <w:lang w:bidi="ar"/>
              </w:rPr>
              <w:t xml:space="preserve">  </w:t>
            </w:r>
            <w:r>
              <w:rPr>
                <w:rStyle w:val="85"/>
                <w:rFonts w:hint="default"/>
                <w:sz w:val="18"/>
                <w:szCs w:val="18"/>
                <w:lang w:bidi="ar"/>
              </w:rPr>
              <w:t>检查表法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7</w:t>
            </w:r>
            <w:r>
              <w:rPr>
                <w:rStyle w:val="85"/>
                <w:rFonts w:hint="default"/>
                <w:sz w:val="18"/>
                <w:szCs w:val="18"/>
                <w:lang w:bidi="ar"/>
              </w:rPr>
              <w:t>部分：销售企业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47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9048-2010</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民用爆破器材安全评价导则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3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9093-2018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民用爆炸物品重大危险源辨识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9092-2018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民用爆炸物品企业安全生产标准化实施细则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4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2015-0664T-MB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民用爆炸物品行业重大事故隐患判定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9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9095-2018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乳化炸药不合格品及废料处理安全技术条件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8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2019-0555T-MB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民爆行业应急管理与应急救援指南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64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民爆行业职业病危害分类分级目录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4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MB010302019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2019-0556T-MB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民爆专用生产设备通用安全技术条件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68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MB010302020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2019-0561T-MB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民用爆炸物品生产销售企业厂内运输车要求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49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MB010302021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r>
              <w:rPr>
                <w:rFonts w:hint="eastAsia"/>
              </w:rPr>
              <w:t>WJ/T 9096-2020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增雨防雹炮弹生产安全技术条件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pPr>
            <w:r>
              <w:rPr>
                <w:rFonts w:hint="eastAsia"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r>
              <w:rPr>
                <w:rFonts w:hint="eastAsia"/>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r>
              <w:rPr>
                <w:rFonts w:hint="eastAsia"/>
              </w:rPr>
              <w:t>2019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r>
              <w:rPr>
                <w:rFonts w:hint="eastAsia"/>
              </w:rPr>
              <w:t>一般</w:t>
            </w:r>
          </w:p>
        </w:tc>
      </w:tr>
      <w:tr>
        <w:tblPrEx>
          <w:tblCellMar>
            <w:top w:w="0" w:type="dxa"/>
            <w:left w:w="0" w:type="dxa"/>
            <w:bottom w:w="0" w:type="dxa"/>
            <w:right w:w="0" w:type="dxa"/>
          </w:tblCellMar>
        </w:tblPrEx>
        <w:trPr>
          <w:trHeight w:val="82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MB010303001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节能与综合利用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9080-2013</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民用爆炸物品单位产量可比综合能耗计算方法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7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MB010303002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节能与综合利用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民用爆炸物品行业节水型企业要求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67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MB010303003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节能与综合利用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民用爆炸物品行业水污染物排放标准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9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MB010303004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节能与综合利用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民用爆炸物品行业废水处理设计规范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2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MB020101001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17582-2011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工业炸药分类和命名规则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3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28286-2012</w:t>
            </w:r>
            <w:r>
              <w:rPr>
                <w:rFonts w:ascii="Times New Roman" w:hAnsi="Times New Roman" w:cs="Times New Roman"/>
                <w:color w:val="000000"/>
                <w:kern w:val="0"/>
                <w:sz w:val="18"/>
                <w:szCs w:val="18"/>
                <w:lang w:bidi="ar"/>
              </w:rPr>
              <w:br w:type="textWrapping"/>
            </w:r>
            <w:r>
              <w:rPr>
                <w:rFonts w:ascii="Times New Roman" w:hAnsi="Times New Roman" w:cs="Times New Roman"/>
                <w:color w:val="000000"/>
                <w:kern w:val="0"/>
                <w:sz w:val="18"/>
                <w:szCs w:val="18"/>
                <w:lang w:bidi="ar"/>
              </w:rPr>
              <w:t>20193437-Q-339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工业炸药通用技术条件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9083-2015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含火药含水工业炸药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14493-2003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工业炸药包装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工业炸药通用安全技术要求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43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32071-2015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胶质硝化甘油炸药</w:t>
            </w:r>
            <w:r>
              <w:rPr>
                <w:rFonts w:ascii="Times New Roman" w:hAnsi="Times New Roman" w:cs="Times New Roman"/>
                <w:color w:val="000000"/>
                <w:kern w:val="0"/>
                <w:sz w:val="18"/>
                <w:szCs w:val="18"/>
                <w:lang w:bidi="ar"/>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9066-2018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煤矿瓦斯抽采水胶药柱</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1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产品标准（工业炸药制品）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15563-2005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震源药柱</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工业炸药制品通用安全技术要求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69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MB020201010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产品标准（工业炸药制品）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9045-2004</w:t>
            </w:r>
            <w:r>
              <w:rPr>
                <w:rFonts w:ascii="Times New Roman" w:hAnsi="Times New Roman" w:cs="Times New Roman"/>
                <w:color w:val="000000"/>
                <w:kern w:val="0"/>
                <w:sz w:val="18"/>
                <w:szCs w:val="18"/>
                <w:lang w:bidi="ar"/>
              </w:rPr>
              <w:br w:type="textWrapping"/>
            </w:r>
            <w:r>
              <w:rPr>
                <w:rFonts w:ascii="Times New Roman" w:hAnsi="Times New Roman" w:cs="Times New Roman"/>
                <w:color w:val="000000"/>
                <w:kern w:val="0"/>
                <w:sz w:val="18"/>
                <w:szCs w:val="18"/>
                <w:lang w:bidi="ar"/>
              </w:rPr>
              <w:t>2014-0408Q-MB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起爆具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修订（在研），与GB 15563-2005整合为强制性国家标准计划</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工业炸药制品通用安全技术要求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12436-1990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炸药作功能力试验</w:t>
            </w:r>
            <w:r>
              <w:rPr>
                <w:rFonts w:ascii="Times New Roman" w:hAnsi="Times New Roman" w:cs="Times New Roman"/>
                <w:color w:val="000000"/>
                <w:kern w:val="0"/>
                <w:sz w:val="18"/>
                <w:szCs w:val="18"/>
                <w:lang w:bidi="ar"/>
              </w:rPr>
              <w:t xml:space="preserve"> </w:t>
            </w:r>
            <w:r>
              <w:rPr>
                <w:rStyle w:val="85"/>
                <w:rFonts w:hint="default"/>
                <w:sz w:val="18"/>
                <w:szCs w:val="18"/>
                <w:lang w:bidi="ar"/>
              </w:rPr>
              <w:t>铅铸法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炸药作功能力试验 铅铸法</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8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12440-1990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炸药猛度试验</w:t>
            </w:r>
            <w:r>
              <w:rPr>
                <w:rFonts w:ascii="Times New Roman" w:hAnsi="Times New Roman" w:cs="Times New Roman"/>
                <w:color w:val="000000"/>
                <w:kern w:val="0"/>
                <w:sz w:val="18"/>
                <w:szCs w:val="18"/>
                <w:lang w:bidi="ar"/>
              </w:rPr>
              <w:t xml:space="preserve"> </w:t>
            </w:r>
            <w:r>
              <w:rPr>
                <w:rStyle w:val="85"/>
                <w:rFonts w:hint="default"/>
                <w:sz w:val="18"/>
                <w:szCs w:val="18"/>
                <w:lang w:bidi="ar"/>
              </w:rPr>
              <w:t>铅柱压缩法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102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18097-2000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煤矿许用炸药可燃气安全度试验方法及判定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8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18098-2000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工业炸药爆炸后有毒气体含量的测定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54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13228-2015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工业炸药爆速测定方法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1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20061-2006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煤矿许用炸药抗爆燃性能测试方法及判定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66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9004-1992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工业炸药爆热测定法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9046-2004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工业炸药爆速测试仪校准规范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9030-2004</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炸药作功能力试验用铅壔</w:t>
            </w:r>
            <w:r>
              <w:rPr>
                <w:rFonts w:ascii="Times New Roman" w:hAnsi="Times New Roman" w:cs="Times New Roman"/>
                <w:color w:val="000000"/>
                <w:kern w:val="0"/>
                <w:sz w:val="18"/>
                <w:szCs w:val="18"/>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炸药作功能力试验 铅铸法</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91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9051</w:t>
            </w:r>
            <w:r>
              <w:rPr>
                <w:rStyle w:val="85"/>
                <w:rFonts w:hint="default"/>
                <w:sz w:val="18"/>
                <w:szCs w:val="18"/>
                <w:lang w:bidi="ar"/>
              </w:rPr>
              <w:t>－</w:t>
            </w:r>
            <w:r>
              <w:rPr>
                <w:rFonts w:ascii="Times New Roman" w:hAnsi="Times New Roman" w:cs="Times New Roman"/>
                <w:color w:val="000000"/>
                <w:kern w:val="0"/>
                <w:sz w:val="18"/>
                <w:szCs w:val="18"/>
                <w:lang w:bidi="ar"/>
              </w:rPr>
              <w:t>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煤矿许用炸药煤尘</w:t>
            </w:r>
            <w:r>
              <w:rPr>
                <w:rFonts w:ascii="Times New Roman" w:hAnsi="Times New Roman" w:cs="Times New Roman"/>
                <w:color w:val="000000"/>
                <w:kern w:val="0"/>
                <w:sz w:val="18"/>
                <w:szCs w:val="18"/>
                <w:lang w:bidi="ar"/>
              </w:rPr>
              <w:t>-</w:t>
            </w:r>
            <w:r>
              <w:rPr>
                <w:rStyle w:val="85"/>
                <w:rFonts w:hint="default"/>
                <w:sz w:val="18"/>
                <w:szCs w:val="18"/>
                <w:lang w:bidi="ar"/>
              </w:rPr>
              <w:t>可燃气安全度试验方法及判定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70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9052.1-2006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工业炸药感度试验方法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1</w:t>
            </w:r>
            <w:r>
              <w:rPr>
                <w:rStyle w:val="85"/>
                <w:rFonts w:hint="default"/>
                <w:sz w:val="18"/>
                <w:szCs w:val="18"/>
                <w:lang w:bidi="ar"/>
              </w:rPr>
              <w:t>部分：摩擦感度</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4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9052.2-2006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工业炸药感度试验方法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2</w:t>
            </w:r>
            <w:r>
              <w:rPr>
                <w:rStyle w:val="85"/>
                <w:rFonts w:hint="default"/>
                <w:sz w:val="18"/>
                <w:szCs w:val="18"/>
                <w:lang w:bidi="ar"/>
              </w:rPr>
              <w:t>部分：撞击感度</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2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9052.3-2006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工业炸药感度试验方法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3</w:t>
            </w:r>
            <w:r>
              <w:rPr>
                <w:rStyle w:val="85"/>
                <w:rFonts w:hint="default"/>
                <w:sz w:val="18"/>
                <w:szCs w:val="18"/>
                <w:lang w:bidi="ar"/>
              </w:rPr>
              <w:t>部分：含水炸药热感度</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5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9054-2006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工业炸药热安定性试验方法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差示扫描量热法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9055-2006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工业炸药殉爆距离试验方法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2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9056.1-2006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工业炸药密度测定方法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1</w:t>
            </w:r>
            <w:r>
              <w:rPr>
                <w:rStyle w:val="85"/>
                <w:rFonts w:hint="default"/>
                <w:sz w:val="18"/>
                <w:szCs w:val="18"/>
                <w:lang w:bidi="ar"/>
              </w:rPr>
              <w:t>部分：药卷密度测定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1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9056.2-2006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工业炸药密度测定方法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2</w:t>
            </w:r>
            <w:r>
              <w:rPr>
                <w:rStyle w:val="85"/>
                <w:rFonts w:hint="default"/>
                <w:sz w:val="18"/>
                <w:szCs w:val="18"/>
                <w:lang w:bidi="ar"/>
              </w:rPr>
              <w:t>部分：炸药密度测定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9061-2008</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作功能力试验</w:t>
            </w:r>
            <w:r>
              <w:rPr>
                <w:rFonts w:ascii="Times New Roman" w:hAnsi="Times New Roman" w:cs="Times New Roman"/>
                <w:color w:val="000000"/>
                <w:kern w:val="0"/>
                <w:sz w:val="18"/>
                <w:szCs w:val="18"/>
                <w:lang w:bidi="ar"/>
              </w:rPr>
              <w:t xml:space="preserve">  </w:t>
            </w:r>
            <w:r>
              <w:rPr>
                <w:rStyle w:val="85"/>
                <w:rFonts w:hint="default"/>
                <w:sz w:val="18"/>
                <w:szCs w:val="18"/>
                <w:lang w:bidi="ar"/>
              </w:rPr>
              <w:t>弹道抛掷法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MB020202019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9071-2012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无雷管感度工业炸药最小起爆药量测定方法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7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MB020202020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9088-2015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工业炸药热力学性能的计算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2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MB020202021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20151662-T-339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工业炸药水下爆炸能量测试方法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6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MB020202022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无雷管感度现场混装炸药试验方法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67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MB020203001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9069-2012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工业炸药药卷自动包装机技术条件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4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MB020203002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现场混装炸药车通用技术要求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1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MB020203003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工业炸药及制品智能生产线评价标准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4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MB020203004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试验方法（工业炸药）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2018-1352T-MB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煤矿许用炸药煤尘</w:t>
            </w:r>
            <w:r>
              <w:rPr>
                <w:rFonts w:ascii="Times New Roman" w:hAnsi="Times New Roman" w:cs="Times New Roman"/>
                <w:color w:val="000000"/>
                <w:kern w:val="0"/>
                <w:sz w:val="18"/>
                <w:szCs w:val="18"/>
                <w:lang w:bidi="ar"/>
              </w:rPr>
              <w:t>-</w:t>
            </w:r>
            <w:r>
              <w:rPr>
                <w:rStyle w:val="85"/>
                <w:rFonts w:hint="default"/>
                <w:sz w:val="18"/>
                <w:szCs w:val="18"/>
                <w:lang w:bidi="ar"/>
              </w:rPr>
              <w:t>可燃气安全度试验方法及判定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MB020203005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工业炸药智能化生产通用技术要求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6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MB020203006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工业炸药制品智能化生产通用技术要求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MB020302001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9072-2012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现场混装炸药生产安全管理规程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89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MB020302002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9082-2015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含火药含水工业炸药安全生产技术条件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MB020302003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9094-2018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工业炸药生产企业硝酸铵溶液贮罐（区）安全管理规程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MB020304001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工业炸药及炸药制品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节能与综合利用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2017-1422T-MB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工业炸药清洁生产评价指标体系</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MB030101001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9031-2018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工业雷管分类与命名规则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6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8031-2015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工业电雷管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（整合修订为《工业雷管通用技术条件》）</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1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19417-2003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导爆管雷管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（整合修订为《工业雷管通用技术条件》）</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5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9085-2015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工业数码电子雷管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（整合修订为《工业雷管通用技术条件》）</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96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20150431-Q-339</w:t>
            </w:r>
            <w:r>
              <w:rPr>
                <w:rFonts w:ascii="Times New Roman" w:hAnsi="Times New Roman" w:cs="Times New Roman"/>
                <w:color w:val="000000"/>
                <w:kern w:val="0"/>
                <w:sz w:val="18"/>
                <w:szCs w:val="18"/>
                <w:lang w:bidi="ar"/>
              </w:rPr>
              <w:br w:type="textWrapping"/>
            </w:r>
            <w:r>
              <w:rPr>
                <w:rFonts w:hint="eastAsia" w:ascii="宋体" w:hAnsi="宋体" w:cs="宋体"/>
                <w:color w:val="000000"/>
                <w:kern w:val="0"/>
                <w:sz w:val="18"/>
                <w:szCs w:val="18"/>
                <w:lang w:bidi="ar"/>
              </w:rPr>
              <w:t>原</w:t>
            </w:r>
            <w:r>
              <w:rPr>
                <w:rFonts w:ascii="Times New Roman" w:hAnsi="Times New Roman" w:cs="Times New Roman"/>
                <w:color w:val="000000"/>
                <w:kern w:val="0"/>
                <w:sz w:val="18"/>
                <w:szCs w:val="18"/>
                <w:lang w:bidi="ar"/>
              </w:rPr>
              <w:t>WJ/T 2019-2004</w:t>
            </w:r>
            <w:r>
              <w:rPr>
                <w:rFonts w:hint="eastAsia" w:ascii="宋体" w:hAnsi="宋体" w:cs="宋体"/>
                <w:color w:val="000000"/>
                <w:kern w:val="0"/>
                <w:sz w:val="18"/>
                <w:szCs w:val="18"/>
                <w:lang w:bidi="ar"/>
              </w:rPr>
              <w:t>《塑料导爆管》</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塑料导爆管及导爆管雷管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（整合修订为《工业雷管通用技术条件》）</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39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9040-2004</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GTG</w:t>
            </w:r>
            <w:r>
              <w:rPr>
                <w:rStyle w:val="85"/>
                <w:rFonts w:hint="default"/>
                <w:sz w:val="18"/>
                <w:szCs w:val="18"/>
                <w:lang w:bidi="ar"/>
              </w:rPr>
              <w:t>起爆药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9047-2004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工业电雷管电参数测试仪校准规范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18096-2000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煤矿许用电雷管可燃气安全度试验方法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6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13225-1991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工业雷管延期时间测定方法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52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13226-1991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工业雷管铅板试验方法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45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13227-1991</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工业雷管浸水试验方法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6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27601-2011</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工业电雷管抗杂散电流试验方法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27602-2011</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工业电雷管射频感度测定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9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27603-2011</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工业电雷管射频阻抗测定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7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28262-2012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火工品及药剂专用测试仪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9038.1-2004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工业火工药剂试验方法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1</w:t>
            </w:r>
            <w:r>
              <w:rPr>
                <w:rStyle w:val="85"/>
                <w:rFonts w:hint="default"/>
                <w:sz w:val="18"/>
                <w:szCs w:val="18"/>
                <w:lang w:bidi="ar"/>
              </w:rPr>
              <w:t>部分：撞击感度试验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9038.2-2004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工业火工药剂试验方法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2</w:t>
            </w:r>
            <w:r>
              <w:rPr>
                <w:rStyle w:val="85"/>
                <w:rFonts w:hint="default"/>
                <w:sz w:val="18"/>
                <w:szCs w:val="18"/>
                <w:lang w:bidi="ar"/>
              </w:rPr>
              <w:t>部分：摩擦感度试验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3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9038.3-2004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工业火工药剂试验方法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3</w:t>
            </w:r>
            <w:r>
              <w:rPr>
                <w:rStyle w:val="85"/>
                <w:rFonts w:hint="default"/>
                <w:sz w:val="18"/>
                <w:szCs w:val="18"/>
                <w:lang w:bidi="ar"/>
              </w:rPr>
              <w:t>部分：静电火花感度试验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4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9038.4-2004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工业火工药剂试验方法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4</w:t>
            </w:r>
            <w:r>
              <w:rPr>
                <w:rStyle w:val="85"/>
                <w:rFonts w:hint="default"/>
                <w:sz w:val="18"/>
                <w:szCs w:val="18"/>
                <w:lang w:bidi="ar"/>
              </w:rPr>
              <w:t>部分：爆发点试验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5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9039-2004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工业电雷管发火冲能测试方法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4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9042-2004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工业电雷管静电感度试验方法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6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9043.1-2004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工业电雷管温度和压力试验方法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1</w:t>
            </w:r>
            <w:r>
              <w:rPr>
                <w:rStyle w:val="85"/>
                <w:rFonts w:hint="default"/>
                <w:sz w:val="18"/>
                <w:szCs w:val="18"/>
                <w:lang w:bidi="ar"/>
              </w:rPr>
              <w:t>部分：耐温试验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6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9043.2-2004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工业电雷管温度和压力试验方法</w:t>
            </w:r>
            <w:r>
              <w:rPr>
                <w:rFonts w:ascii="Times New Roman" w:hAnsi="Times New Roman" w:cs="Times New Roman"/>
                <w:color w:val="000000"/>
                <w:kern w:val="0"/>
                <w:sz w:val="18"/>
                <w:szCs w:val="18"/>
                <w:lang w:bidi="ar"/>
              </w:rPr>
              <w:t xml:space="preserve">  </w:t>
            </w:r>
            <w:r>
              <w:rPr>
                <w:rStyle w:val="85"/>
                <w:rFonts w:hint="default"/>
                <w:sz w:val="18"/>
                <w:szCs w:val="18"/>
                <w:lang w:bidi="ar"/>
              </w:rPr>
              <w:t>第</w:t>
            </w:r>
            <w:r>
              <w:rPr>
                <w:rFonts w:ascii="Times New Roman" w:hAnsi="Times New Roman" w:cs="Times New Roman"/>
                <w:color w:val="000000"/>
                <w:kern w:val="0"/>
                <w:sz w:val="18"/>
                <w:szCs w:val="18"/>
                <w:lang w:bidi="ar"/>
              </w:rPr>
              <w:t>2</w:t>
            </w:r>
            <w:r>
              <w:rPr>
                <w:rStyle w:val="85"/>
                <w:rFonts w:hint="default"/>
                <w:sz w:val="18"/>
                <w:szCs w:val="18"/>
                <w:lang w:bidi="ar"/>
              </w:rPr>
              <w:t>部分：耐温耐压试验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3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9044-2004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工业电雷管最小发火电流试验方法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MB030202019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9074-2012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工业雷管撞击感度试验方法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9084-2015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导爆管的不导电性能测定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9086-2015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工业雷管抗拉性能试验方法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9087-2015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雷管脚线电容、绝缘电阻和绝缘击穿性能测定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6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9089-2015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工业雷管作功能力测定</w:t>
            </w:r>
            <w:r>
              <w:rPr>
                <w:rFonts w:ascii="Times New Roman" w:hAnsi="Times New Roman" w:cs="Times New Roman"/>
                <w:color w:val="000000"/>
                <w:kern w:val="0"/>
                <w:sz w:val="18"/>
                <w:szCs w:val="18"/>
                <w:lang w:bidi="ar"/>
              </w:rPr>
              <w:t xml:space="preserve">  </w:t>
            </w:r>
            <w:r>
              <w:rPr>
                <w:rStyle w:val="85"/>
                <w:rFonts w:hint="default"/>
                <w:sz w:val="18"/>
                <w:szCs w:val="18"/>
                <w:lang w:bidi="ar"/>
              </w:rPr>
              <w:t>水下爆炸法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4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导线和导爆管耐磨性、耐切割损坏性测试方法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50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导线耐低温断裂性测试方法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43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2019-0557T-MB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工业雷管冲击电压测试方法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35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MB030202029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2019-0559T-MB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雷管抗弯性测试方法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56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MB030202030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2019-0558T-MB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工业雷管抗跌落性能试验方法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14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MB030202031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工业雷管智能化生产通用技术要求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5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MB030202032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工艺装备、智能制造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数码电子雷管数字化车间  雷管工作码管理要求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129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电子雷管  电子控制模块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电子雷管  电子引火元件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3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Style w:val="85"/>
                <w:rFonts w:hint="default"/>
                <w:sz w:val="18"/>
                <w:szCs w:val="18"/>
                <w:lang w:bidi="ar"/>
              </w:rPr>
              <w:t>拟修订</w:t>
            </w:r>
            <w:r>
              <w:rPr>
                <w:rFonts w:ascii="Times New Roman" w:hAnsi="Times New Roman" w:cs="Times New Roman"/>
                <w:color w:val="000000"/>
                <w:kern w:val="0"/>
                <w:sz w:val="18"/>
                <w:szCs w:val="18"/>
                <w:lang w:bidi="ar"/>
              </w:rPr>
              <w:t>WJ/T 9085-2015</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电子雷管  起爆控制器（普通型）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7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MB030201011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电子雷管  起爆控制器（煤矿许用型）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5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MB030201012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电子雷管在特殊使用环境下的性能试验方法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5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MB030201013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智能制造 民爆行业应用 电子雷管生产通用技术要求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1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MB030201014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智能制造 民爆行业应用 电子雷管生产控制系统技术要求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88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MB030201015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产品标准（工业雷管）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智能制造 民爆行业应用 电子雷管数字化车间建设指南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5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MB030303001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节能与综合利用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2017-1421T-MB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工业雷管清洁生产评价指标体系</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70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139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MB030302001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9070-2012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工业电雷管运输车使用卫星定位导航终端的安全要求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0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MB030302003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2010-2588Q-WJ</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基础雷管远程运输中包装和装运安全技术要求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制定（在研）（转为国家强制性标准计划项目）</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0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MB040101001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工业索类火工品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9006-2006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工业索类火工品分类与命名规则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MB040201001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工业索类火工品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产品标准（工业索类火工品）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2019-2004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塑料导爆管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工业雷管及火工品通用安全技术要求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已立项</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3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MB040201002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工业索类火工品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产品标准（工业索类火工品）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9786-2015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工业导爆索</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5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MB040203001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工业索类火工品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试验方法（索类火工品）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13224-1991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工业导爆索试验方法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拟修订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52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MB040302001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工业索类火工品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废绝缘爆破线及导爆管的处理回收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2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MB050101001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9022-1995</w:t>
            </w:r>
            <w:r>
              <w:rPr>
                <w:rFonts w:ascii="Times New Roman" w:hAnsi="Times New Roman" w:cs="Times New Roman"/>
                <w:color w:val="000000"/>
                <w:kern w:val="0"/>
                <w:sz w:val="18"/>
                <w:szCs w:val="18"/>
                <w:lang w:bidi="ar"/>
              </w:rPr>
              <w:br w:type="textWrapping"/>
            </w:r>
            <w:r>
              <w:rPr>
                <w:rFonts w:ascii="Times New Roman" w:hAnsi="Times New Roman" w:cs="Times New Roman"/>
                <w:color w:val="000000"/>
                <w:kern w:val="0"/>
                <w:sz w:val="18"/>
                <w:szCs w:val="18"/>
                <w:lang w:bidi="ar"/>
              </w:rPr>
              <w:t>2018-1353T-MB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油、气井用爆破器材命名规则</w:t>
            </w:r>
            <w:r>
              <w:rPr>
                <w:rFonts w:ascii="Times New Roman" w:hAnsi="Times New Roman" w:cs="Times New Roman"/>
                <w:color w:val="000000"/>
                <w:kern w:val="0"/>
                <w:sz w:val="18"/>
                <w:szCs w:val="18"/>
                <w:lang w:bidi="ar"/>
              </w:rPr>
              <w:t xml:space="preserve">  </w:t>
            </w:r>
            <w:r>
              <w:rPr>
                <w:rStyle w:val="85"/>
                <w:rFonts w:hint="default"/>
                <w:sz w:val="18"/>
                <w:szCs w:val="18"/>
                <w:lang w:bidi="ar"/>
              </w:rPr>
              <w:t>聚能射孔弹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油气井用民用爆炸物品命名规则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39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MB050101002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9023-1995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油、气井用爆破器材命名规则</w:t>
            </w:r>
            <w:r>
              <w:rPr>
                <w:rFonts w:ascii="Times New Roman" w:hAnsi="Times New Roman" w:cs="Times New Roman"/>
                <w:color w:val="000000"/>
                <w:kern w:val="0"/>
                <w:sz w:val="18"/>
                <w:szCs w:val="18"/>
                <w:lang w:bidi="ar"/>
              </w:rPr>
              <w:t xml:space="preserve">  </w:t>
            </w:r>
            <w:r>
              <w:rPr>
                <w:rStyle w:val="85"/>
                <w:rFonts w:hint="default"/>
                <w:sz w:val="18"/>
                <w:szCs w:val="18"/>
                <w:lang w:bidi="ar"/>
              </w:rPr>
              <w:t>聚能切割弹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油气井用民用爆炸物品命名规则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30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13889-2015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油气井用电雷管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3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149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20489-2006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油气井聚能射孔器材通用技术条件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20141810-T-339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油气井聚能射孔器材通用技术条件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修订（在研）（拟整合修订）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9035-2002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油气井用导爆索</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9036-2002</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油气井用套管爆炸整形弹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9037-2002</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油气井用聚能切割弹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20488-2006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油气井聚能射孔器材性能试验方法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已立项</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20154100-T-339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油气井聚能射孔器材性能试验方法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5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MB050101001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9022-1995</w:t>
            </w:r>
            <w:r>
              <w:rPr>
                <w:rFonts w:ascii="Times New Roman" w:hAnsi="Times New Roman" w:cs="Times New Roman"/>
                <w:color w:val="000000"/>
                <w:kern w:val="0"/>
                <w:sz w:val="18"/>
                <w:szCs w:val="18"/>
                <w:lang w:bidi="ar"/>
              </w:rPr>
              <w:br w:type="textWrapping"/>
            </w:r>
            <w:r>
              <w:rPr>
                <w:rFonts w:ascii="Times New Roman" w:hAnsi="Times New Roman" w:cs="Times New Roman"/>
                <w:color w:val="000000"/>
                <w:kern w:val="0"/>
                <w:sz w:val="18"/>
                <w:szCs w:val="18"/>
                <w:lang w:bidi="ar"/>
              </w:rPr>
              <w:t>2018-1353T-MB</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油、气井用爆破器材命名规则</w:t>
            </w:r>
            <w:r>
              <w:rPr>
                <w:rFonts w:ascii="Times New Roman" w:hAnsi="Times New Roman" w:cs="Times New Roman"/>
                <w:color w:val="000000"/>
                <w:kern w:val="0"/>
                <w:sz w:val="18"/>
                <w:szCs w:val="18"/>
                <w:lang w:bidi="ar"/>
              </w:rPr>
              <w:t xml:space="preserve">  </w:t>
            </w:r>
            <w:r>
              <w:rPr>
                <w:rStyle w:val="85"/>
                <w:rFonts w:hint="default"/>
                <w:sz w:val="18"/>
                <w:szCs w:val="18"/>
                <w:lang w:bidi="ar"/>
              </w:rPr>
              <w:t>聚能射孔弹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油气井用民用爆炸物品命名规则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82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MB050101002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基础通用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术语、命名、分类、代码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9023-1995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油、气井用爆破器材命名规则</w:t>
            </w:r>
            <w:r>
              <w:rPr>
                <w:rFonts w:ascii="Times New Roman" w:hAnsi="Times New Roman" w:cs="Times New Roman"/>
                <w:color w:val="000000"/>
                <w:kern w:val="0"/>
                <w:sz w:val="18"/>
                <w:szCs w:val="18"/>
                <w:lang w:bidi="ar"/>
              </w:rPr>
              <w:t xml:space="preserve">  </w:t>
            </w:r>
            <w:r>
              <w:rPr>
                <w:rStyle w:val="85"/>
                <w:rFonts w:hint="default"/>
                <w:sz w:val="18"/>
                <w:szCs w:val="18"/>
                <w:lang w:bidi="ar"/>
              </w:rPr>
              <w:t>聚能切割弹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油气井用民用爆炸物品命名规则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基础公益</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13889-2015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油气井用电雷管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159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20489-2006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油气井聚能射孔器材通用技术条件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20141810-T-339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油气井聚能射孔器材通用技术条件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修订（在研）（拟整合修订）</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5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9035-2002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油气井用导爆索</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9036-2002</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油气井用套管爆炸整形弹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10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9037-2002</w:t>
            </w:r>
            <w:r>
              <w:rPr>
                <w:rStyle w:val="85"/>
                <w:rFonts w:hint="default"/>
                <w:sz w:val="18"/>
                <w:szCs w:val="18"/>
                <w:lang w:bidi="ar"/>
              </w:rPr>
              <w:t>（</w:t>
            </w:r>
            <w:r>
              <w:rPr>
                <w:rFonts w:ascii="Times New Roman" w:hAnsi="Times New Roman" w:cs="Times New Roman"/>
                <w:color w:val="000000"/>
                <w:kern w:val="0"/>
                <w:sz w:val="18"/>
                <w:szCs w:val="18"/>
                <w:lang w:bidi="ar"/>
              </w:rPr>
              <w:t>2021</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油气井用聚能切割弹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油气井用爆炸物品通用安全技术要求</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4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20488-2006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油气井聚能射孔器材性能试验方法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已立项</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MB050202001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油气井用爆炸物品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试验方法（油气井用爆炸物品）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20154100-T-339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油气井聚能射孔器材性能试验方法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2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MB060302001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其他民用爆炸物品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 28261-2012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安全气囊气体发生器用点火具生产安全技术条件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72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MB060302002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其他民用爆炸物品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9064-2010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增雨防雹火箭弹生产安全技术条件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6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MB060302003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其他民用爆炸物品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安全生产与职业健康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 9067-2010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海上救生烟火信号产品生产安全技术条件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修订（在研）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2017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重点</w:t>
            </w:r>
          </w:p>
        </w:tc>
      </w:tr>
      <w:tr>
        <w:tblPrEx>
          <w:tblCellMar>
            <w:top w:w="0" w:type="dxa"/>
            <w:left w:w="0" w:type="dxa"/>
            <w:bottom w:w="0" w:type="dxa"/>
            <w:right w:w="0" w:type="dxa"/>
          </w:tblCellMar>
        </w:tblPrEx>
        <w:trPr>
          <w:trHeight w:val="6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 12435-2015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工业黑索今</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GB/T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9009-1992</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六硝基茋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1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9016-1994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聚黑</w:t>
            </w:r>
            <w:r>
              <w:rPr>
                <w:rFonts w:ascii="Times New Roman" w:hAnsi="Times New Roman" w:cs="Times New Roman"/>
                <w:color w:val="000000"/>
                <w:kern w:val="0"/>
                <w:sz w:val="18"/>
                <w:szCs w:val="18"/>
                <w:lang w:bidi="ar"/>
              </w:rPr>
              <w:t>-16</w:t>
            </w:r>
            <w:r>
              <w:rPr>
                <w:rStyle w:val="85"/>
                <w:rFonts w:hint="default"/>
                <w:sz w:val="18"/>
                <w:szCs w:val="18"/>
                <w:lang w:bidi="ar"/>
              </w:rPr>
              <w:t>炸药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MB070201004</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9029-2004</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工业梯恩梯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9010-2015</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工业雷管包装用瓦楞纸箱</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0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MB070201006</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2009-1843T-WJ</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乳化炸药用高分子乳化剂标准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制定（在研）</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2009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53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MB070201007</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工业炸药用复合油相</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44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MB070201008</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产品标准（原材料、辅料）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现场混装炸药用乳胶基质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Style w:val="85"/>
                <w:rFonts w:hint="default"/>
                <w:sz w:val="18"/>
                <w:szCs w:val="18"/>
                <w:lang w:bidi="ar"/>
              </w:rPr>
              <w:t>拟制定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2022年及以后</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w:t>
            </w:r>
          </w:p>
        </w:tc>
      </w:tr>
      <w:tr>
        <w:tblPrEx>
          <w:tblCellMar>
            <w:top w:w="0" w:type="dxa"/>
            <w:left w:w="0" w:type="dxa"/>
            <w:bottom w:w="0" w:type="dxa"/>
            <w:right w:w="0" w:type="dxa"/>
          </w:tblCellMar>
        </w:tblPrEx>
        <w:trPr>
          <w:trHeight w:val="65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177</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MB070202001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主要原材料、辅料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关键技术</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试验方法（原材料、辅料）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 9050-2006</w:t>
            </w:r>
            <w:r>
              <w:rPr>
                <w:rStyle w:val="85"/>
                <w:rFonts w:hint="default"/>
                <w:sz w:val="18"/>
                <w:szCs w:val="18"/>
                <w:lang w:bidi="ar"/>
              </w:rPr>
              <w:t>（</w:t>
            </w:r>
            <w:r>
              <w:rPr>
                <w:rFonts w:ascii="Times New Roman" w:hAnsi="Times New Roman" w:cs="Times New Roman"/>
                <w:color w:val="000000"/>
                <w:kern w:val="0"/>
                <w:sz w:val="18"/>
                <w:szCs w:val="18"/>
                <w:lang w:bidi="ar"/>
              </w:rPr>
              <w:t>2016</w:t>
            </w:r>
            <w:r>
              <w:rPr>
                <w:rStyle w:val="85"/>
                <w:rFonts w:hint="default"/>
                <w:sz w:val="18"/>
                <w:szCs w:val="18"/>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农用硝酸铵抗爆性能试验方法及判定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WJ/T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现行有效（强制性改为推荐性）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s="Times New Roman"/>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bl>
    <w:p>
      <w:pPr>
        <w:jc w:val="center"/>
        <w:outlineLvl w:val="0"/>
        <w:rPr>
          <w:rFonts w:ascii="仿宋_GB2312" w:eastAsia="仿宋_GB2312"/>
          <w:b/>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瀹嬩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1905"/>
              <wp:wrapNone/>
              <wp:docPr id="1" name="文本框 2"/>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wps:spPr>
                    <wps:txbx>
                      <w:txbxContent>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t>23</w:t>
                          </w:r>
                          <w:r>
                            <w:rPr>
                              <w:rFonts w:ascii="Times New Roman" w:hAnsi="Times New Roman" w:cs="Times New Roman"/>
                              <w:lang w:val="zh-CN"/>
                            </w:rPr>
                            <w:fldChar w:fldCharType="end"/>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DVMADAQCAAD4AwAADgAAAAAAAAABACAAAAAgAQAAZHJzL2Uy&#10;b0RvYy54bWxQSwUGAAAAAAYABgBZAQAAlgUAAAAA&#10;">
              <v:fill on="f" focussize="0,0"/>
              <v:stroke on="f"/>
              <v:imagedata o:title=""/>
              <o:lock v:ext="edit" aspectratio="f"/>
              <v:textbox inset="0mm,0mm,0mm,0mm" style="mso-fit-shape-to-text:t;">
                <w:txbxContent>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t>23</w:t>
                    </w:r>
                    <w:r>
                      <w:rPr>
                        <w:rFonts w:ascii="Times New Roman" w:hAnsi="Times New Roman" w:cs="Times New Roman"/>
                        <w:lang w:val="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33740"/>
    <w:multiLevelType w:val="singleLevel"/>
    <w:tmpl w:val="0D233740"/>
    <w:lvl w:ilvl="0" w:tentative="0">
      <w:start w:val="2"/>
      <w:numFmt w:val="chineseCounting"/>
      <w:suff w:val="nothing"/>
      <w:lvlText w:val="（%1）"/>
      <w:lvlJc w:val="left"/>
      <w:rPr>
        <w:rFonts w:hint="eastAsia"/>
      </w:rPr>
    </w:lvl>
  </w:abstractNum>
  <w:abstractNum w:abstractNumId="1">
    <w:nsid w:val="1106477A"/>
    <w:multiLevelType w:val="multilevel"/>
    <w:tmpl w:val="1106477A"/>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15C2813"/>
    <w:multiLevelType w:val="multilevel"/>
    <w:tmpl w:val="415C2813"/>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7B5539F7"/>
    <w:multiLevelType w:val="multilevel"/>
    <w:tmpl w:val="7B5539F7"/>
    <w:lvl w:ilvl="0" w:tentative="0">
      <w:start w:val="3"/>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3MzNhNDlmYmZjMzg1MTRlODE4YTg2M2RkNjJmMTUifQ=="/>
  </w:docVars>
  <w:rsids>
    <w:rsidRoot w:val="006E4C94"/>
    <w:rsid w:val="0000044B"/>
    <w:rsid w:val="0000046F"/>
    <w:rsid w:val="00000E1E"/>
    <w:rsid w:val="000016C6"/>
    <w:rsid w:val="00004D90"/>
    <w:rsid w:val="00004DE1"/>
    <w:rsid w:val="00005C18"/>
    <w:rsid w:val="000072A9"/>
    <w:rsid w:val="00007414"/>
    <w:rsid w:val="000101D3"/>
    <w:rsid w:val="00011268"/>
    <w:rsid w:val="000113D0"/>
    <w:rsid w:val="000121F5"/>
    <w:rsid w:val="00012271"/>
    <w:rsid w:val="000128FA"/>
    <w:rsid w:val="0001291B"/>
    <w:rsid w:val="00013176"/>
    <w:rsid w:val="000133CB"/>
    <w:rsid w:val="00014388"/>
    <w:rsid w:val="000150D7"/>
    <w:rsid w:val="00015591"/>
    <w:rsid w:val="000161D7"/>
    <w:rsid w:val="00016D25"/>
    <w:rsid w:val="000178C5"/>
    <w:rsid w:val="00020E48"/>
    <w:rsid w:val="0002103D"/>
    <w:rsid w:val="0002253A"/>
    <w:rsid w:val="00024228"/>
    <w:rsid w:val="0002488E"/>
    <w:rsid w:val="00024925"/>
    <w:rsid w:val="00024E38"/>
    <w:rsid w:val="00026C12"/>
    <w:rsid w:val="00027384"/>
    <w:rsid w:val="00027CF9"/>
    <w:rsid w:val="00030EF5"/>
    <w:rsid w:val="00031955"/>
    <w:rsid w:val="00031F88"/>
    <w:rsid w:val="0003299B"/>
    <w:rsid w:val="00032AF7"/>
    <w:rsid w:val="00033484"/>
    <w:rsid w:val="00035D74"/>
    <w:rsid w:val="00037382"/>
    <w:rsid w:val="000377A4"/>
    <w:rsid w:val="000406D9"/>
    <w:rsid w:val="00041434"/>
    <w:rsid w:val="00041E78"/>
    <w:rsid w:val="00042BAF"/>
    <w:rsid w:val="00044204"/>
    <w:rsid w:val="00044C98"/>
    <w:rsid w:val="00045464"/>
    <w:rsid w:val="0004772E"/>
    <w:rsid w:val="0005056C"/>
    <w:rsid w:val="000512BA"/>
    <w:rsid w:val="000527C2"/>
    <w:rsid w:val="00052EFC"/>
    <w:rsid w:val="000533D2"/>
    <w:rsid w:val="00053F25"/>
    <w:rsid w:val="00055148"/>
    <w:rsid w:val="00055F2B"/>
    <w:rsid w:val="000560B7"/>
    <w:rsid w:val="00056CBD"/>
    <w:rsid w:val="0005765B"/>
    <w:rsid w:val="00057666"/>
    <w:rsid w:val="00057BAB"/>
    <w:rsid w:val="0006082F"/>
    <w:rsid w:val="0006189D"/>
    <w:rsid w:val="000625BE"/>
    <w:rsid w:val="00062CC5"/>
    <w:rsid w:val="00063264"/>
    <w:rsid w:val="00066908"/>
    <w:rsid w:val="00070668"/>
    <w:rsid w:val="000707DC"/>
    <w:rsid w:val="00070F38"/>
    <w:rsid w:val="00071580"/>
    <w:rsid w:val="00071E25"/>
    <w:rsid w:val="00072125"/>
    <w:rsid w:val="00072200"/>
    <w:rsid w:val="000723E6"/>
    <w:rsid w:val="00072F7B"/>
    <w:rsid w:val="000738EE"/>
    <w:rsid w:val="000746A5"/>
    <w:rsid w:val="00074EE5"/>
    <w:rsid w:val="000763FB"/>
    <w:rsid w:val="00077AE6"/>
    <w:rsid w:val="00077EB3"/>
    <w:rsid w:val="00080F68"/>
    <w:rsid w:val="00081ED1"/>
    <w:rsid w:val="000848BA"/>
    <w:rsid w:val="00084E59"/>
    <w:rsid w:val="000851EF"/>
    <w:rsid w:val="00085ECB"/>
    <w:rsid w:val="00087215"/>
    <w:rsid w:val="0008752A"/>
    <w:rsid w:val="000906F9"/>
    <w:rsid w:val="00090775"/>
    <w:rsid w:val="00090EBD"/>
    <w:rsid w:val="00091B53"/>
    <w:rsid w:val="0009223D"/>
    <w:rsid w:val="000928C0"/>
    <w:rsid w:val="00092A98"/>
    <w:rsid w:val="0009386D"/>
    <w:rsid w:val="00093E05"/>
    <w:rsid w:val="000946B4"/>
    <w:rsid w:val="00094F6F"/>
    <w:rsid w:val="00095659"/>
    <w:rsid w:val="0009568C"/>
    <w:rsid w:val="00095EC4"/>
    <w:rsid w:val="000961D9"/>
    <w:rsid w:val="000A07F7"/>
    <w:rsid w:val="000A28C3"/>
    <w:rsid w:val="000A2AA3"/>
    <w:rsid w:val="000A35DF"/>
    <w:rsid w:val="000A5CF2"/>
    <w:rsid w:val="000A5FC3"/>
    <w:rsid w:val="000A61BD"/>
    <w:rsid w:val="000B0057"/>
    <w:rsid w:val="000B029B"/>
    <w:rsid w:val="000B1FEA"/>
    <w:rsid w:val="000B2B0E"/>
    <w:rsid w:val="000B30C8"/>
    <w:rsid w:val="000B36A1"/>
    <w:rsid w:val="000B668C"/>
    <w:rsid w:val="000B709A"/>
    <w:rsid w:val="000C3445"/>
    <w:rsid w:val="000C448B"/>
    <w:rsid w:val="000C44FF"/>
    <w:rsid w:val="000C6D49"/>
    <w:rsid w:val="000C7422"/>
    <w:rsid w:val="000C74D3"/>
    <w:rsid w:val="000D03BF"/>
    <w:rsid w:val="000D05C2"/>
    <w:rsid w:val="000D0812"/>
    <w:rsid w:val="000D1248"/>
    <w:rsid w:val="000D23E8"/>
    <w:rsid w:val="000D2911"/>
    <w:rsid w:val="000D2E1B"/>
    <w:rsid w:val="000D3C3D"/>
    <w:rsid w:val="000D4A8C"/>
    <w:rsid w:val="000D551E"/>
    <w:rsid w:val="000D55C0"/>
    <w:rsid w:val="000D6A08"/>
    <w:rsid w:val="000D75FB"/>
    <w:rsid w:val="000D769A"/>
    <w:rsid w:val="000D7E6B"/>
    <w:rsid w:val="000E27C1"/>
    <w:rsid w:val="000E2ADE"/>
    <w:rsid w:val="000E2CDC"/>
    <w:rsid w:val="000E4583"/>
    <w:rsid w:val="000E4D16"/>
    <w:rsid w:val="000E646D"/>
    <w:rsid w:val="000F0088"/>
    <w:rsid w:val="000F03C6"/>
    <w:rsid w:val="000F0B2D"/>
    <w:rsid w:val="000F2862"/>
    <w:rsid w:val="000F295F"/>
    <w:rsid w:val="000F3464"/>
    <w:rsid w:val="000F39F2"/>
    <w:rsid w:val="000F3BCA"/>
    <w:rsid w:val="000F4BD6"/>
    <w:rsid w:val="000F50A7"/>
    <w:rsid w:val="000F5BD7"/>
    <w:rsid w:val="000F5F78"/>
    <w:rsid w:val="000F726C"/>
    <w:rsid w:val="0010070E"/>
    <w:rsid w:val="00100739"/>
    <w:rsid w:val="001016D4"/>
    <w:rsid w:val="001018E0"/>
    <w:rsid w:val="001019C3"/>
    <w:rsid w:val="0010265A"/>
    <w:rsid w:val="00102AE8"/>
    <w:rsid w:val="0010433D"/>
    <w:rsid w:val="00104869"/>
    <w:rsid w:val="00105A41"/>
    <w:rsid w:val="0010778F"/>
    <w:rsid w:val="00110363"/>
    <w:rsid w:val="0011110C"/>
    <w:rsid w:val="00111412"/>
    <w:rsid w:val="00111E98"/>
    <w:rsid w:val="00112D66"/>
    <w:rsid w:val="00114296"/>
    <w:rsid w:val="0011454E"/>
    <w:rsid w:val="0011456B"/>
    <w:rsid w:val="00114831"/>
    <w:rsid w:val="00114B73"/>
    <w:rsid w:val="00114DD5"/>
    <w:rsid w:val="00114FDE"/>
    <w:rsid w:val="001154A1"/>
    <w:rsid w:val="001154EE"/>
    <w:rsid w:val="001155F5"/>
    <w:rsid w:val="0011595C"/>
    <w:rsid w:val="00115980"/>
    <w:rsid w:val="00115AAF"/>
    <w:rsid w:val="0011767F"/>
    <w:rsid w:val="00117E8A"/>
    <w:rsid w:val="00120DB8"/>
    <w:rsid w:val="00121357"/>
    <w:rsid w:val="00121820"/>
    <w:rsid w:val="00121FE6"/>
    <w:rsid w:val="001223DF"/>
    <w:rsid w:val="00122A0C"/>
    <w:rsid w:val="001245F5"/>
    <w:rsid w:val="001251A4"/>
    <w:rsid w:val="00125DFF"/>
    <w:rsid w:val="00127FF4"/>
    <w:rsid w:val="00130854"/>
    <w:rsid w:val="00130CDA"/>
    <w:rsid w:val="001313CC"/>
    <w:rsid w:val="00131EC2"/>
    <w:rsid w:val="001320A3"/>
    <w:rsid w:val="00133908"/>
    <w:rsid w:val="00133F8D"/>
    <w:rsid w:val="0013440A"/>
    <w:rsid w:val="00134F79"/>
    <w:rsid w:val="00135647"/>
    <w:rsid w:val="001359B9"/>
    <w:rsid w:val="00136984"/>
    <w:rsid w:val="001376E9"/>
    <w:rsid w:val="00137C7B"/>
    <w:rsid w:val="0014046C"/>
    <w:rsid w:val="001435D3"/>
    <w:rsid w:val="0014475A"/>
    <w:rsid w:val="001451A9"/>
    <w:rsid w:val="001454B1"/>
    <w:rsid w:val="00145AED"/>
    <w:rsid w:val="00151C88"/>
    <w:rsid w:val="001525A3"/>
    <w:rsid w:val="00152BCE"/>
    <w:rsid w:val="0015360E"/>
    <w:rsid w:val="00153FB0"/>
    <w:rsid w:val="00154534"/>
    <w:rsid w:val="00155093"/>
    <w:rsid w:val="00155390"/>
    <w:rsid w:val="00155F0B"/>
    <w:rsid w:val="001563D3"/>
    <w:rsid w:val="00156D1C"/>
    <w:rsid w:val="00157763"/>
    <w:rsid w:val="0016018F"/>
    <w:rsid w:val="001622AE"/>
    <w:rsid w:val="0016245E"/>
    <w:rsid w:val="001629BA"/>
    <w:rsid w:val="00163482"/>
    <w:rsid w:val="00164842"/>
    <w:rsid w:val="00165C04"/>
    <w:rsid w:val="001676BF"/>
    <w:rsid w:val="001677DE"/>
    <w:rsid w:val="001679E8"/>
    <w:rsid w:val="00167A03"/>
    <w:rsid w:val="00167FF5"/>
    <w:rsid w:val="00170626"/>
    <w:rsid w:val="00170B08"/>
    <w:rsid w:val="001710B4"/>
    <w:rsid w:val="001711CB"/>
    <w:rsid w:val="001711FC"/>
    <w:rsid w:val="00171E84"/>
    <w:rsid w:val="001720F0"/>
    <w:rsid w:val="00172107"/>
    <w:rsid w:val="0017372F"/>
    <w:rsid w:val="00174615"/>
    <w:rsid w:val="00174E48"/>
    <w:rsid w:val="00175CE2"/>
    <w:rsid w:val="00180089"/>
    <w:rsid w:val="00180195"/>
    <w:rsid w:val="00180724"/>
    <w:rsid w:val="001809A1"/>
    <w:rsid w:val="00180DE1"/>
    <w:rsid w:val="001820FF"/>
    <w:rsid w:val="00183072"/>
    <w:rsid w:val="00192543"/>
    <w:rsid w:val="001931DE"/>
    <w:rsid w:val="00193D45"/>
    <w:rsid w:val="00193EF1"/>
    <w:rsid w:val="00195AC2"/>
    <w:rsid w:val="00196EE9"/>
    <w:rsid w:val="00196FBB"/>
    <w:rsid w:val="00197AF8"/>
    <w:rsid w:val="00197E2E"/>
    <w:rsid w:val="001A11D0"/>
    <w:rsid w:val="001A1E4A"/>
    <w:rsid w:val="001A39DA"/>
    <w:rsid w:val="001A39E6"/>
    <w:rsid w:val="001A462C"/>
    <w:rsid w:val="001A5111"/>
    <w:rsid w:val="001A59CC"/>
    <w:rsid w:val="001A5D7A"/>
    <w:rsid w:val="001A646D"/>
    <w:rsid w:val="001A780E"/>
    <w:rsid w:val="001A7B55"/>
    <w:rsid w:val="001B0F9C"/>
    <w:rsid w:val="001B14A6"/>
    <w:rsid w:val="001B317A"/>
    <w:rsid w:val="001B35C2"/>
    <w:rsid w:val="001B3BAA"/>
    <w:rsid w:val="001B3DD9"/>
    <w:rsid w:val="001B3DF8"/>
    <w:rsid w:val="001B5243"/>
    <w:rsid w:val="001B5BD0"/>
    <w:rsid w:val="001B5C04"/>
    <w:rsid w:val="001B68BF"/>
    <w:rsid w:val="001B7099"/>
    <w:rsid w:val="001C1BCE"/>
    <w:rsid w:val="001C1F98"/>
    <w:rsid w:val="001C2E5C"/>
    <w:rsid w:val="001C40EE"/>
    <w:rsid w:val="001C45CD"/>
    <w:rsid w:val="001C6111"/>
    <w:rsid w:val="001C6614"/>
    <w:rsid w:val="001C6C23"/>
    <w:rsid w:val="001D0E77"/>
    <w:rsid w:val="001D1F79"/>
    <w:rsid w:val="001D2E1F"/>
    <w:rsid w:val="001D3BBE"/>
    <w:rsid w:val="001D4196"/>
    <w:rsid w:val="001D5A01"/>
    <w:rsid w:val="001D6702"/>
    <w:rsid w:val="001E0205"/>
    <w:rsid w:val="001E069A"/>
    <w:rsid w:val="001E069E"/>
    <w:rsid w:val="001E07A5"/>
    <w:rsid w:val="001E0FF9"/>
    <w:rsid w:val="001E19C4"/>
    <w:rsid w:val="001E19EF"/>
    <w:rsid w:val="001E2917"/>
    <w:rsid w:val="001E330C"/>
    <w:rsid w:val="001E3F78"/>
    <w:rsid w:val="001E48E5"/>
    <w:rsid w:val="001E5867"/>
    <w:rsid w:val="001E6684"/>
    <w:rsid w:val="001E6CD9"/>
    <w:rsid w:val="001E6D23"/>
    <w:rsid w:val="001E713E"/>
    <w:rsid w:val="001F0AF2"/>
    <w:rsid w:val="001F1FC7"/>
    <w:rsid w:val="001F46CF"/>
    <w:rsid w:val="001F67B3"/>
    <w:rsid w:val="001F712D"/>
    <w:rsid w:val="00200644"/>
    <w:rsid w:val="00200A76"/>
    <w:rsid w:val="00200AEC"/>
    <w:rsid w:val="00201672"/>
    <w:rsid w:val="0020212E"/>
    <w:rsid w:val="00203341"/>
    <w:rsid w:val="00204754"/>
    <w:rsid w:val="00204B21"/>
    <w:rsid w:val="00205247"/>
    <w:rsid w:val="0020581A"/>
    <w:rsid w:val="002065BF"/>
    <w:rsid w:val="00207927"/>
    <w:rsid w:val="002103EA"/>
    <w:rsid w:val="00210733"/>
    <w:rsid w:val="00211BB2"/>
    <w:rsid w:val="002124BB"/>
    <w:rsid w:val="0021256A"/>
    <w:rsid w:val="002129C3"/>
    <w:rsid w:val="00213074"/>
    <w:rsid w:val="0021483B"/>
    <w:rsid w:val="002161EF"/>
    <w:rsid w:val="0021673F"/>
    <w:rsid w:val="0021684A"/>
    <w:rsid w:val="00216D6B"/>
    <w:rsid w:val="00217D50"/>
    <w:rsid w:val="00220376"/>
    <w:rsid w:val="00220AE2"/>
    <w:rsid w:val="002229A6"/>
    <w:rsid w:val="00222B74"/>
    <w:rsid w:val="00222C06"/>
    <w:rsid w:val="002239BD"/>
    <w:rsid w:val="00223C09"/>
    <w:rsid w:val="00224A28"/>
    <w:rsid w:val="00225A53"/>
    <w:rsid w:val="002263BA"/>
    <w:rsid w:val="00226592"/>
    <w:rsid w:val="00226879"/>
    <w:rsid w:val="00226940"/>
    <w:rsid w:val="002272A8"/>
    <w:rsid w:val="00227D7B"/>
    <w:rsid w:val="002306D1"/>
    <w:rsid w:val="0023220F"/>
    <w:rsid w:val="002322D7"/>
    <w:rsid w:val="0023277B"/>
    <w:rsid w:val="00232F45"/>
    <w:rsid w:val="002331F3"/>
    <w:rsid w:val="00233218"/>
    <w:rsid w:val="002361B7"/>
    <w:rsid w:val="00236359"/>
    <w:rsid w:val="002374E7"/>
    <w:rsid w:val="0023782B"/>
    <w:rsid w:val="0024017E"/>
    <w:rsid w:val="0024075B"/>
    <w:rsid w:val="002407BC"/>
    <w:rsid w:val="00240E0D"/>
    <w:rsid w:val="002414BA"/>
    <w:rsid w:val="00243433"/>
    <w:rsid w:val="0024418B"/>
    <w:rsid w:val="002443E8"/>
    <w:rsid w:val="002449E0"/>
    <w:rsid w:val="002469F4"/>
    <w:rsid w:val="00247D14"/>
    <w:rsid w:val="00247D85"/>
    <w:rsid w:val="0025061C"/>
    <w:rsid w:val="00250976"/>
    <w:rsid w:val="00250F7C"/>
    <w:rsid w:val="0025166D"/>
    <w:rsid w:val="00251CFD"/>
    <w:rsid w:val="002525D7"/>
    <w:rsid w:val="00253174"/>
    <w:rsid w:val="00253616"/>
    <w:rsid w:val="00255922"/>
    <w:rsid w:val="0025599E"/>
    <w:rsid w:val="0025602C"/>
    <w:rsid w:val="0025665C"/>
    <w:rsid w:val="00256706"/>
    <w:rsid w:val="0025712E"/>
    <w:rsid w:val="002577E9"/>
    <w:rsid w:val="0025794D"/>
    <w:rsid w:val="00257B3A"/>
    <w:rsid w:val="00260021"/>
    <w:rsid w:val="00260A23"/>
    <w:rsid w:val="00261B7C"/>
    <w:rsid w:val="00262F18"/>
    <w:rsid w:val="00263C62"/>
    <w:rsid w:val="00263ED7"/>
    <w:rsid w:val="0026568A"/>
    <w:rsid w:val="00265FA2"/>
    <w:rsid w:val="002669AE"/>
    <w:rsid w:val="002677A2"/>
    <w:rsid w:val="00267CFC"/>
    <w:rsid w:val="00267DC6"/>
    <w:rsid w:val="00267F0E"/>
    <w:rsid w:val="00267F71"/>
    <w:rsid w:val="00273581"/>
    <w:rsid w:val="002736EC"/>
    <w:rsid w:val="00276865"/>
    <w:rsid w:val="00276D79"/>
    <w:rsid w:val="0027731F"/>
    <w:rsid w:val="00277525"/>
    <w:rsid w:val="0028123E"/>
    <w:rsid w:val="00284320"/>
    <w:rsid w:val="00284789"/>
    <w:rsid w:val="00284B3A"/>
    <w:rsid w:val="00285105"/>
    <w:rsid w:val="002855E7"/>
    <w:rsid w:val="002859C9"/>
    <w:rsid w:val="00285B74"/>
    <w:rsid w:val="00287154"/>
    <w:rsid w:val="00287467"/>
    <w:rsid w:val="00287E93"/>
    <w:rsid w:val="00290F0C"/>
    <w:rsid w:val="0029305B"/>
    <w:rsid w:val="00293B8A"/>
    <w:rsid w:val="00294F82"/>
    <w:rsid w:val="00295387"/>
    <w:rsid w:val="00295404"/>
    <w:rsid w:val="002972F9"/>
    <w:rsid w:val="002A008F"/>
    <w:rsid w:val="002A013A"/>
    <w:rsid w:val="002A1673"/>
    <w:rsid w:val="002A23AE"/>
    <w:rsid w:val="002A2C53"/>
    <w:rsid w:val="002A3146"/>
    <w:rsid w:val="002A4489"/>
    <w:rsid w:val="002A494C"/>
    <w:rsid w:val="002A6C89"/>
    <w:rsid w:val="002A7D5D"/>
    <w:rsid w:val="002A7F63"/>
    <w:rsid w:val="002B11FD"/>
    <w:rsid w:val="002B3574"/>
    <w:rsid w:val="002B3EED"/>
    <w:rsid w:val="002B4270"/>
    <w:rsid w:val="002B57CD"/>
    <w:rsid w:val="002B7D09"/>
    <w:rsid w:val="002C0499"/>
    <w:rsid w:val="002C0DA6"/>
    <w:rsid w:val="002C1014"/>
    <w:rsid w:val="002C1AEE"/>
    <w:rsid w:val="002C1B69"/>
    <w:rsid w:val="002C3902"/>
    <w:rsid w:val="002C3CBB"/>
    <w:rsid w:val="002C416A"/>
    <w:rsid w:val="002C4850"/>
    <w:rsid w:val="002C51DC"/>
    <w:rsid w:val="002C521F"/>
    <w:rsid w:val="002C5830"/>
    <w:rsid w:val="002C78B2"/>
    <w:rsid w:val="002C7B92"/>
    <w:rsid w:val="002D2398"/>
    <w:rsid w:val="002D2C08"/>
    <w:rsid w:val="002D2E9F"/>
    <w:rsid w:val="002D3C70"/>
    <w:rsid w:val="002D3C87"/>
    <w:rsid w:val="002D3F45"/>
    <w:rsid w:val="002D4601"/>
    <w:rsid w:val="002D500D"/>
    <w:rsid w:val="002D52D6"/>
    <w:rsid w:val="002D56C7"/>
    <w:rsid w:val="002D7D6F"/>
    <w:rsid w:val="002E0416"/>
    <w:rsid w:val="002E2C9E"/>
    <w:rsid w:val="002E5CDE"/>
    <w:rsid w:val="002E6E26"/>
    <w:rsid w:val="002E6FCA"/>
    <w:rsid w:val="002F10CF"/>
    <w:rsid w:val="002F1899"/>
    <w:rsid w:val="002F2617"/>
    <w:rsid w:val="002F496C"/>
    <w:rsid w:val="002F4EBB"/>
    <w:rsid w:val="002F5506"/>
    <w:rsid w:val="002F6BBE"/>
    <w:rsid w:val="002F792B"/>
    <w:rsid w:val="002F7A92"/>
    <w:rsid w:val="00300E63"/>
    <w:rsid w:val="00301276"/>
    <w:rsid w:val="00301D32"/>
    <w:rsid w:val="00302347"/>
    <w:rsid w:val="00302B8A"/>
    <w:rsid w:val="00302D52"/>
    <w:rsid w:val="0030308B"/>
    <w:rsid w:val="00305943"/>
    <w:rsid w:val="00307EA8"/>
    <w:rsid w:val="00312476"/>
    <w:rsid w:val="00312D3B"/>
    <w:rsid w:val="00313374"/>
    <w:rsid w:val="00314CCB"/>
    <w:rsid w:val="003156EA"/>
    <w:rsid w:val="00316CC1"/>
    <w:rsid w:val="00317D77"/>
    <w:rsid w:val="003207DE"/>
    <w:rsid w:val="00320A94"/>
    <w:rsid w:val="00320B32"/>
    <w:rsid w:val="00322125"/>
    <w:rsid w:val="0032280C"/>
    <w:rsid w:val="00322F5E"/>
    <w:rsid w:val="00323719"/>
    <w:rsid w:val="00323B22"/>
    <w:rsid w:val="0032470A"/>
    <w:rsid w:val="00331409"/>
    <w:rsid w:val="00332957"/>
    <w:rsid w:val="00333B09"/>
    <w:rsid w:val="00333DE9"/>
    <w:rsid w:val="00334D9A"/>
    <w:rsid w:val="003355A8"/>
    <w:rsid w:val="003362A0"/>
    <w:rsid w:val="00336D36"/>
    <w:rsid w:val="0033766E"/>
    <w:rsid w:val="00340297"/>
    <w:rsid w:val="003402A7"/>
    <w:rsid w:val="00341BD2"/>
    <w:rsid w:val="00341D5F"/>
    <w:rsid w:val="00341F53"/>
    <w:rsid w:val="003420E8"/>
    <w:rsid w:val="00343D96"/>
    <w:rsid w:val="00344129"/>
    <w:rsid w:val="00346B1A"/>
    <w:rsid w:val="00346E7C"/>
    <w:rsid w:val="00346EC7"/>
    <w:rsid w:val="00347042"/>
    <w:rsid w:val="00347177"/>
    <w:rsid w:val="00350549"/>
    <w:rsid w:val="00350D5A"/>
    <w:rsid w:val="00351128"/>
    <w:rsid w:val="00351246"/>
    <w:rsid w:val="003512DD"/>
    <w:rsid w:val="003524B2"/>
    <w:rsid w:val="00354286"/>
    <w:rsid w:val="00356588"/>
    <w:rsid w:val="003618E8"/>
    <w:rsid w:val="00362DAA"/>
    <w:rsid w:val="003632F9"/>
    <w:rsid w:val="0036378C"/>
    <w:rsid w:val="0036420B"/>
    <w:rsid w:val="00364952"/>
    <w:rsid w:val="003656EC"/>
    <w:rsid w:val="003658F7"/>
    <w:rsid w:val="00365B75"/>
    <w:rsid w:val="00366812"/>
    <w:rsid w:val="00370503"/>
    <w:rsid w:val="00370E05"/>
    <w:rsid w:val="00371111"/>
    <w:rsid w:val="003711AD"/>
    <w:rsid w:val="00371EAE"/>
    <w:rsid w:val="0037234A"/>
    <w:rsid w:val="00373729"/>
    <w:rsid w:val="00373AEF"/>
    <w:rsid w:val="00374596"/>
    <w:rsid w:val="00374C97"/>
    <w:rsid w:val="00375B96"/>
    <w:rsid w:val="00375E0D"/>
    <w:rsid w:val="003764E9"/>
    <w:rsid w:val="0037659A"/>
    <w:rsid w:val="00376AD0"/>
    <w:rsid w:val="00376E58"/>
    <w:rsid w:val="00381A61"/>
    <w:rsid w:val="0038227E"/>
    <w:rsid w:val="00382BF1"/>
    <w:rsid w:val="00383795"/>
    <w:rsid w:val="00387569"/>
    <w:rsid w:val="00387B71"/>
    <w:rsid w:val="00390B25"/>
    <w:rsid w:val="00393DCF"/>
    <w:rsid w:val="00393F45"/>
    <w:rsid w:val="0039491F"/>
    <w:rsid w:val="00394F9F"/>
    <w:rsid w:val="003953F4"/>
    <w:rsid w:val="003959C1"/>
    <w:rsid w:val="00395F66"/>
    <w:rsid w:val="003977F5"/>
    <w:rsid w:val="00397CF4"/>
    <w:rsid w:val="003A0B58"/>
    <w:rsid w:val="003A0F81"/>
    <w:rsid w:val="003A1301"/>
    <w:rsid w:val="003A21A4"/>
    <w:rsid w:val="003A318D"/>
    <w:rsid w:val="003A364F"/>
    <w:rsid w:val="003A48CC"/>
    <w:rsid w:val="003A4B3F"/>
    <w:rsid w:val="003A571D"/>
    <w:rsid w:val="003A5AF8"/>
    <w:rsid w:val="003A6F9B"/>
    <w:rsid w:val="003A7EB3"/>
    <w:rsid w:val="003B06D9"/>
    <w:rsid w:val="003B0CE6"/>
    <w:rsid w:val="003B2309"/>
    <w:rsid w:val="003B252A"/>
    <w:rsid w:val="003B2D34"/>
    <w:rsid w:val="003B42C7"/>
    <w:rsid w:val="003B502B"/>
    <w:rsid w:val="003B7E80"/>
    <w:rsid w:val="003C00D7"/>
    <w:rsid w:val="003C14DE"/>
    <w:rsid w:val="003C1BB5"/>
    <w:rsid w:val="003C285B"/>
    <w:rsid w:val="003C4F83"/>
    <w:rsid w:val="003C511F"/>
    <w:rsid w:val="003C5784"/>
    <w:rsid w:val="003C64A8"/>
    <w:rsid w:val="003C6C52"/>
    <w:rsid w:val="003C7D7B"/>
    <w:rsid w:val="003D03D4"/>
    <w:rsid w:val="003D1740"/>
    <w:rsid w:val="003D3089"/>
    <w:rsid w:val="003D5BE6"/>
    <w:rsid w:val="003D78D7"/>
    <w:rsid w:val="003D7F64"/>
    <w:rsid w:val="003E09D9"/>
    <w:rsid w:val="003E31AC"/>
    <w:rsid w:val="003E3E4C"/>
    <w:rsid w:val="003E5544"/>
    <w:rsid w:val="003E5CCC"/>
    <w:rsid w:val="003E6055"/>
    <w:rsid w:val="003E6ACC"/>
    <w:rsid w:val="003E7439"/>
    <w:rsid w:val="003E7C36"/>
    <w:rsid w:val="003F0A95"/>
    <w:rsid w:val="003F28B5"/>
    <w:rsid w:val="003F4FC8"/>
    <w:rsid w:val="003F5F82"/>
    <w:rsid w:val="003F7903"/>
    <w:rsid w:val="003F7D31"/>
    <w:rsid w:val="0040012B"/>
    <w:rsid w:val="00401A0A"/>
    <w:rsid w:val="00402076"/>
    <w:rsid w:val="004024A1"/>
    <w:rsid w:val="004039E2"/>
    <w:rsid w:val="00404C1D"/>
    <w:rsid w:val="00404C9C"/>
    <w:rsid w:val="0040610B"/>
    <w:rsid w:val="00411735"/>
    <w:rsid w:val="00411D93"/>
    <w:rsid w:val="0041250B"/>
    <w:rsid w:val="00413DB4"/>
    <w:rsid w:val="004149A5"/>
    <w:rsid w:val="00414C79"/>
    <w:rsid w:val="00415F72"/>
    <w:rsid w:val="00417275"/>
    <w:rsid w:val="004173BA"/>
    <w:rsid w:val="004176ED"/>
    <w:rsid w:val="004179C9"/>
    <w:rsid w:val="004203CD"/>
    <w:rsid w:val="00421300"/>
    <w:rsid w:val="00421519"/>
    <w:rsid w:val="00421CCA"/>
    <w:rsid w:val="004220F9"/>
    <w:rsid w:val="00422C28"/>
    <w:rsid w:val="004235B8"/>
    <w:rsid w:val="004257AB"/>
    <w:rsid w:val="004258F3"/>
    <w:rsid w:val="00426433"/>
    <w:rsid w:val="00426915"/>
    <w:rsid w:val="00426C23"/>
    <w:rsid w:val="00427A40"/>
    <w:rsid w:val="00427EDA"/>
    <w:rsid w:val="0043077E"/>
    <w:rsid w:val="00432D69"/>
    <w:rsid w:val="00432D8E"/>
    <w:rsid w:val="00433031"/>
    <w:rsid w:val="0043494A"/>
    <w:rsid w:val="00436073"/>
    <w:rsid w:val="00440F94"/>
    <w:rsid w:val="004433B5"/>
    <w:rsid w:val="004434C5"/>
    <w:rsid w:val="004441F6"/>
    <w:rsid w:val="00444347"/>
    <w:rsid w:val="00445481"/>
    <w:rsid w:val="0044550C"/>
    <w:rsid w:val="00445A7A"/>
    <w:rsid w:val="00445A80"/>
    <w:rsid w:val="00445FC1"/>
    <w:rsid w:val="004465D4"/>
    <w:rsid w:val="00447E71"/>
    <w:rsid w:val="00450AD7"/>
    <w:rsid w:val="00450CC3"/>
    <w:rsid w:val="004517BC"/>
    <w:rsid w:val="004529BF"/>
    <w:rsid w:val="00452C7D"/>
    <w:rsid w:val="004536FA"/>
    <w:rsid w:val="00453D89"/>
    <w:rsid w:val="0045467D"/>
    <w:rsid w:val="00454F69"/>
    <w:rsid w:val="00455306"/>
    <w:rsid w:val="004557B8"/>
    <w:rsid w:val="004559AE"/>
    <w:rsid w:val="004564D5"/>
    <w:rsid w:val="00456731"/>
    <w:rsid w:val="00456D91"/>
    <w:rsid w:val="00461CDA"/>
    <w:rsid w:val="00461E4A"/>
    <w:rsid w:val="0046272D"/>
    <w:rsid w:val="00462938"/>
    <w:rsid w:val="00462CDB"/>
    <w:rsid w:val="0046320C"/>
    <w:rsid w:val="00463648"/>
    <w:rsid w:val="00463F95"/>
    <w:rsid w:val="00465867"/>
    <w:rsid w:val="00465F1C"/>
    <w:rsid w:val="00466418"/>
    <w:rsid w:val="00467A10"/>
    <w:rsid w:val="00467D7A"/>
    <w:rsid w:val="00471043"/>
    <w:rsid w:val="004737CF"/>
    <w:rsid w:val="004746AF"/>
    <w:rsid w:val="00474A47"/>
    <w:rsid w:val="00474BB0"/>
    <w:rsid w:val="00475239"/>
    <w:rsid w:val="004752B0"/>
    <w:rsid w:val="004753BF"/>
    <w:rsid w:val="004759CC"/>
    <w:rsid w:val="0047678B"/>
    <w:rsid w:val="00476905"/>
    <w:rsid w:val="00476E8D"/>
    <w:rsid w:val="0047755B"/>
    <w:rsid w:val="00477DFD"/>
    <w:rsid w:val="00477ED3"/>
    <w:rsid w:val="0048073E"/>
    <w:rsid w:val="004838F0"/>
    <w:rsid w:val="00484C41"/>
    <w:rsid w:val="004850B6"/>
    <w:rsid w:val="004853BF"/>
    <w:rsid w:val="00485A0B"/>
    <w:rsid w:val="00486C56"/>
    <w:rsid w:val="00486D9B"/>
    <w:rsid w:val="00487301"/>
    <w:rsid w:val="00487DB4"/>
    <w:rsid w:val="00487FE1"/>
    <w:rsid w:val="00491A73"/>
    <w:rsid w:val="00491D0C"/>
    <w:rsid w:val="00492173"/>
    <w:rsid w:val="00492F6F"/>
    <w:rsid w:val="00492F95"/>
    <w:rsid w:val="0049392F"/>
    <w:rsid w:val="00494E91"/>
    <w:rsid w:val="004A0E5B"/>
    <w:rsid w:val="004A1765"/>
    <w:rsid w:val="004A2175"/>
    <w:rsid w:val="004A219F"/>
    <w:rsid w:val="004A2B79"/>
    <w:rsid w:val="004A397F"/>
    <w:rsid w:val="004A5B01"/>
    <w:rsid w:val="004A5B2A"/>
    <w:rsid w:val="004A65FF"/>
    <w:rsid w:val="004A660E"/>
    <w:rsid w:val="004A71AB"/>
    <w:rsid w:val="004A73F2"/>
    <w:rsid w:val="004A756A"/>
    <w:rsid w:val="004A784F"/>
    <w:rsid w:val="004B0121"/>
    <w:rsid w:val="004B1859"/>
    <w:rsid w:val="004B259A"/>
    <w:rsid w:val="004B370E"/>
    <w:rsid w:val="004B64C4"/>
    <w:rsid w:val="004B6E8A"/>
    <w:rsid w:val="004B79A4"/>
    <w:rsid w:val="004B7C8E"/>
    <w:rsid w:val="004C0806"/>
    <w:rsid w:val="004C0AD0"/>
    <w:rsid w:val="004C1841"/>
    <w:rsid w:val="004C2138"/>
    <w:rsid w:val="004C2489"/>
    <w:rsid w:val="004C257A"/>
    <w:rsid w:val="004C28ED"/>
    <w:rsid w:val="004C2D1D"/>
    <w:rsid w:val="004C3059"/>
    <w:rsid w:val="004C3C0C"/>
    <w:rsid w:val="004C460B"/>
    <w:rsid w:val="004C6D7E"/>
    <w:rsid w:val="004C6D98"/>
    <w:rsid w:val="004C6E98"/>
    <w:rsid w:val="004D1D70"/>
    <w:rsid w:val="004D1F4B"/>
    <w:rsid w:val="004D2100"/>
    <w:rsid w:val="004D275C"/>
    <w:rsid w:val="004D3AD8"/>
    <w:rsid w:val="004D3FA7"/>
    <w:rsid w:val="004D45AE"/>
    <w:rsid w:val="004D4C7E"/>
    <w:rsid w:val="004E55C9"/>
    <w:rsid w:val="004E5EC8"/>
    <w:rsid w:val="004E7BAB"/>
    <w:rsid w:val="004F00AF"/>
    <w:rsid w:val="004F03DF"/>
    <w:rsid w:val="004F04A1"/>
    <w:rsid w:val="004F1E58"/>
    <w:rsid w:val="004F2D21"/>
    <w:rsid w:val="004F4A3C"/>
    <w:rsid w:val="004F503A"/>
    <w:rsid w:val="004F6CDF"/>
    <w:rsid w:val="004F7238"/>
    <w:rsid w:val="004F75A1"/>
    <w:rsid w:val="005000E5"/>
    <w:rsid w:val="00500874"/>
    <w:rsid w:val="00502436"/>
    <w:rsid w:val="00502D0A"/>
    <w:rsid w:val="0050370C"/>
    <w:rsid w:val="00504413"/>
    <w:rsid w:val="00504894"/>
    <w:rsid w:val="00505031"/>
    <w:rsid w:val="00505FE6"/>
    <w:rsid w:val="0051051E"/>
    <w:rsid w:val="00510BC3"/>
    <w:rsid w:val="00510F80"/>
    <w:rsid w:val="005115F2"/>
    <w:rsid w:val="00511B7F"/>
    <w:rsid w:val="00511C7F"/>
    <w:rsid w:val="005124EF"/>
    <w:rsid w:val="00512634"/>
    <w:rsid w:val="00512799"/>
    <w:rsid w:val="00513BEB"/>
    <w:rsid w:val="0051428D"/>
    <w:rsid w:val="00514508"/>
    <w:rsid w:val="005146A5"/>
    <w:rsid w:val="0051705C"/>
    <w:rsid w:val="00517642"/>
    <w:rsid w:val="005178ED"/>
    <w:rsid w:val="005217B8"/>
    <w:rsid w:val="00524720"/>
    <w:rsid w:val="00524F0B"/>
    <w:rsid w:val="00524F29"/>
    <w:rsid w:val="005253EB"/>
    <w:rsid w:val="00525A89"/>
    <w:rsid w:val="005264B1"/>
    <w:rsid w:val="00526E33"/>
    <w:rsid w:val="0052790B"/>
    <w:rsid w:val="00527A4C"/>
    <w:rsid w:val="00527BEA"/>
    <w:rsid w:val="0053146B"/>
    <w:rsid w:val="005316E8"/>
    <w:rsid w:val="005317F3"/>
    <w:rsid w:val="005322A3"/>
    <w:rsid w:val="0053265A"/>
    <w:rsid w:val="0053290E"/>
    <w:rsid w:val="005338F2"/>
    <w:rsid w:val="00535234"/>
    <w:rsid w:val="00535239"/>
    <w:rsid w:val="005360D2"/>
    <w:rsid w:val="00536EE3"/>
    <w:rsid w:val="00540568"/>
    <w:rsid w:val="005418C8"/>
    <w:rsid w:val="00543D1D"/>
    <w:rsid w:val="00543D40"/>
    <w:rsid w:val="00544E4E"/>
    <w:rsid w:val="00544ECF"/>
    <w:rsid w:val="0054559B"/>
    <w:rsid w:val="00547AEE"/>
    <w:rsid w:val="00547D8E"/>
    <w:rsid w:val="00547DA4"/>
    <w:rsid w:val="00547FE9"/>
    <w:rsid w:val="005500BB"/>
    <w:rsid w:val="005501F0"/>
    <w:rsid w:val="0055040C"/>
    <w:rsid w:val="00551181"/>
    <w:rsid w:val="005515ED"/>
    <w:rsid w:val="00553634"/>
    <w:rsid w:val="00553F25"/>
    <w:rsid w:val="00553F6E"/>
    <w:rsid w:val="00554280"/>
    <w:rsid w:val="00555A38"/>
    <w:rsid w:val="00556129"/>
    <w:rsid w:val="0056064F"/>
    <w:rsid w:val="00561570"/>
    <w:rsid w:val="00561769"/>
    <w:rsid w:val="0056188B"/>
    <w:rsid w:val="00561C6F"/>
    <w:rsid w:val="005624A5"/>
    <w:rsid w:val="005629BA"/>
    <w:rsid w:val="0056463B"/>
    <w:rsid w:val="005647E6"/>
    <w:rsid w:val="005648C8"/>
    <w:rsid w:val="0056586E"/>
    <w:rsid w:val="00566C4D"/>
    <w:rsid w:val="00566F73"/>
    <w:rsid w:val="005676FC"/>
    <w:rsid w:val="005702BF"/>
    <w:rsid w:val="005708B4"/>
    <w:rsid w:val="00570A99"/>
    <w:rsid w:val="00570E82"/>
    <w:rsid w:val="00572106"/>
    <w:rsid w:val="00573006"/>
    <w:rsid w:val="005734E3"/>
    <w:rsid w:val="00574BCD"/>
    <w:rsid w:val="00574F1C"/>
    <w:rsid w:val="00575935"/>
    <w:rsid w:val="00575A11"/>
    <w:rsid w:val="005772D4"/>
    <w:rsid w:val="00581541"/>
    <w:rsid w:val="00581786"/>
    <w:rsid w:val="00582131"/>
    <w:rsid w:val="0058381F"/>
    <w:rsid w:val="00583B5C"/>
    <w:rsid w:val="00584414"/>
    <w:rsid w:val="005849F3"/>
    <w:rsid w:val="00585E95"/>
    <w:rsid w:val="00586050"/>
    <w:rsid w:val="005879B6"/>
    <w:rsid w:val="005901CE"/>
    <w:rsid w:val="00590DC7"/>
    <w:rsid w:val="00591324"/>
    <w:rsid w:val="0059154D"/>
    <w:rsid w:val="00592B60"/>
    <w:rsid w:val="00592D1D"/>
    <w:rsid w:val="0059330C"/>
    <w:rsid w:val="0059367E"/>
    <w:rsid w:val="005938BD"/>
    <w:rsid w:val="00593D01"/>
    <w:rsid w:val="00594149"/>
    <w:rsid w:val="005951AD"/>
    <w:rsid w:val="00595600"/>
    <w:rsid w:val="005976C8"/>
    <w:rsid w:val="005A0091"/>
    <w:rsid w:val="005A0319"/>
    <w:rsid w:val="005A14D7"/>
    <w:rsid w:val="005A36C6"/>
    <w:rsid w:val="005A381A"/>
    <w:rsid w:val="005A48D2"/>
    <w:rsid w:val="005A4932"/>
    <w:rsid w:val="005A5FB4"/>
    <w:rsid w:val="005A6B47"/>
    <w:rsid w:val="005A7882"/>
    <w:rsid w:val="005B1113"/>
    <w:rsid w:val="005B1681"/>
    <w:rsid w:val="005B1D90"/>
    <w:rsid w:val="005B2701"/>
    <w:rsid w:val="005B39BA"/>
    <w:rsid w:val="005B42F2"/>
    <w:rsid w:val="005B4D4C"/>
    <w:rsid w:val="005B5E49"/>
    <w:rsid w:val="005B6C62"/>
    <w:rsid w:val="005C436A"/>
    <w:rsid w:val="005C5D5D"/>
    <w:rsid w:val="005C6307"/>
    <w:rsid w:val="005C735B"/>
    <w:rsid w:val="005C765B"/>
    <w:rsid w:val="005C7C13"/>
    <w:rsid w:val="005D032F"/>
    <w:rsid w:val="005D079E"/>
    <w:rsid w:val="005D18D0"/>
    <w:rsid w:val="005D2865"/>
    <w:rsid w:val="005D5538"/>
    <w:rsid w:val="005D741B"/>
    <w:rsid w:val="005D7F27"/>
    <w:rsid w:val="005E0AEE"/>
    <w:rsid w:val="005E0FA5"/>
    <w:rsid w:val="005E239D"/>
    <w:rsid w:val="005E2A02"/>
    <w:rsid w:val="005E2EF2"/>
    <w:rsid w:val="005E312B"/>
    <w:rsid w:val="005E382B"/>
    <w:rsid w:val="005E3F0D"/>
    <w:rsid w:val="005E530B"/>
    <w:rsid w:val="005E7521"/>
    <w:rsid w:val="005E7C46"/>
    <w:rsid w:val="005E7CD0"/>
    <w:rsid w:val="005F0321"/>
    <w:rsid w:val="005F12B0"/>
    <w:rsid w:val="005F1427"/>
    <w:rsid w:val="005F1685"/>
    <w:rsid w:val="005F185F"/>
    <w:rsid w:val="005F2911"/>
    <w:rsid w:val="005F3B9C"/>
    <w:rsid w:val="005F4575"/>
    <w:rsid w:val="005F5EFB"/>
    <w:rsid w:val="005F627A"/>
    <w:rsid w:val="005F6494"/>
    <w:rsid w:val="006022D1"/>
    <w:rsid w:val="00605F48"/>
    <w:rsid w:val="00605FBC"/>
    <w:rsid w:val="00610CE1"/>
    <w:rsid w:val="0061127A"/>
    <w:rsid w:val="00611970"/>
    <w:rsid w:val="00611FD5"/>
    <w:rsid w:val="006120AA"/>
    <w:rsid w:val="00612B4E"/>
    <w:rsid w:val="006140E7"/>
    <w:rsid w:val="00614E07"/>
    <w:rsid w:val="00614F3C"/>
    <w:rsid w:val="0061518D"/>
    <w:rsid w:val="006151EB"/>
    <w:rsid w:val="00615375"/>
    <w:rsid w:val="00616391"/>
    <w:rsid w:val="00616B1E"/>
    <w:rsid w:val="0061760A"/>
    <w:rsid w:val="00617A84"/>
    <w:rsid w:val="00620802"/>
    <w:rsid w:val="00621A35"/>
    <w:rsid w:val="006223DA"/>
    <w:rsid w:val="0062301C"/>
    <w:rsid w:val="0062559C"/>
    <w:rsid w:val="00626420"/>
    <w:rsid w:val="00627360"/>
    <w:rsid w:val="00630244"/>
    <w:rsid w:val="00630998"/>
    <w:rsid w:val="00630FBE"/>
    <w:rsid w:val="00632559"/>
    <w:rsid w:val="00633885"/>
    <w:rsid w:val="0063589E"/>
    <w:rsid w:val="00635B46"/>
    <w:rsid w:val="00635E10"/>
    <w:rsid w:val="00635FF1"/>
    <w:rsid w:val="0063785C"/>
    <w:rsid w:val="00637BF9"/>
    <w:rsid w:val="00637E1A"/>
    <w:rsid w:val="00642DFD"/>
    <w:rsid w:val="00644421"/>
    <w:rsid w:val="006446C7"/>
    <w:rsid w:val="00644DBA"/>
    <w:rsid w:val="00644ED4"/>
    <w:rsid w:val="00645F3A"/>
    <w:rsid w:val="006468C5"/>
    <w:rsid w:val="0065018D"/>
    <w:rsid w:val="00651378"/>
    <w:rsid w:val="006517D8"/>
    <w:rsid w:val="00652269"/>
    <w:rsid w:val="006525ED"/>
    <w:rsid w:val="006528A0"/>
    <w:rsid w:val="00652AC5"/>
    <w:rsid w:val="00652F23"/>
    <w:rsid w:val="00653338"/>
    <w:rsid w:val="006541AA"/>
    <w:rsid w:val="00654EF7"/>
    <w:rsid w:val="00654F4E"/>
    <w:rsid w:val="00656A82"/>
    <w:rsid w:val="00656FE3"/>
    <w:rsid w:val="006578E3"/>
    <w:rsid w:val="00661B2A"/>
    <w:rsid w:val="00662A13"/>
    <w:rsid w:val="00664FCD"/>
    <w:rsid w:val="00665032"/>
    <w:rsid w:val="00665E02"/>
    <w:rsid w:val="006662B9"/>
    <w:rsid w:val="0066710F"/>
    <w:rsid w:val="006702F4"/>
    <w:rsid w:val="006721AD"/>
    <w:rsid w:val="006729A4"/>
    <w:rsid w:val="00672E30"/>
    <w:rsid w:val="006735B6"/>
    <w:rsid w:val="006748F0"/>
    <w:rsid w:val="006769A9"/>
    <w:rsid w:val="00676BCC"/>
    <w:rsid w:val="00676E82"/>
    <w:rsid w:val="006776E6"/>
    <w:rsid w:val="00680784"/>
    <w:rsid w:val="00680C29"/>
    <w:rsid w:val="0068162D"/>
    <w:rsid w:val="006827AB"/>
    <w:rsid w:val="00683386"/>
    <w:rsid w:val="00683B31"/>
    <w:rsid w:val="00683CF8"/>
    <w:rsid w:val="00687625"/>
    <w:rsid w:val="00687799"/>
    <w:rsid w:val="00690B61"/>
    <w:rsid w:val="00691B21"/>
    <w:rsid w:val="00692118"/>
    <w:rsid w:val="00692C0E"/>
    <w:rsid w:val="00692EB1"/>
    <w:rsid w:val="00693222"/>
    <w:rsid w:val="00693792"/>
    <w:rsid w:val="00693B7D"/>
    <w:rsid w:val="00693D6C"/>
    <w:rsid w:val="006951E6"/>
    <w:rsid w:val="006957EA"/>
    <w:rsid w:val="00695B3D"/>
    <w:rsid w:val="00696419"/>
    <w:rsid w:val="00696440"/>
    <w:rsid w:val="006967BA"/>
    <w:rsid w:val="00696E8D"/>
    <w:rsid w:val="00696F1F"/>
    <w:rsid w:val="00697764"/>
    <w:rsid w:val="00697EA3"/>
    <w:rsid w:val="00697EBD"/>
    <w:rsid w:val="006A0B5C"/>
    <w:rsid w:val="006A2C1E"/>
    <w:rsid w:val="006A36B0"/>
    <w:rsid w:val="006A5D5D"/>
    <w:rsid w:val="006A6BC2"/>
    <w:rsid w:val="006B1468"/>
    <w:rsid w:val="006B14ED"/>
    <w:rsid w:val="006B1F7A"/>
    <w:rsid w:val="006B22F6"/>
    <w:rsid w:val="006B232B"/>
    <w:rsid w:val="006B38B8"/>
    <w:rsid w:val="006B4627"/>
    <w:rsid w:val="006B47AA"/>
    <w:rsid w:val="006B516F"/>
    <w:rsid w:val="006B5995"/>
    <w:rsid w:val="006B5CDF"/>
    <w:rsid w:val="006B663A"/>
    <w:rsid w:val="006B7773"/>
    <w:rsid w:val="006B77A4"/>
    <w:rsid w:val="006C1D82"/>
    <w:rsid w:val="006C402F"/>
    <w:rsid w:val="006C44BF"/>
    <w:rsid w:val="006C4755"/>
    <w:rsid w:val="006C4815"/>
    <w:rsid w:val="006C684C"/>
    <w:rsid w:val="006D0B41"/>
    <w:rsid w:val="006D3556"/>
    <w:rsid w:val="006D51CD"/>
    <w:rsid w:val="006D5EE1"/>
    <w:rsid w:val="006D604F"/>
    <w:rsid w:val="006D641C"/>
    <w:rsid w:val="006D7044"/>
    <w:rsid w:val="006D70FD"/>
    <w:rsid w:val="006E1250"/>
    <w:rsid w:val="006E4544"/>
    <w:rsid w:val="006E46A4"/>
    <w:rsid w:val="006E4C94"/>
    <w:rsid w:val="006E5E7D"/>
    <w:rsid w:val="006E73BF"/>
    <w:rsid w:val="006F0810"/>
    <w:rsid w:val="006F1B71"/>
    <w:rsid w:val="006F23E0"/>
    <w:rsid w:val="006F28B0"/>
    <w:rsid w:val="006F2A01"/>
    <w:rsid w:val="006F2AE3"/>
    <w:rsid w:val="006F3063"/>
    <w:rsid w:val="006F3E88"/>
    <w:rsid w:val="006F5111"/>
    <w:rsid w:val="006F529B"/>
    <w:rsid w:val="006F5A6E"/>
    <w:rsid w:val="006F5BD6"/>
    <w:rsid w:val="006F6612"/>
    <w:rsid w:val="006F6CF9"/>
    <w:rsid w:val="006F759C"/>
    <w:rsid w:val="00701E26"/>
    <w:rsid w:val="0070251C"/>
    <w:rsid w:val="00702896"/>
    <w:rsid w:val="00703784"/>
    <w:rsid w:val="00703C73"/>
    <w:rsid w:val="00704E90"/>
    <w:rsid w:val="00705CB0"/>
    <w:rsid w:val="007065E2"/>
    <w:rsid w:val="00706DF6"/>
    <w:rsid w:val="00710073"/>
    <w:rsid w:val="007101DA"/>
    <w:rsid w:val="0071142C"/>
    <w:rsid w:val="007115EA"/>
    <w:rsid w:val="00712542"/>
    <w:rsid w:val="007128F4"/>
    <w:rsid w:val="00712F3A"/>
    <w:rsid w:val="00714DE8"/>
    <w:rsid w:val="00716148"/>
    <w:rsid w:val="00717677"/>
    <w:rsid w:val="00720FD4"/>
    <w:rsid w:val="00721DF4"/>
    <w:rsid w:val="00722C1C"/>
    <w:rsid w:val="00723144"/>
    <w:rsid w:val="007251CC"/>
    <w:rsid w:val="00727BFB"/>
    <w:rsid w:val="00727D88"/>
    <w:rsid w:val="007308F3"/>
    <w:rsid w:val="007310A7"/>
    <w:rsid w:val="0073282B"/>
    <w:rsid w:val="0073294B"/>
    <w:rsid w:val="007339E8"/>
    <w:rsid w:val="00734D4C"/>
    <w:rsid w:val="007350E4"/>
    <w:rsid w:val="00735173"/>
    <w:rsid w:val="00735A57"/>
    <w:rsid w:val="00736253"/>
    <w:rsid w:val="007366AF"/>
    <w:rsid w:val="007368EF"/>
    <w:rsid w:val="0073700E"/>
    <w:rsid w:val="00741518"/>
    <w:rsid w:val="00742058"/>
    <w:rsid w:val="007429B4"/>
    <w:rsid w:val="0074315A"/>
    <w:rsid w:val="00743D57"/>
    <w:rsid w:val="00744638"/>
    <w:rsid w:val="00744B0B"/>
    <w:rsid w:val="00744D50"/>
    <w:rsid w:val="00747D66"/>
    <w:rsid w:val="00750401"/>
    <w:rsid w:val="00750CDA"/>
    <w:rsid w:val="00750FF5"/>
    <w:rsid w:val="0075199B"/>
    <w:rsid w:val="007521DC"/>
    <w:rsid w:val="00752419"/>
    <w:rsid w:val="00752AC8"/>
    <w:rsid w:val="00753C4A"/>
    <w:rsid w:val="00754C2F"/>
    <w:rsid w:val="007562EC"/>
    <w:rsid w:val="00757056"/>
    <w:rsid w:val="00757418"/>
    <w:rsid w:val="00757DE7"/>
    <w:rsid w:val="00757ED1"/>
    <w:rsid w:val="00760846"/>
    <w:rsid w:val="00761BD1"/>
    <w:rsid w:val="00761FDF"/>
    <w:rsid w:val="007631F4"/>
    <w:rsid w:val="00763826"/>
    <w:rsid w:val="00765A3E"/>
    <w:rsid w:val="007665C6"/>
    <w:rsid w:val="0076693E"/>
    <w:rsid w:val="00766B08"/>
    <w:rsid w:val="00766BA8"/>
    <w:rsid w:val="00766D94"/>
    <w:rsid w:val="00770DDC"/>
    <w:rsid w:val="007718DE"/>
    <w:rsid w:val="00771E20"/>
    <w:rsid w:val="00771EC0"/>
    <w:rsid w:val="007734C1"/>
    <w:rsid w:val="00774C16"/>
    <w:rsid w:val="00776096"/>
    <w:rsid w:val="0077619E"/>
    <w:rsid w:val="00776BAE"/>
    <w:rsid w:val="00776CD7"/>
    <w:rsid w:val="00776E2D"/>
    <w:rsid w:val="0077716A"/>
    <w:rsid w:val="0077744D"/>
    <w:rsid w:val="00777F8C"/>
    <w:rsid w:val="00781062"/>
    <w:rsid w:val="00781BFB"/>
    <w:rsid w:val="0078203D"/>
    <w:rsid w:val="007820F0"/>
    <w:rsid w:val="007823A9"/>
    <w:rsid w:val="00782552"/>
    <w:rsid w:val="00782778"/>
    <w:rsid w:val="00782BF4"/>
    <w:rsid w:val="0078308F"/>
    <w:rsid w:val="00783349"/>
    <w:rsid w:val="00783967"/>
    <w:rsid w:val="00785315"/>
    <w:rsid w:val="007853D9"/>
    <w:rsid w:val="00786834"/>
    <w:rsid w:val="00790DA0"/>
    <w:rsid w:val="0079227F"/>
    <w:rsid w:val="00792B10"/>
    <w:rsid w:val="0079327E"/>
    <w:rsid w:val="00793683"/>
    <w:rsid w:val="007944E2"/>
    <w:rsid w:val="0079468C"/>
    <w:rsid w:val="007954A6"/>
    <w:rsid w:val="00795B03"/>
    <w:rsid w:val="00796BC2"/>
    <w:rsid w:val="00796F7D"/>
    <w:rsid w:val="00797138"/>
    <w:rsid w:val="00797977"/>
    <w:rsid w:val="007A07D5"/>
    <w:rsid w:val="007A0F46"/>
    <w:rsid w:val="007A1A6D"/>
    <w:rsid w:val="007A21D9"/>
    <w:rsid w:val="007A43F6"/>
    <w:rsid w:val="007A5433"/>
    <w:rsid w:val="007A592E"/>
    <w:rsid w:val="007A5D0F"/>
    <w:rsid w:val="007A5D33"/>
    <w:rsid w:val="007A5E4A"/>
    <w:rsid w:val="007A7A3F"/>
    <w:rsid w:val="007A7E7C"/>
    <w:rsid w:val="007B0304"/>
    <w:rsid w:val="007B2493"/>
    <w:rsid w:val="007B3F17"/>
    <w:rsid w:val="007B4D7E"/>
    <w:rsid w:val="007B7A03"/>
    <w:rsid w:val="007C02A3"/>
    <w:rsid w:val="007C0AD2"/>
    <w:rsid w:val="007C220E"/>
    <w:rsid w:val="007C5197"/>
    <w:rsid w:val="007C6613"/>
    <w:rsid w:val="007C6CD0"/>
    <w:rsid w:val="007D0BCE"/>
    <w:rsid w:val="007D0C27"/>
    <w:rsid w:val="007D1980"/>
    <w:rsid w:val="007D1C45"/>
    <w:rsid w:val="007D25F6"/>
    <w:rsid w:val="007D4358"/>
    <w:rsid w:val="007D442A"/>
    <w:rsid w:val="007D4712"/>
    <w:rsid w:val="007D4852"/>
    <w:rsid w:val="007D4C4A"/>
    <w:rsid w:val="007D666D"/>
    <w:rsid w:val="007E02BD"/>
    <w:rsid w:val="007E0A33"/>
    <w:rsid w:val="007E2075"/>
    <w:rsid w:val="007E29B3"/>
    <w:rsid w:val="007E2BCD"/>
    <w:rsid w:val="007E3462"/>
    <w:rsid w:val="007E394A"/>
    <w:rsid w:val="007E3EFD"/>
    <w:rsid w:val="007E4A7C"/>
    <w:rsid w:val="007E5409"/>
    <w:rsid w:val="007E55EC"/>
    <w:rsid w:val="007E5CCB"/>
    <w:rsid w:val="007E5F48"/>
    <w:rsid w:val="007E63EA"/>
    <w:rsid w:val="007F1906"/>
    <w:rsid w:val="007F1ECA"/>
    <w:rsid w:val="007F1FFE"/>
    <w:rsid w:val="007F2B3E"/>
    <w:rsid w:val="007F31B5"/>
    <w:rsid w:val="007F462D"/>
    <w:rsid w:val="007F5B44"/>
    <w:rsid w:val="007F6C57"/>
    <w:rsid w:val="007F6E57"/>
    <w:rsid w:val="007F7D4D"/>
    <w:rsid w:val="00800065"/>
    <w:rsid w:val="00800479"/>
    <w:rsid w:val="008005F7"/>
    <w:rsid w:val="00801C9D"/>
    <w:rsid w:val="00803329"/>
    <w:rsid w:val="008034E1"/>
    <w:rsid w:val="00803BF8"/>
    <w:rsid w:val="00805EC6"/>
    <w:rsid w:val="0080661D"/>
    <w:rsid w:val="00806F23"/>
    <w:rsid w:val="00807937"/>
    <w:rsid w:val="00807B12"/>
    <w:rsid w:val="00807CBC"/>
    <w:rsid w:val="0081064D"/>
    <w:rsid w:val="008109E4"/>
    <w:rsid w:val="00810A55"/>
    <w:rsid w:val="00811A95"/>
    <w:rsid w:val="00811E77"/>
    <w:rsid w:val="00812B9B"/>
    <w:rsid w:val="00813931"/>
    <w:rsid w:val="00814A24"/>
    <w:rsid w:val="00815AA0"/>
    <w:rsid w:val="00815D03"/>
    <w:rsid w:val="00816BB4"/>
    <w:rsid w:val="00816BDB"/>
    <w:rsid w:val="00817A43"/>
    <w:rsid w:val="00820203"/>
    <w:rsid w:val="0082085C"/>
    <w:rsid w:val="0082263A"/>
    <w:rsid w:val="00823B2B"/>
    <w:rsid w:val="00824716"/>
    <w:rsid w:val="00824E33"/>
    <w:rsid w:val="00825614"/>
    <w:rsid w:val="00825A19"/>
    <w:rsid w:val="00827C9D"/>
    <w:rsid w:val="00831437"/>
    <w:rsid w:val="00832C7A"/>
    <w:rsid w:val="008346C6"/>
    <w:rsid w:val="00834723"/>
    <w:rsid w:val="00834DB5"/>
    <w:rsid w:val="008351AB"/>
    <w:rsid w:val="0083552A"/>
    <w:rsid w:val="00836122"/>
    <w:rsid w:val="00837178"/>
    <w:rsid w:val="00837B90"/>
    <w:rsid w:val="00837DA4"/>
    <w:rsid w:val="00840E79"/>
    <w:rsid w:val="0084126F"/>
    <w:rsid w:val="00841C8C"/>
    <w:rsid w:val="0084576F"/>
    <w:rsid w:val="00845B15"/>
    <w:rsid w:val="00845B21"/>
    <w:rsid w:val="0084628A"/>
    <w:rsid w:val="00846D1E"/>
    <w:rsid w:val="00847856"/>
    <w:rsid w:val="00847A8E"/>
    <w:rsid w:val="00850A3E"/>
    <w:rsid w:val="00850E0F"/>
    <w:rsid w:val="00851AC2"/>
    <w:rsid w:val="0085223E"/>
    <w:rsid w:val="0085351B"/>
    <w:rsid w:val="008549B2"/>
    <w:rsid w:val="00854A78"/>
    <w:rsid w:val="00854FF9"/>
    <w:rsid w:val="008571B4"/>
    <w:rsid w:val="008577F2"/>
    <w:rsid w:val="00860393"/>
    <w:rsid w:val="00860596"/>
    <w:rsid w:val="00860FD2"/>
    <w:rsid w:val="00861072"/>
    <w:rsid w:val="0086200C"/>
    <w:rsid w:val="0086284F"/>
    <w:rsid w:val="008632AC"/>
    <w:rsid w:val="00863A75"/>
    <w:rsid w:val="00865FEA"/>
    <w:rsid w:val="00867D97"/>
    <w:rsid w:val="00870074"/>
    <w:rsid w:val="00870E9A"/>
    <w:rsid w:val="008711D8"/>
    <w:rsid w:val="00871C1D"/>
    <w:rsid w:val="00872E36"/>
    <w:rsid w:val="00873411"/>
    <w:rsid w:val="00873B02"/>
    <w:rsid w:val="008749A4"/>
    <w:rsid w:val="008754A6"/>
    <w:rsid w:val="00875653"/>
    <w:rsid w:val="00877E13"/>
    <w:rsid w:val="00882727"/>
    <w:rsid w:val="00883849"/>
    <w:rsid w:val="00883F5A"/>
    <w:rsid w:val="00884C6D"/>
    <w:rsid w:val="00885A64"/>
    <w:rsid w:val="00887AFF"/>
    <w:rsid w:val="00890F14"/>
    <w:rsid w:val="008917F7"/>
    <w:rsid w:val="0089191A"/>
    <w:rsid w:val="00891C3E"/>
    <w:rsid w:val="008923B4"/>
    <w:rsid w:val="008926D9"/>
    <w:rsid w:val="00893C0B"/>
    <w:rsid w:val="008941F5"/>
    <w:rsid w:val="00894B62"/>
    <w:rsid w:val="008974E5"/>
    <w:rsid w:val="008A04B2"/>
    <w:rsid w:val="008A054C"/>
    <w:rsid w:val="008A2D06"/>
    <w:rsid w:val="008A3F0E"/>
    <w:rsid w:val="008A4A32"/>
    <w:rsid w:val="008A543A"/>
    <w:rsid w:val="008A5760"/>
    <w:rsid w:val="008A5AFB"/>
    <w:rsid w:val="008A6664"/>
    <w:rsid w:val="008B183D"/>
    <w:rsid w:val="008B19F5"/>
    <w:rsid w:val="008B1DA5"/>
    <w:rsid w:val="008B274A"/>
    <w:rsid w:val="008B4186"/>
    <w:rsid w:val="008B50EA"/>
    <w:rsid w:val="008B58B2"/>
    <w:rsid w:val="008B5C0E"/>
    <w:rsid w:val="008C099D"/>
    <w:rsid w:val="008C0EF4"/>
    <w:rsid w:val="008C1B04"/>
    <w:rsid w:val="008C1C76"/>
    <w:rsid w:val="008C274B"/>
    <w:rsid w:val="008C35D1"/>
    <w:rsid w:val="008C52BF"/>
    <w:rsid w:val="008C5CC2"/>
    <w:rsid w:val="008C62A2"/>
    <w:rsid w:val="008C6EA2"/>
    <w:rsid w:val="008C7A6A"/>
    <w:rsid w:val="008C7D6F"/>
    <w:rsid w:val="008D163C"/>
    <w:rsid w:val="008D1B1B"/>
    <w:rsid w:val="008D1C15"/>
    <w:rsid w:val="008D1C99"/>
    <w:rsid w:val="008D1EF6"/>
    <w:rsid w:val="008D28C1"/>
    <w:rsid w:val="008D310A"/>
    <w:rsid w:val="008D3AC7"/>
    <w:rsid w:val="008D3BAE"/>
    <w:rsid w:val="008D4DC1"/>
    <w:rsid w:val="008D781B"/>
    <w:rsid w:val="008E0AFD"/>
    <w:rsid w:val="008E10A3"/>
    <w:rsid w:val="008E1760"/>
    <w:rsid w:val="008E1ABD"/>
    <w:rsid w:val="008E20C2"/>
    <w:rsid w:val="008E2757"/>
    <w:rsid w:val="008E2A16"/>
    <w:rsid w:val="008E3882"/>
    <w:rsid w:val="008E65EB"/>
    <w:rsid w:val="008F240A"/>
    <w:rsid w:val="008F309C"/>
    <w:rsid w:val="008F41B9"/>
    <w:rsid w:val="008F5900"/>
    <w:rsid w:val="00900433"/>
    <w:rsid w:val="0090060A"/>
    <w:rsid w:val="00900B8D"/>
    <w:rsid w:val="009017C7"/>
    <w:rsid w:val="00901E97"/>
    <w:rsid w:val="00903804"/>
    <w:rsid w:val="00903EA8"/>
    <w:rsid w:val="009066BB"/>
    <w:rsid w:val="00906ED2"/>
    <w:rsid w:val="00907D7D"/>
    <w:rsid w:val="00907D8D"/>
    <w:rsid w:val="00910EE3"/>
    <w:rsid w:val="00911735"/>
    <w:rsid w:val="009120BA"/>
    <w:rsid w:val="0091278B"/>
    <w:rsid w:val="00912936"/>
    <w:rsid w:val="009142ED"/>
    <w:rsid w:val="00914372"/>
    <w:rsid w:val="009143A7"/>
    <w:rsid w:val="00915F4F"/>
    <w:rsid w:val="009171F7"/>
    <w:rsid w:val="0091764F"/>
    <w:rsid w:val="00922FC7"/>
    <w:rsid w:val="0092376A"/>
    <w:rsid w:val="0092474C"/>
    <w:rsid w:val="00925F2F"/>
    <w:rsid w:val="009279C6"/>
    <w:rsid w:val="009311F7"/>
    <w:rsid w:val="009321DE"/>
    <w:rsid w:val="009353A7"/>
    <w:rsid w:val="009365F5"/>
    <w:rsid w:val="009369DA"/>
    <w:rsid w:val="00936A12"/>
    <w:rsid w:val="009406FF"/>
    <w:rsid w:val="00940C1D"/>
    <w:rsid w:val="00940CDE"/>
    <w:rsid w:val="0094117B"/>
    <w:rsid w:val="00942856"/>
    <w:rsid w:val="0094302A"/>
    <w:rsid w:val="00943F99"/>
    <w:rsid w:val="00945E0A"/>
    <w:rsid w:val="0094647A"/>
    <w:rsid w:val="009467DF"/>
    <w:rsid w:val="00946FC0"/>
    <w:rsid w:val="00947081"/>
    <w:rsid w:val="009477CD"/>
    <w:rsid w:val="00947979"/>
    <w:rsid w:val="0095013E"/>
    <w:rsid w:val="00950B6A"/>
    <w:rsid w:val="009513A6"/>
    <w:rsid w:val="00952992"/>
    <w:rsid w:val="00952B54"/>
    <w:rsid w:val="00952DBE"/>
    <w:rsid w:val="0095365F"/>
    <w:rsid w:val="009561A1"/>
    <w:rsid w:val="0095646A"/>
    <w:rsid w:val="00956C7D"/>
    <w:rsid w:val="0095728C"/>
    <w:rsid w:val="00960F8E"/>
    <w:rsid w:val="00961F88"/>
    <w:rsid w:val="0096218A"/>
    <w:rsid w:val="009622F9"/>
    <w:rsid w:val="00962877"/>
    <w:rsid w:val="0096297D"/>
    <w:rsid w:val="00962FB2"/>
    <w:rsid w:val="00963138"/>
    <w:rsid w:val="009636EF"/>
    <w:rsid w:val="00966D1A"/>
    <w:rsid w:val="00967445"/>
    <w:rsid w:val="0097087A"/>
    <w:rsid w:val="00970E6D"/>
    <w:rsid w:val="0097157E"/>
    <w:rsid w:val="00974E72"/>
    <w:rsid w:val="009757E7"/>
    <w:rsid w:val="00975ECA"/>
    <w:rsid w:val="00976D57"/>
    <w:rsid w:val="00976DF7"/>
    <w:rsid w:val="00976F4B"/>
    <w:rsid w:val="009775E3"/>
    <w:rsid w:val="00977A3D"/>
    <w:rsid w:val="00977C08"/>
    <w:rsid w:val="00981062"/>
    <w:rsid w:val="009817CB"/>
    <w:rsid w:val="0098196E"/>
    <w:rsid w:val="00981B4B"/>
    <w:rsid w:val="00981B85"/>
    <w:rsid w:val="00981C44"/>
    <w:rsid w:val="009838A2"/>
    <w:rsid w:val="00984A83"/>
    <w:rsid w:val="00985D95"/>
    <w:rsid w:val="00986745"/>
    <w:rsid w:val="00986C85"/>
    <w:rsid w:val="0098745D"/>
    <w:rsid w:val="00990F41"/>
    <w:rsid w:val="0099112C"/>
    <w:rsid w:val="009911E8"/>
    <w:rsid w:val="00991294"/>
    <w:rsid w:val="00992D60"/>
    <w:rsid w:val="009936F7"/>
    <w:rsid w:val="009948E1"/>
    <w:rsid w:val="009949EC"/>
    <w:rsid w:val="00995854"/>
    <w:rsid w:val="009962D9"/>
    <w:rsid w:val="00996956"/>
    <w:rsid w:val="009976E6"/>
    <w:rsid w:val="0099770F"/>
    <w:rsid w:val="00997CAF"/>
    <w:rsid w:val="009A0A9C"/>
    <w:rsid w:val="009A1092"/>
    <w:rsid w:val="009A28F4"/>
    <w:rsid w:val="009A2BC1"/>
    <w:rsid w:val="009A5F83"/>
    <w:rsid w:val="009A7A47"/>
    <w:rsid w:val="009A7A6E"/>
    <w:rsid w:val="009B10A6"/>
    <w:rsid w:val="009B1C46"/>
    <w:rsid w:val="009B2FA0"/>
    <w:rsid w:val="009B42FD"/>
    <w:rsid w:val="009B4DE4"/>
    <w:rsid w:val="009B4E74"/>
    <w:rsid w:val="009B5007"/>
    <w:rsid w:val="009B6CD6"/>
    <w:rsid w:val="009B768C"/>
    <w:rsid w:val="009B76C0"/>
    <w:rsid w:val="009B7F70"/>
    <w:rsid w:val="009C0ECA"/>
    <w:rsid w:val="009C2508"/>
    <w:rsid w:val="009C31DA"/>
    <w:rsid w:val="009C3D12"/>
    <w:rsid w:val="009C4CD0"/>
    <w:rsid w:val="009C55A0"/>
    <w:rsid w:val="009C67BB"/>
    <w:rsid w:val="009C798A"/>
    <w:rsid w:val="009D25EB"/>
    <w:rsid w:val="009D2C5A"/>
    <w:rsid w:val="009D415E"/>
    <w:rsid w:val="009D4184"/>
    <w:rsid w:val="009D43CE"/>
    <w:rsid w:val="009D5091"/>
    <w:rsid w:val="009D59A8"/>
    <w:rsid w:val="009D74DB"/>
    <w:rsid w:val="009D76B6"/>
    <w:rsid w:val="009E142A"/>
    <w:rsid w:val="009E1C72"/>
    <w:rsid w:val="009E244A"/>
    <w:rsid w:val="009E2E83"/>
    <w:rsid w:val="009E32B0"/>
    <w:rsid w:val="009E3933"/>
    <w:rsid w:val="009E3FF1"/>
    <w:rsid w:val="009E42DF"/>
    <w:rsid w:val="009E4986"/>
    <w:rsid w:val="009E49C8"/>
    <w:rsid w:val="009E5B78"/>
    <w:rsid w:val="009E6C2E"/>
    <w:rsid w:val="009F3E85"/>
    <w:rsid w:val="009F4E3F"/>
    <w:rsid w:val="009F6AC6"/>
    <w:rsid w:val="009F7302"/>
    <w:rsid w:val="009F7548"/>
    <w:rsid w:val="00A0054D"/>
    <w:rsid w:val="00A00800"/>
    <w:rsid w:val="00A009B1"/>
    <w:rsid w:val="00A00D0F"/>
    <w:rsid w:val="00A0310F"/>
    <w:rsid w:val="00A03E61"/>
    <w:rsid w:val="00A04A7E"/>
    <w:rsid w:val="00A050F1"/>
    <w:rsid w:val="00A059A2"/>
    <w:rsid w:val="00A05EBC"/>
    <w:rsid w:val="00A05F03"/>
    <w:rsid w:val="00A07263"/>
    <w:rsid w:val="00A1011B"/>
    <w:rsid w:val="00A104DF"/>
    <w:rsid w:val="00A10663"/>
    <w:rsid w:val="00A10E8D"/>
    <w:rsid w:val="00A110A9"/>
    <w:rsid w:val="00A111CF"/>
    <w:rsid w:val="00A11822"/>
    <w:rsid w:val="00A12BEB"/>
    <w:rsid w:val="00A1365C"/>
    <w:rsid w:val="00A13C70"/>
    <w:rsid w:val="00A1634F"/>
    <w:rsid w:val="00A16A37"/>
    <w:rsid w:val="00A16EBB"/>
    <w:rsid w:val="00A17E94"/>
    <w:rsid w:val="00A202A5"/>
    <w:rsid w:val="00A204BD"/>
    <w:rsid w:val="00A2327D"/>
    <w:rsid w:val="00A23C75"/>
    <w:rsid w:val="00A2456D"/>
    <w:rsid w:val="00A24E9E"/>
    <w:rsid w:val="00A252FF"/>
    <w:rsid w:val="00A272E4"/>
    <w:rsid w:val="00A27C7B"/>
    <w:rsid w:val="00A3013E"/>
    <w:rsid w:val="00A30809"/>
    <w:rsid w:val="00A3093A"/>
    <w:rsid w:val="00A3130D"/>
    <w:rsid w:val="00A3155F"/>
    <w:rsid w:val="00A31688"/>
    <w:rsid w:val="00A32458"/>
    <w:rsid w:val="00A32500"/>
    <w:rsid w:val="00A32BDE"/>
    <w:rsid w:val="00A3380D"/>
    <w:rsid w:val="00A33C8D"/>
    <w:rsid w:val="00A33E1A"/>
    <w:rsid w:val="00A35276"/>
    <w:rsid w:val="00A3542C"/>
    <w:rsid w:val="00A36540"/>
    <w:rsid w:val="00A36566"/>
    <w:rsid w:val="00A36858"/>
    <w:rsid w:val="00A4001B"/>
    <w:rsid w:val="00A40081"/>
    <w:rsid w:val="00A4085D"/>
    <w:rsid w:val="00A42509"/>
    <w:rsid w:val="00A42B5E"/>
    <w:rsid w:val="00A42DEB"/>
    <w:rsid w:val="00A42EB3"/>
    <w:rsid w:val="00A43724"/>
    <w:rsid w:val="00A43EEE"/>
    <w:rsid w:val="00A442E7"/>
    <w:rsid w:val="00A44F41"/>
    <w:rsid w:val="00A45397"/>
    <w:rsid w:val="00A458A0"/>
    <w:rsid w:val="00A475BF"/>
    <w:rsid w:val="00A47BE5"/>
    <w:rsid w:val="00A50044"/>
    <w:rsid w:val="00A5018B"/>
    <w:rsid w:val="00A53B75"/>
    <w:rsid w:val="00A543D8"/>
    <w:rsid w:val="00A552C2"/>
    <w:rsid w:val="00A5740A"/>
    <w:rsid w:val="00A60B90"/>
    <w:rsid w:val="00A611E3"/>
    <w:rsid w:val="00A62633"/>
    <w:rsid w:val="00A64235"/>
    <w:rsid w:val="00A64981"/>
    <w:rsid w:val="00A66744"/>
    <w:rsid w:val="00A66DBA"/>
    <w:rsid w:val="00A66EAB"/>
    <w:rsid w:val="00A66EDE"/>
    <w:rsid w:val="00A671D8"/>
    <w:rsid w:val="00A67553"/>
    <w:rsid w:val="00A67D98"/>
    <w:rsid w:val="00A706A2"/>
    <w:rsid w:val="00A72819"/>
    <w:rsid w:val="00A72E02"/>
    <w:rsid w:val="00A734F8"/>
    <w:rsid w:val="00A74688"/>
    <w:rsid w:val="00A7693F"/>
    <w:rsid w:val="00A76A2E"/>
    <w:rsid w:val="00A80E28"/>
    <w:rsid w:val="00A81493"/>
    <w:rsid w:val="00A82F80"/>
    <w:rsid w:val="00A83981"/>
    <w:rsid w:val="00A85755"/>
    <w:rsid w:val="00A86031"/>
    <w:rsid w:val="00A90887"/>
    <w:rsid w:val="00A917D8"/>
    <w:rsid w:val="00A92176"/>
    <w:rsid w:val="00A9276F"/>
    <w:rsid w:val="00A94AD7"/>
    <w:rsid w:val="00A952D8"/>
    <w:rsid w:val="00A9606F"/>
    <w:rsid w:val="00A966F2"/>
    <w:rsid w:val="00A969A4"/>
    <w:rsid w:val="00A971EF"/>
    <w:rsid w:val="00A9752B"/>
    <w:rsid w:val="00A97651"/>
    <w:rsid w:val="00A97801"/>
    <w:rsid w:val="00A9780A"/>
    <w:rsid w:val="00A97FFD"/>
    <w:rsid w:val="00AA04A3"/>
    <w:rsid w:val="00AA1E3D"/>
    <w:rsid w:val="00AA1EB0"/>
    <w:rsid w:val="00AA2C93"/>
    <w:rsid w:val="00AA2D76"/>
    <w:rsid w:val="00AA61D0"/>
    <w:rsid w:val="00AA61DD"/>
    <w:rsid w:val="00AA6342"/>
    <w:rsid w:val="00AA66A5"/>
    <w:rsid w:val="00AB2445"/>
    <w:rsid w:val="00AB3047"/>
    <w:rsid w:val="00AB343A"/>
    <w:rsid w:val="00AB39F1"/>
    <w:rsid w:val="00AB68AA"/>
    <w:rsid w:val="00AB7C15"/>
    <w:rsid w:val="00AC0A7B"/>
    <w:rsid w:val="00AC1834"/>
    <w:rsid w:val="00AC1BAC"/>
    <w:rsid w:val="00AC27A9"/>
    <w:rsid w:val="00AC2D8C"/>
    <w:rsid w:val="00AC3C3A"/>
    <w:rsid w:val="00AC3D5B"/>
    <w:rsid w:val="00AC4084"/>
    <w:rsid w:val="00AC5F7E"/>
    <w:rsid w:val="00AD1B2F"/>
    <w:rsid w:val="00AD26E2"/>
    <w:rsid w:val="00AD2946"/>
    <w:rsid w:val="00AD2A6F"/>
    <w:rsid w:val="00AD480B"/>
    <w:rsid w:val="00AD4A3D"/>
    <w:rsid w:val="00AD7B60"/>
    <w:rsid w:val="00AE18AD"/>
    <w:rsid w:val="00AE1C84"/>
    <w:rsid w:val="00AE2325"/>
    <w:rsid w:val="00AE39CC"/>
    <w:rsid w:val="00AE3BFA"/>
    <w:rsid w:val="00AE4810"/>
    <w:rsid w:val="00AE57B8"/>
    <w:rsid w:val="00AE634C"/>
    <w:rsid w:val="00AE6412"/>
    <w:rsid w:val="00AE6770"/>
    <w:rsid w:val="00AE6983"/>
    <w:rsid w:val="00AF09FA"/>
    <w:rsid w:val="00AF1B1F"/>
    <w:rsid w:val="00AF1CB6"/>
    <w:rsid w:val="00AF3017"/>
    <w:rsid w:val="00AF35D0"/>
    <w:rsid w:val="00AF3F19"/>
    <w:rsid w:val="00AF46D3"/>
    <w:rsid w:val="00AF6317"/>
    <w:rsid w:val="00AF683B"/>
    <w:rsid w:val="00AF6D40"/>
    <w:rsid w:val="00AF774D"/>
    <w:rsid w:val="00B0261E"/>
    <w:rsid w:val="00B03CD8"/>
    <w:rsid w:val="00B04310"/>
    <w:rsid w:val="00B0431E"/>
    <w:rsid w:val="00B04A6E"/>
    <w:rsid w:val="00B04B72"/>
    <w:rsid w:val="00B0500E"/>
    <w:rsid w:val="00B05039"/>
    <w:rsid w:val="00B06EF9"/>
    <w:rsid w:val="00B0723C"/>
    <w:rsid w:val="00B0732B"/>
    <w:rsid w:val="00B07658"/>
    <w:rsid w:val="00B104C6"/>
    <w:rsid w:val="00B107A0"/>
    <w:rsid w:val="00B10C8E"/>
    <w:rsid w:val="00B1109D"/>
    <w:rsid w:val="00B110B0"/>
    <w:rsid w:val="00B11408"/>
    <w:rsid w:val="00B12866"/>
    <w:rsid w:val="00B12B3D"/>
    <w:rsid w:val="00B144AA"/>
    <w:rsid w:val="00B163CD"/>
    <w:rsid w:val="00B200B2"/>
    <w:rsid w:val="00B206B1"/>
    <w:rsid w:val="00B2146F"/>
    <w:rsid w:val="00B21766"/>
    <w:rsid w:val="00B22451"/>
    <w:rsid w:val="00B23FBA"/>
    <w:rsid w:val="00B23FFD"/>
    <w:rsid w:val="00B24579"/>
    <w:rsid w:val="00B2671F"/>
    <w:rsid w:val="00B26A97"/>
    <w:rsid w:val="00B26BF2"/>
    <w:rsid w:val="00B2760F"/>
    <w:rsid w:val="00B3173E"/>
    <w:rsid w:val="00B31A0E"/>
    <w:rsid w:val="00B32222"/>
    <w:rsid w:val="00B324EE"/>
    <w:rsid w:val="00B334A6"/>
    <w:rsid w:val="00B33889"/>
    <w:rsid w:val="00B33CCA"/>
    <w:rsid w:val="00B3426F"/>
    <w:rsid w:val="00B36601"/>
    <w:rsid w:val="00B37127"/>
    <w:rsid w:val="00B408EE"/>
    <w:rsid w:val="00B40C2C"/>
    <w:rsid w:val="00B40F53"/>
    <w:rsid w:val="00B41261"/>
    <w:rsid w:val="00B4331B"/>
    <w:rsid w:val="00B445EC"/>
    <w:rsid w:val="00B476EA"/>
    <w:rsid w:val="00B47C0B"/>
    <w:rsid w:val="00B50BDC"/>
    <w:rsid w:val="00B518A5"/>
    <w:rsid w:val="00B54214"/>
    <w:rsid w:val="00B558C0"/>
    <w:rsid w:val="00B55E1D"/>
    <w:rsid w:val="00B56A94"/>
    <w:rsid w:val="00B56FD4"/>
    <w:rsid w:val="00B57F24"/>
    <w:rsid w:val="00B603D3"/>
    <w:rsid w:val="00B60E55"/>
    <w:rsid w:val="00B63622"/>
    <w:rsid w:val="00B641F1"/>
    <w:rsid w:val="00B64E7E"/>
    <w:rsid w:val="00B65000"/>
    <w:rsid w:val="00B66803"/>
    <w:rsid w:val="00B67014"/>
    <w:rsid w:val="00B672B4"/>
    <w:rsid w:val="00B7010A"/>
    <w:rsid w:val="00B72554"/>
    <w:rsid w:val="00B72F6B"/>
    <w:rsid w:val="00B72FED"/>
    <w:rsid w:val="00B73AFB"/>
    <w:rsid w:val="00B73C9E"/>
    <w:rsid w:val="00B7619D"/>
    <w:rsid w:val="00B76E31"/>
    <w:rsid w:val="00B77A6E"/>
    <w:rsid w:val="00B804ED"/>
    <w:rsid w:val="00B8085A"/>
    <w:rsid w:val="00B80DD5"/>
    <w:rsid w:val="00B81B77"/>
    <w:rsid w:val="00B8335A"/>
    <w:rsid w:val="00B83E49"/>
    <w:rsid w:val="00B83EED"/>
    <w:rsid w:val="00B86268"/>
    <w:rsid w:val="00B86A12"/>
    <w:rsid w:val="00B902DD"/>
    <w:rsid w:val="00B903DD"/>
    <w:rsid w:val="00B90DE6"/>
    <w:rsid w:val="00B9110D"/>
    <w:rsid w:val="00B9256E"/>
    <w:rsid w:val="00B925C1"/>
    <w:rsid w:val="00B92B6E"/>
    <w:rsid w:val="00B97A56"/>
    <w:rsid w:val="00BA0708"/>
    <w:rsid w:val="00BA072A"/>
    <w:rsid w:val="00BA182F"/>
    <w:rsid w:val="00BA19A5"/>
    <w:rsid w:val="00BA3304"/>
    <w:rsid w:val="00BA33B3"/>
    <w:rsid w:val="00BA33F8"/>
    <w:rsid w:val="00BA39F4"/>
    <w:rsid w:val="00BA4E1B"/>
    <w:rsid w:val="00BA6235"/>
    <w:rsid w:val="00BA7690"/>
    <w:rsid w:val="00BB184E"/>
    <w:rsid w:val="00BB2894"/>
    <w:rsid w:val="00BB450F"/>
    <w:rsid w:val="00BB4877"/>
    <w:rsid w:val="00BB48B4"/>
    <w:rsid w:val="00BB6DDC"/>
    <w:rsid w:val="00BB6E57"/>
    <w:rsid w:val="00BC013D"/>
    <w:rsid w:val="00BC0973"/>
    <w:rsid w:val="00BC13F3"/>
    <w:rsid w:val="00BC21A8"/>
    <w:rsid w:val="00BC28EB"/>
    <w:rsid w:val="00BC2B0A"/>
    <w:rsid w:val="00BC2F9B"/>
    <w:rsid w:val="00BC2FFB"/>
    <w:rsid w:val="00BC3848"/>
    <w:rsid w:val="00BC3EDA"/>
    <w:rsid w:val="00BC4138"/>
    <w:rsid w:val="00BC491B"/>
    <w:rsid w:val="00BC4F07"/>
    <w:rsid w:val="00BC618C"/>
    <w:rsid w:val="00BC61B8"/>
    <w:rsid w:val="00BD1417"/>
    <w:rsid w:val="00BD1678"/>
    <w:rsid w:val="00BD17AF"/>
    <w:rsid w:val="00BD3B01"/>
    <w:rsid w:val="00BD447E"/>
    <w:rsid w:val="00BD4CB8"/>
    <w:rsid w:val="00BD697C"/>
    <w:rsid w:val="00BE0124"/>
    <w:rsid w:val="00BE127C"/>
    <w:rsid w:val="00BE1BAC"/>
    <w:rsid w:val="00BE223C"/>
    <w:rsid w:val="00BE2275"/>
    <w:rsid w:val="00BE2F40"/>
    <w:rsid w:val="00BE36F7"/>
    <w:rsid w:val="00BE58BA"/>
    <w:rsid w:val="00BE5980"/>
    <w:rsid w:val="00BE6CD2"/>
    <w:rsid w:val="00BF0A35"/>
    <w:rsid w:val="00BF1A17"/>
    <w:rsid w:val="00BF35F9"/>
    <w:rsid w:val="00BF5963"/>
    <w:rsid w:val="00BF5AE5"/>
    <w:rsid w:val="00BF5FFD"/>
    <w:rsid w:val="00BF6586"/>
    <w:rsid w:val="00BF6E55"/>
    <w:rsid w:val="00BF7187"/>
    <w:rsid w:val="00BF7D93"/>
    <w:rsid w:val="00C00E21"/>
    <w:rsid w:val="00C012E5"/>
    <w:rsid w:val="00C01963"/>
    <w:rsid w:val="00C04198"/>
    <w:rsid w:val="00C048E9"/>
    <w:rsid w:val="00C04C5E"/>
    <w:rsid w:val="00C05399"/>
    <w:rsid w:val="00C06ECC"/>
    <w:rsid w:val="00C0770C"/>
    <w:rsid w:val="00C07938"/>
    <w:rsid w:val="00C07FDF"/>
    <w:rsid w:val="00C1045D"/>
    <w:rsid w:val="00C114D1"/>
    <w:rsid w:val="00C12568"/>
    <w:rsid w:val="00C1337E"/>
    <w:rsid w:val="00C14273"/>
    <w:rsid w:val="00C14AD0"/>
    <w:rsid w:val="00C22409"/>
    <w:rsid w:val="00C233E8"/>
    <w:rsid w:val="00C23531"/>
    <w:rsid w:val="00C25C2C"/>
    <w:rsid w:val="00C262F4"/>
    <w:rsid w:val="00C26342"/>
    <w:rsid w:val="00C27F94"/>
    <w:rsid w:val="00C30453"/>
    <w:rsid w:val="00C308F4"/>
    <w:rsid w:val="00C3259B"/>
    <w:rsid w:val="00C329BE"/>
    <w:rsid w:val="00C33088"/>
    <w:rsid w:val="00C3487B"/>
    <w:rsid w:val="00C350C9"/>
    <w:rsid w:val="00C3589B"/>
    <w:rsid w:val="00C36441"/>
    <w:rsid w:val="00C37783"/>
    <w:rsid w:val="00C40BC0"/>
    <w:rsid w:val="00C43A81"/>
    <w:rsid w:val="00C46CA6"/>
    <w:rsid w:val="00C50425"/>
    <w:rsid w:val="00C507A5"/>
    <w:rsid w:val="00C5170F"/>
    <w:rsid w:val="00C5177C"/>
    <w:rsid w:val="00C51FD2"/>
    <w:rsid w:val="00C527A7"/>
    <w:rsid w:val="00C52F10"/>
    <w:rsid w:val="00C537A3"/>
    <w:rsid w:val="00C5607A"/>
    <w:rsid w:val="00C56812"/>
    <w:rsid w:val="00C60115"/>
    <w:rsid w:val="00C60B81"/>
    <w:rsid w:val="00C60DB2"/>
    <w:rsid w:val="00C61001"/>
    <w:rsid w:val="00C61577"/>
    <w:rsid w:val="00C62CD7"/>
    <w:rsid w:val="00C63F02"/>
    <w:rsid w:val="00C641CC"/>
    <w:rsid w:val="00C645E4"/>
    <w:rsid w:val="00C667E7"/>
    <w:rsid w:val="00C67C2E"/>
    <w:rsid w:val="00C67E5F"/>
    <w:rsid w:val="00C71123"/>
    <w:rsid w:val="00C719B3"/>
    <w:rsid w:val="00C7238C"/>
    <w:rsid w:val="00C7269C"/>
    <w:rsid w:val="00C74196"/>
    <w:rsid w:val="00C744C1"/>
    <w:rsid w:val="00C74BFD"/>
    <w:rsid w:val="00C74F57"/>
    <w:rsid w:val="00C75132"/>
    <w:rsid w:val="00C75884"/>
    <w:rsid w:val="00C7658E"/>
    <w:rsid w:val="00C77F76"/>
    <w:rsid w:val="00C8208A"/>
    <w:rsid w:val="00C83D10"/>
    <w:rsid w:val="00C84FFF"/>
    <w:rsid w:val="00C8577B"/>
    <w:rsid w:val="00C85803"/>
    <w:rsid w:val="00C85E7B"/>
    <w:rsid w:val="00C86145"/>
    <w:rsid w:val="00C861D3"/>
    <w:rsid w:val="00C86515"/>
    <w:rsid w:val="00C87BC3"/>
    <w:rsid w:val="00C91B46"/>
    <w:rsid w:val="00C9255D"/>
    <w:rsid w:val="00C930D2"/>
    <w:rsid w:val="00C941F1"/>
    <w:rsid w:val="00C94263"/>
    <w:rsid w:val="00C9449B"/>
    <w:rsid w:val="00C94926"/>
    <w:rsid w:val="00CA0651"/>
    <w:rsid w:val="00CA094B"/>
    <w:rsid w:val="00CA0DFE"/>
    <w:rsid w:val="00CA13D5"/>
    <w:rsid w:val="00CA159D"/>
    <w:rsid w:val="00CA48D3"/>
    <w:rsid w:val="00CA4B0E"/>
    <w:rsid w:val="00CA52D6"/>
    <w:rsid w:val="00CA54A9"/>
    <w:rsid w:val="00CA6964"/>
    <w:rsid w:val="00CA71E2"/>
    <w:rsid w:val="00CB041B"/>
    <w:rsid w:val="00CB0CB3"/>
    <w:rsid w:val="00CB0E81"/>
    <w:rsid w:val="00CB1699"/>
    <w:rsid w:val="00CB562E"/>
    <w:rsid w:val="00CB5C1F"/>
    <w:rsid w:val="00CB6401"/>
    <w:rsid w:val="00CB645F"/>
    <w:rsid w:val="00CB6885"/>
    <w:rsid w:val="00CB7C95"/>
    <w:rsid w:val="00CB7D4A"/>
    <w:rsid w:val="00CC24FF"/>
    <w:rsid w:val="00CC253A"/>
    <w:rsid w:val="00CC299B"/>
    <w:rsid w:val="00CC6375"/>
    <w:rsid w:val="00CC7058"/>
    <w:rsid w:val="00CC741F"/>
    <w:rsid w:val="00CC7CE2"/>
    <w:rsid w:val="00CD0C1A"/>
    <w:rsid w:val="00CD1F3F"/>
    <w:rsid w:val="00CD356B"/>
    <w:rsid w:val="00CD444F"/>
    <w:rsid w:val="00CD4C0B"/>
    <w:rsid w:val="00CD5DA8"/>
    <w:rsid w:val="00CD5F1F"/>
    <w:rsid w:val="00CD6CB0"/>
    <w:rsid w:val="00CD7EB2"/>
    <w:rsid w:val="00CD7F9B"/>
    <w:rsid w:val="00CE1691"/>
    <w:rsid w:val="00CE34A6"/>
    <w:rsid w:val="00CE534F"/>
    <w:rsid w:val="00CE5E1C"/>
    <w:rsid w:val="00CE5F6C"/>
    <w:rsid w:val="00CE6519"/>
    <w:rsid w:val="00CE6CE7"/>
    <w:rsid w:val="00CE6FE4"/>
    <w:rsid w:val="00CF0E55"/>
    <w:rsid w:val="00CF14C7"/>
    <w:rsid w:val="00CF1817"/>
    <w:rsid w:val="00CF2464"/>
    <w:rsid w:val="00CF3DCF"/>
    <w:rsid w:val="00CF3F2E"/>
    <w:rsid w:val="00CF4AF1"/>
    <w:rsid w:val="00CF5191"/>
    <w:rsid w:val="00D00A8D"/>
    <w:rsid w:val="00D024DF"/>
    <w:rsid w:val="00D02D59"/>
    <w:rsid w:val="00D03BD0"/>
    <w:rsid w:val="00D04C94"/>
    <w:rsid w:val="00D05729"/>
    <w:rsid w:val="00D05E58"/>
    <w:rsid w:val="00D0683C"/>
    <w:rsid w:val="00D06EB1"/>
    <w:rsid w:val="00D1186F"/>
    <w:rsid w:val="00D132C8"/>
    <w:rsid w:val="00D13999"/>
    <w:rsid w:val="00D144D1"/>
    <w:rsid w:val="00D14D87"/>
    <w:rsid w:val="00D1623C"/>
    <w:rsid w:val="00D162C9"/>
    <w:rsid w:val="00D164DA"/>
    <w:rsid w:val="00D17856"/>
    <w:rsid w:val="00D20922"/>
    <w:rsid w:val="00D22F93"/>
    <w:rsid w:val="00D264C1"/>
    <w:rsid w:val="00D270F6"/>
    <w:rsid w:val="00D301CE"/>
    <w:rsid w:val="00D310EA"/>
    <w:rsid w:val="00D3137D"/>
    <w:rsid w:val="00D3259D"/>
    <w:rsid w:val="00D3378A"/>
    <w:rsid w:val="00D33E65"/>
    <w:rsid w:val="00D34B35"/>
    <w:rsid w:val="00D34E89"/>
    <w:rsid w:val="00D350AF"/>
    <w:rsid w:val="00D36830"/>
    <w:rsid w:val="00D36E17"/>
    <w:rsid w:val="00D373F9"/>
    <w:rsid w:val="00D37A4C"/>
    <w:rsid w:val="00D37CD5"/>
    <w:rsid w:val="00D4163E"/>
    <w:rsid w:val="00D41CAD"/>
    <w:rsid w:val="00D41E47"/>
    <w:rsid w:val="00D42B40"/>
    <w:rsid w:val="00D45299"/>
    <w:rsid w:val="00D478FD"/>
    <w:rsid w:val="00D47A71"/>
    <w:rsid w:val="00D51A47"/>
    <w:rsid w:val="00D524D5"/>
    <w:rsid w:val="00D52786"/>
    <w:rsid w:val="00D528D0"/>
    <w:rsid w:val="00D52E7F"/>
    <w:rsid w:val="00D5376A"/>
    <w:rsid w:val="00D53FD1"/>
    <w:rsid w:val="00D5437D"/>
    <w:rsid w:val="00D558FA"/>
    <w:rsid w:val="00D56F8A"/>
    <w:rsid w:val="00D5723E"/>
    <w:rsid w:val="00D57472"/>
    <w:rsid w:val="00D6002A"/>
    <w:rsid w:val="00D6004C"/>
    <w:rsid w:val="00D6022E"/>
    <w:rsid w:val="00D609F9"/>
    <w:rsid w:val="00D61066"/>
    <w:rsid w:val="00D62853"/>
    <w:rsid w:val="00D630F4"/>
    <w:rsid w:val="00D64BF8"/>
    <w:rsid w:val="00D669BE"/>
    <w:rsid w:val="00D71826"/>
    <w:rsid w:val="00D7212E"/>
    <w:rsid w:val="00D732C6"/>
    <w:rsid w:val="00D734A7"/>
    <w:rsid w:val="00D7359D"/>
    <w:rsid w:val="00D7403C"/>
    <w:rsid w:val="00D74583"/>
    <w:rsid w:val="00D75671"/>
    <w:rsid w:val="00D75C34"/>
    <w:rsid w:val="00D76451"/>
    <w:rsid w:val="00D76FCA"/>
    <w:rsid w:val="00D7793A"/>
    <w:rsid w:val="00D8012B"/>
    <w:rsid w:val="00D80453"/>
    <w:rsid w:val="00D80769"/>
    <w:rsid w:val="00D80A82"/>
    <w:rsid w:val="00D81E3C"/>
    <w:rsid w:val="00D82B15"/>
    <w:rsid w:val="00D82E74"/>
    <w:rsid w:val="00D838F0"/>
    <w:rsid w:val="00D845F8"/>
    <w:rsid w:val="00D85B0A"/>
    <w:rsid w:val="00D87215"/>
    <w:rsid w:val="00D8745E"/>
    <w:rsid w:val="00D8786F"/>
    <w:rsid w:val="00D907C9"/>
    <w:rsid w:val="00D90860"/>
    <w:rsid w:val="00D91AF5"/>
    <w:rsid w:val="00D91BE1"/>
    <w:rsid w:val="00D92948"/>
    <w:rsid w:val="00D92A3D"/>
    <w:rsid w:val="00D9324B"/>
    <w:rsid w:val="00D934FF"/>
    <w:rsid w:val="00D948F7"/>
    <w:rsid w:val="00D9496B"/>
    <w:rsid w:val="00D95111"/>
    <w:rsid w:val="00D97448"/>
    <w:rsid w:val="00DA15A5"/>
    <w:rsid w:val="00DA1898"/>
    <w:rsid w:val="00DA2816"/>
    <w:rsid w:val="00DA2922"/>
    <w:rsid w:val="00DA3B2B"/>
    <w:rsid w:val="00DA46E3"/>
    <w:rsid w:val="00DA567F"/>
    <w:rsid w:val="00DA64CB"/>
    <w:rsid w:val="00DB254E"/>
    <w:rsid w:val="00DB2C37"/>
    <w:rsid w:val="00DB34E1"/>
    <w:rsid w:val="00DB462B"/>
    <w:rsid w:val="00DB4741"/>
    <w:rsid w:val="00DB4B86"/>
    <w:rsid w:val="00DB5199"/>
    <w:rsid w:val="00DB53F5"/>
    <w:rsid w:val="00DB6460"/>
    <w:rsid w:val="00DB6645"/>
    <w:rsid w:val="00DB7377"/>
    <w:rsid w:val="00DC0D21"/>
    <w:rsid w:val="00DC15D8"/>
    <w:rsid w:val="00DC2519"/>
    <w:rsid w:val="00DC3657"/>
    <w:rsid w:val="00DC39D2"/>
    <w:rsid w:val="00DC4134"/>
    <w:rsid w:val="00DC4710"/>
    <w:rsid w:val="00DC4A33"/>
    <w:rsid w:val="00DC5CFF"/>
    <w:rsid w:val="00DC6081"/>
    <w:rsid w:val="00DC7F61"/>
    <w:rsid w:val="00DD0412"/>
    <w:rsid w:val="00DD07D7"/>
    <w:rsid w:val="00DD1DF7"/>
    <w:rsid w:val="00DD1FEC"/>
    <w:rsid w:val="00DD224A"/>
    <w:rsid w:val="00DD263A"/>
    <w:rsid w:val="00DD2A00"/>
    <w:rsid w:val="00DD3332"/>
    <w:rsid w:val="00DD4BB5"/>
    <w:rsid w:val="00DD4C96"/>
    <w:rsid w:val="00DD5FC8"/>
    <w:rsid w:val="00DD62F2"/>
    <w:rsid w:val="00DD6B5C"/>
    <w:rsid w:val="00DD6DCE"/>
    <w:rsid w:val="00DD779B"/>
    <w:rsid w:val="00DE28C4"/>
    <w:rsid w:val="00DE3422"/>
    <w:rsid w:val="00DE431C"/>
    <w:rsid w:val="00DE61AD"/>
    <w:rsid w:val="00DE6485"/>
    <w:rsid w:val="00DE7549"/>
    <w:rsid w:val="00DE795E"/>
    <w:rsid w:val="00DF141E"/>
    <w:rsid w:val="00DF39E6"/>
    <w:rsid w:val="00DF43AD"/>
    <w:rsid w:val="00DF4C18"/>
    <w:rsid w:val="00DF50E8"/>
    <w:rsid w:val="00DF5450"/>
    <w:rsid w:val="00DF5926"/>
    <w:rsid w:val="00DF6787"/>
    <w:rsid w:val="00E024F3"/>
    <w:rsid w:val="00E027D7"/>
    <w:rsid w:val="00E02F69"/>
    <w:rsid w:val="00E03500"/>
    <w:rsid w:val="00E03B5D"/>
    <w:rsid w:val="00E04451"/>
    <w:rsid w:val="00E044B6"/>
    <w:rsid w:val="00E054EC"/>
    <w:rsid w:val="00E0712B"/>
    <w:rsid w:val="00E11445"/>
    <w:rsid w:val="00E119E9"/>
    <w:rsid w:val="00E11DBD"/>
    <w:rsid w:val="00E12A6C"/>
    <w:rsid w:val="00E13047"/>
    <w:rsid w:val="00E13BB0"/>
    <w:rsid w:val="00E13E24"/>
    <w:rsid w:val="00E149E2"/>
    <w:rsid w:val="00E160AA"/>
    <w:rsid w:val="00E164C3"/>
    <w:rsid w:val="00E172F3"/>
    <w:rsid w:val="00E17F07"/>
    <w:rsid w:val="00E20278"/>
    <w:rsid w:val="00E205C6"/>
    <w:rsid w:val="00E20A96"/>
    <w:rsid w:val="00E21014"/>
    <w:rsid w:val="00E222B0"/>
    <w:rsid w:val="00E23F82"/>
    <w:rsid w:val="00E249F2"/>
    <w:rsid w:val="00E2650C"/>
    <w:rsid w:val="00E26D4E"/>
    <w:rsid w:val="00E2735E"/>
    <w:rsid w:val="00E308C7"/>
    <w:rsid w:val="00E3096F"/>
    <w:rsid w:val="00E31422"/>
    <w:rsid w:val="00E31B97"/>
    <w:rsid w:val="00E32C29"/>
    <w:rsid w:val="00E33547"/>
    <w:rsid w:val="00E33881"/>
    <w:rsid w:val="00E33C9F"/>
    <w:rsid w:val="00E33E11"/>
    <w:rsid w:val="00E341E9"/>
    <w:rsid w:val="00E35CCF"/>
    <w:rsid w:val="00E36740"/>
    <w:rsid w:val="00E36767"/>
    <w:rsid w:val="00E41149"/>
    <w:rsid w:val="00E42D08"/>
    <w:rsid w:val="00E4360B"/>
    <w:rsid w:val="00E439F9"/>
    <w:rsid w:val="00E43B95"/>
    <w:rsid w:val="00E43EB8"/>
    <w:rsid w:val="00E44730"/>
    <w:rsid w:val="00E44F4E"/>
    <w:rsid w:val="00E4700C"/>
    <w:rsid w:val="00E4755C"/>
    <w:rsid w:val="00E50459"/>
    <w:rsid w:val="00E50C7B"/>
    <w:rsid w:val="00E50FDA"/>
    <w:rsid w:val="00E51E78"/>
    <w:rsid w:val="00E52314"/>
    <w:rsid w:val="00E526B0"/>
    <w:rsid w:val="00E53A3C"/>
    <w:rsid w:val="00E53DB5"/>
    <w:rsid w:val="00E540FB"/>
    <w:rsid w:val="00E54429"/>
    <w:rsid w:val="00E54E99"/>
    <w:rsid w:val="00E57868"/>
    <w:rsid w:val="00E57EDD"/>
    <w:rsid w:val="00E627E3"/>
    <w:rsid w:val="00E630BF"/>
    <w:rsid w:val="00E6400F"/>
    <w:rsid w:val="00E6449C"/>
    <w:rsid w:val="00E64CB3"/>
    <w:rsid w:val="00E66AF4"/>
    <w:rsid w:val="00E66E92"/>
    <w:rsid w:val="00E6732C"/>
    <w:rsid w:val="00E67696"/>
    <w:rsid w:val="00E67CCB"/>
    <w:rsid w:val="00E7003F"/>
    <w:rsid w:val="00E703DB"/>
    <w:rsid w:val="00E705C5"/>
    <w:rsid w:val="00E7103B"/>
    <w:rsid w:val="00E713C7"/>
    <w:rsid w:val="00E714DF"/>
    <w:rsid w:val="00E7161F"/>
    <w:rsid w:val="00E72E4F"/>
    <w:rsid w:val="00E732A1"/>
    <w:rsid w:val="00E73DBE"/>
    <w:rsid w:val="00E74CE9"/>
    <w:rsid w:val="00E76DDC"/>
    <w:rsid w:val="00E77BB3"/>
    <w:rsid w:val="00E820E8"/>
    <w:rsid w:val="00E83813"/>
    <w:rsid w:val="00E83F33"/>
    <w:rsid w:val="00E84B10"/>
    <w:rsid w:val="00E84E37"/>
    <w:rsid w:val="00E85F38"/>
    <w:rsid w:val="00E85F66"/>
    <w:rsid w:val="00E87442"/>
    <w:rsid w:val="00E878CB"/>
    <w:rsid w:val="00E90EA9"/>
    <w:rsid w:val="00E91D8D"/>
    <w:rsid w:val="00E92975"/>
    <w:rsid w:val="00E92F8B"/>
    <w:rsid w:val="00E93198"/>
    <w:rsid w:val="00E93C19"/>
    <w:rsid w:val="00E956DA"/>
    <w:rsid w:val="00E9584C"/>
    <w:rsid w:val="00E960AA"/>
    <w:rsid w:val="00E96488"/>
    <w:rsid w:val="00E9686F"/>
    <w:rsid w:val="00E96893"/>
    <w:rsid w:val="00E972E3"/>
    <w:rsid w:val="00E97C7A"/>
    <w:rsid w:val="00E97FC8"/>
    <w:rsid w:val="00EA0FBE"/>
    <w:rsid w:val="00EA1040"/>
    <w:rsid w:val="00EA1CAB"/>
    <w:rsid w:val="00EA3212"/>
    <w:rsid w:val="00EA325B"/>
    <w:rsid w:val="00EA3523"/>
    <w:rsid w:val="00EA3AE3"/>
    <w:rsid w:val="00EA3F74"/>
    <w:rsid w:val="00EA44DD"/>
    <w:rsid w:val="00EA6230"/>
    <w:rsid w:val="00EA686D"/>
    <w:rsid w:val="00EA69CE"/>
    <w:rsid w:val="00EA7BFA"/>
    <w:rsid w:val="00EB02D6"/>
    <w:rsid w:val="00EB0673"/>
    <w:rsid w:val="00EB2868"/>
    <w:rsid w:val="00EB2CC3"/>
    <w:rsid w:val="00EB3C49"/>
    <w:rsid w:val="00EB41B5"/>
    <w:rsid w:val="00EB41BD"/>
    <w:rsid w:val="00EB5023"/>
    <w:rsid w:val="00EB5719"/>
    <w:rsid w:val="00EB64ED"/>
    <w:rsid w:val="00EB66BB"/>
    <w:rsid w:val="00EB6A1E"/>
    <w:rsid w:val="00EB7970"/>
    <w:rsid w:val="00EC0D59"/>
    <w:rsid w:val="00EC36B1"/>
    <w:rsid w:val="00EC4DAC"/>
    <w:rsid w:val="00EC529E"/>
    <w:rsid w:val="00EC58FF"/>
    <w:rsid w:val="00EC7E6D"/>
    <w:rsid w:val="00ED4008"/>
    <w:rsid w:val="00ED4E3D"/>
    <w:rsid w:val="00ED6D07"/>
    <w:rsid w:val="00ED6D6C"/>
    <w:rsid w:val="00ED6F2E"/>
    <w:rsid w:val="00ED6FA1"/>
    <w:rsid w:val="00EE08FC"/>
    <w:rsid w:val="00EE0D3C"/>
    <w:rsid w:val="00EE168C"/>
    <w:rsid w:val="00EE229B"/>
    <w:rsid w:val="00EE35BF"/>
    <w:rsid w:val="00EE35EA"/>
    <w:rsid w:val="00EE4181"/>
    <w:rsid w:val="00EE442F"/>
    <w:rsid w:val="00EE4906"/>
    <w:rsid w:val="00EE4D12"/>
    <w:rsid w:val="00EE5432"/>
    <w:rsid w:val="00EE5603"/>
    <w:rsid w:val="00EE5C65"/>
    <w:rsid w:val="00EE5EEF"/>
    <w:rsid w:val="00EE762C"/>
    <w:rsid w:val="00EF0A7F"/>
    <w:rsid w:val="00EF1E4C"/>
    <w:rsid w:val="00EF2571"/>
    <w:rsid w:val="00EF394C"/>
    <w:rsid w:val="00EF3FB8"/>
    <w:rsid w:val="00EF43E3"/>
    <w:rsid w:val="00EF4499"/>
    <w:rsid w:val="00EF4C67"/>
    <w:rsid w:val="00EF601B"/>
    <w:rsid w:val="00EF61C4"/>
    <w:rsid w:val="00EF64D0"/>
    <w:rsid w:val="00F002CE"/>
    <w:rsid w:val="00F00BC0"/>
    <w:rsid w:val="00F015DE"/>
    <w:rsid w:val="00F02801"/>
    <w:rsid w:val="00F03BE6"/>
    <w:rsid w:val="00F04470"/>
    <w:rsid w:val="00F04D81"/>
    <w:rsid w:val="00F05550"/>
    <w:rsid w:val="00F05836"/>
    <w:rsid w:val="00F06354"/>
    <w:rsid w:val="00F065FE"/>
    <w:rsid w:val="00F07A73"/>
    <w:rsid w:val="00F07A80"/>
    <w:rsid w:val="00F101D7"/>
    <w:rsid w:val="00F1044B"/>
    <w:rsid w:val="00F104E2"/>
    <w:rsid w:val="00F1154B"/>
    <w:rsid w:val="00F1209B"/>
    <w:rsid w:val="00F125E0"/>
    <w:rsid w:val="00F12DE4"/>
    <w:rsid w:val="00F1346D"/>
    <w:rsid w:val="00F13485"/>
    <w:rsid w:val="00F13FD0"/>
    <w:rsid w:val="00F14AEB"/>
    <w:rsid w:val="00F15D0B"/>
    <w:rsid w:val="00F17F6D"/>
    <w:rsid w:val="00F20DD1"/>
    <w:rsid w:val="00F22552"/>
    <w:rsid w:val="00F23E8B"/>
    <w:rsid w:val="00F24CFC"/>
    <w:rsid w:val="00F24EBA"/>
    <w:rsid w:val="00F25169"/>
    <w:rsid w:val="00F25415"/>
    <w:rsid w:val="00F259B5"/>
    <w:rsid w:val="00F32B51"/>
    <w:rsid w:val="00F33F91"/>
    <w:rsid w:val="00F35784"/>
    <w:rsid w:val="00F36146"/>
    <w:rsid w:val="00F36684"/>
    <w:rsid w:val="00F371C8"/>
    <w:rsid w:val="00F4076D"/>
    <w:rsid w:val="00F40CDB"/>
    <w:rsid w:val="00F413AA"/>
    <w:rsid w:val="00F4175E"/>
    <w:rsid w:val="00F4184F"/>
    <w:rsid w:val="00F43D01"/>
    <w:rsid w:val="00F43D10"/>
    <w:rsid w:val="00F440EF"/>
    <w:rsid w:val="00F45334"/>
    <w:rsid w:val="00F46F14"/>
    <w:rsid w:val="00F47058"/>
    <w:rsid w:val="00F47BD8"/>
    <w:rsid w:val="00F5037F"/>
    <w:rsid w:val="00F5059D"/>
    <w:rsid w:val="00F53C63"/>
    <w:rsid w:val="00F545C3"/>
    <w:rsid w:val="00F55BF1"/>
    <w:rsid w:val="00F56D31"/>
    <w:rsid w:val="00F6104E"/>
    <w:rsid w:val="00F61361"/>
    <w:rsid w:val="00F629AF"/>
    <w:rsid w:val="00F629D1"/>
    <w:rsid w:val="00F63B28"/>
    <w:rsid w:val="00F63C41"/>
    <w:rsid w:val="00F64341"/>
    <w:rsid w:val="00F64501"/>
    <w:rsid w:val="00F6564C"/>
    <w:rsid w:val="00F6771E"/>
    <w:rsid w:val="00F70308"/>
    <w:rsid w:val="00F711BD"/>
    <w:rsid w:val="00F71D41"/>
    <w:rsid w:val="00F72129"/>
    <w:rsid w:val="00F72B7A"/>
    <w:rsid w:val="00F733B0"/>
    <w:rsid w:val="00F733B3"/>
    <w:rsid w:val="00F74523"/>
    <w:rsid w:val="00F75136"/>
    <w:rsid w:val="00F753CB"/>
    <w:rsid w:val="00F758C1"/>
    <w:rsid w:val="00F769C9"/>
    <w:rsid w:val="00F76CE5"/>
    <w:rsid w:val="00F77435"/>
    <w:rsid w:val="00F776A8"/>
    <w:rsid w:val="00F7792E"/>
    <w:rsid w:val="00F81B68"/>
    <w:rsid w:val="00F853B4"/>
    <w:rsid w:val="00F8603E"/>
    <w:rsid w:val="00F8663F"/>
    <w:rsid w:val="00F86698"/>
    <w:rsid w:val="00F86F45"/>
    <w:rsid w:val="00F87BA6"/>
    <w:rsid w:val="00F90911"/>
    <w:rsid w:val="00F92014"/>
    <w:rsid w:val="00F97959"/>
    <w:rsid w:val="00FA021D"/>
    <w:rsid w:val="00FA0AEA"/>
    <w:rsid w:val="00FA13FD"/>
    <w:rsid w:val="00FA1620"/>
    <w:rsid w:val="00FA760D"/>
    <w:rsid w:val="00FB06EA"/>
    <w:rsid w:val="00FB0EB2"/>
    <w:rsid w:val="00FB1DA7"/>
    <w:rsid w:val="00FB433F"/>
    <w:rsid w:val="00FB4AEA"/>
    <w:rsid w:val="00FB4DE7"/>
    <w:rsid w:val="00FB6571"/>
    <w:rsid w:val="00FB7636"/>
    <w:rsid w:val="00FB7B7F"/>
    <w:rsid w:val="00FC05D2"/>
    <w:rsid w:val="00FC2843"/>
    <w:rsid w:val="00FC46BB"/>
    <w:rsid w:val="00FC55C1"/>
    <w:rsid w:val="00FC55DF"/>
    <w:rsid w:val="00FC60DD"/>
    <w:rsid w:val="00FC6337"/>
    <w:rsid w:val="00FC7654"/>
    <w:rsid w:val="00FC7813"/>
    <w:rsid w:val="00FC7F75"/>
    <w:rsid w:val="00FC7FBD"/>
    <w:rsid w:val="00FD0DB5"/>
    <w:rsid w:val="00FD159D"/>
    <w:rsid w:val="00FD337B"/>
    <w:rsid w:val="00FD5C86"/>
    <w:rsid w:val="00FD6DAF"/>
    <w:rsid w:val="00FD7E3E"/>
    <w:rsid w:val="00FE022B"/>
    <w:rsid w:val="00FE02C4"/>
    <w:rsid w:val="00FE25C8"/>
    <w:rsid w:val="00FE28C3"/>
    <w:rsid w:val="00FE4412"/>
    <w:rsid w:val="00FE5460"/>
    <w:rsid w:val="00FE6DED"/>
    <w:rsid w:val="00FF0B75"/>
    <w:rsid w:val="00FF1B3E"/>
    <w:rsid w:val="00FF228A"/>
    <w:rsid w:val="00FF431E"/>
    <w:rsid w:val="00FF438D"/>
    <w:rsid w:val="00FF5627"/>
    <w:rsid w:val="00FF7021"/>
    <w:rsid w:val="05AD05DE"/>
    <w:rsid w:val="066477DD"/>
    <w:rsid w:val="06EB1F6F"/>
    <w:rsid w:val="07710956"/>
    <w:rsid w:val="08606F42"/>
    <w:rsid w:val="0C622B2E"/>
    <w:rsid w:val="0C96267D"/>
    <w:rsid w:val="11231066"/>
    <w:rsid w:val="11590E4C"/>
    <w:rsid w:val="156051A2"/>
    <w:rsid w:val="16300397"/>
    <w:rsid w:val="16F57231"/>
    <w:rsid w:val="18340143"/>
    <w:rsid w:val="1A294B22"/>
    <w:rsid w:val="1DAF6F6C"/>
    <w:rsid w:val="211D2665"/>
    <w:rsid w:val="226305C5"/>
    <w:rsid w:val="2381232F"/>
    <w:rsid w:val="23945D44"/>
    <w:rsid w:val="23A032BD"/>
    <w:rsid w:val="264272D7"/>
    <w:rsid w:val="26514344"/>
    <w:rsid w:val="2B3012EB"/>
    <w:rsid w:val="2E406A34"/>
    <w:rsid w:val="2F4A4904"/>
    <w:rsid w:val="32127335"/>
    <w:rsid w:val="3221681D"/>
    <w:rsid w:val="334A17E1"/>
    <w:rsid w:val="33B86EBF"/>
    <w:rsid w:val="36E320A9"/>
    <w:rsid w:val="36FB593F"/>
    <w:rsid w:val="393206E1"/>
    <w:rsid w:val="3AA04830"/>
    <w:rsid w:val="3AA6642C"/>
    <w:rsid w:val="3B2E471C"/>
    <w:rsid w:val="3D9805E1"/>
    <w:rsid w:val="3E5D442D"/>
    <w:rsid w:val="3F8C7AD1"/>
    <w:rsid w:val="404E04B9"/>
    <w:rsid w:val="4069267D"/>
    <w:rsid w:val="41523BBA"/>
    <w:rsid w:val="4180572A"/>
    <w:rsid w:val="41D81894"/>
    <w:rsid w:val="435638E5"/>
    <w:rsid w:val="47741239"/>
    <w:rsid w:val="48896E0B"/>
    <w:rsid w:val="498118A6"/>
    <w:rsid w:val="49A761F7"/>
    <w:rsid w:val="4BC05088"/>
    <w:rsid w:val="4C1951C3"/>
    <w:rsid w:val="4DCF4B23"/>
    <w:rsid w:val="4E0001CB"/>
    <w:rsid w:val="4FAA26BF"/>
    <w:rsid w:val="4FF550BD"/>
    <w:rsid w:val="50A60606"/>
    <w:rsid w:val="51A45CFD"/>
    <w:rsid w:val="52492082"/>
    <w:rsid w:val="527350D1"/>
    <w:rsid w:val="56EB3FA6"/>
    <w:rsid w:val="57684BF4"/>
    <w:rsid w:val="59151667"/>
    <w:rsid w:val="5DAB65BA"/>
    <w:rsid w:val="65062A9F"/>
    <w:rsid w:val="66341488"/>
    <w:rsid w:val="66D222BD"/>
    <w:rsid w:val="68071BA7"/>
    <w:rsid w:val="6A0B7E30"/>
    <w:rsid w:val="6A744A80"/>
    <w:rsid w:val="6A8646C1"/>
    <w:rsid w:val="6AB0536E"/>
    <w:rsid w:val="710806FF"/>
    <w:rsid w:val="71D218A5"/>
    <w:rsid w:val="723B77F7"/>
    <w:rsid w:val="735F71A0"/>
    <w:rsid w:val="73B661FA"/>
    <w:rsid w:val="73C62B81"/>
    <w:rsid w:val="73E3070D"/>
    <w:rsid w:val="7536737B"/>
    <w:rsid w:val="76F65D2B"/>
    <w:rsid w:val="7A795AFD"/>
    <w:rsid w:val="7C8932DF"/>
    <w:rsid w:val="7D4B1E45"/>
    <w:rsid w:val="7E696DF4"/>
    <w:rsid w:val="7E6A42E7"/>
    <w:rsid w:val="7EDA5515"/>
    <w:rsid w:val="7EEF3A4D"/>
    <w:rsid w:val="7F0C2D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70"/>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71"/>
    <w:qFormat/>
    <w:uiPriority w:val="0"/>
    <w:pPr>
      <w:spacing w:beforeLines="50" w:afterLines="50" w:line="500" w:lineRule="exact"/>
      <w:outlineLvl w:val="1"/>
    </w:pPr>
    <w:rPr>
      <w:rFonts w:ascii="Times New Roman" w:hAnsi="Cambria" w:eastAsia="楷体_GB2312" w:cs="Times New Roman"/>
      <w:b/>
      <w:bCs/>
      <w:sz w:val="30"/>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等线" w:hAnsi="等线" w:eastAsia="等线" w:cs="Times New Roman"/>
      <w:szCs w:val="22"/>
    </w:rPr>
  </w:style>
  <w:style w:type="paragraph" w:styleId="5">
    <w:name w:val="Document Map"/>
    <w:basedOn w:val="1"/>
    <w:link w:val="78"/>
    <w:semiHidden/>
    <w:qFormat/>
    <w:uiPriority w:val="0"/>
    <w:pPr>
      <w:shd w:val="clear" w:color="auto" w:fill="000080"/>
    </w:pPr>
    <w:rPr>
      <w:rFonts w:ascii="Times New Roman" w:hAnsi="Times New Roman" w:cs="Times New Roman"/>
      <w:szCs w:val="24"/>
    </w:rPr>
  </w:style>
  <w:style w:type="paragraph" w:styleId="6">
    <w:name w:val="toc 3"/>
    <w:basedOn w:val="1"/>
    <w:next w:val="1"/>
    <w:qFormat/>
    <w:uiPriority w:val="39"/>
    <w:pPr>
      <w:ind w:left="840" w:leftChars="400"/>
    </w:pPr>
    <w:rPr>
      <w:rFonts w:ascii="Times New Roman" w:hAnsi="Times New Roman" w:cs="Times New Roman"/>
      <w:szCs w:val="24"/>
    </w:rPr>
  </w:style>
  <w:style w:type="paragraph" w:styleId="7">
    <w:name w:val="Balloon Text"/>
    <w:basedOn w:val="1"/>
    <w:link w:val="72"/>
    <w:unhideWhenUsed/>
    <w:qFormat/>
    <w:uiPriority w:val="99"/>
    <w:rPr>
      <w:sz w:val="18"/>
      <w:szCs w:val="18"/>
    </w:rPr>
  </w:style>
  <w:style w:type="paragraph" w:styleId="8">
    <w:name w:val="footer"/>
    <w:basedOn w:val="1"/>
    <w:link w:val="73"/>
    <w:unhideWhenUsed/>
    <w:qFormat/>
    <w:uiPriority w:val="99"/>
    <w:pPr>
      <w:tabs>
        <w:tab w:val="center" w:pos="4153"/>
        <w:tab w:val="right" w:pos="8306"/>
      </w:tabs>
      <w:snapToGrid w:val="0"/>
      <w:jc w:val="left"/>
    </w:pPr>
    <w:rPr>
      <w:sz w:val="18"/>
      <w:szCs w:val="18"/>
    </w:rPr>
  </w:style>
  <w:style w:type="paragraph" w:styleId="9">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Times New Roman" w:hAnsi="Times New Roman" w:cs="Times New Roman"/>
      <w:szCs w:val="24"/>
    </w:rPr>
  </w:style>
  <w:style w:type="paragraph" w:styleId="11">
    <w:name w:val="toc 2"/>
    <w:basedOn w:val="1"/>
    <w:next w:val="1"/>
    <w:qFormat/>
    <w:uiPriority w:val="39"/>
    <w:pPr>
      <w:ind w:left="420" w:leftChars="200"/>
    </w:pPr>
    <w:rPr>
      <w:rFonts w:ascii="Times New Roman" w:hAnsi="Times New Roman" w:cs="Times New Roman"/>
      <w:szCs w:val="24"/>
    </w:rPr>
  </w:style>
  <w:style w:type="paragraph" w:styleId="12">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13">
    <w:name w:val="Normal (Web)"/>
    <w:basedOn w:val="1"/>
    <w:unhideWhenUsed/>
    <w:qFormat/>
    <w:uiPriority w:val="0"/>
    <w:pPr>
      <w:spacing w:beforeAutospacing="1" w:afterAutospacing="1"/>
      <w:jc w:val="left"/>
    </w:pPr>
    <w:rPr>
      <w:kern w:val="0"/>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unhideWhenUsed/>
    <w:qFormat/>
    <w:uiPriority w:val="99"/>
    <w:rPr>
      <w:color w:val="800080"/>
      <w:u w:val="single"/>
    </w:rPr>
  </w:style>
  <w:style w:type="character" w:styleId="18">
    <w:name w:val="Hyperlink"/>
    <w:unhideWhenUsed/>
    <w:qFormat/>
    <w:uiPriority w:val="99"/>
    <w:rPr>
      <w:color w:val="0000FF"/>
      <w:u w:val="single"/>
    </w:rPr>
  </w:style>
  <w:style w:type="paragraph" w:customStyle="1" w:styleId="19">
    <w:name w:val="列出段落1"/>
    <w:basedOn w:val="1"/>
    <w:qFormat/>
    <w:uiPriority w:val="99"/>
    <w:pPr>
      <w:ind w:firstLine="420" w:firstLineChars="200"/>
    </w:pPr>
  </w:style>
  <w:style w:type="paragraph" w:customStyle="1" w:styleId="20">
    <w:name w:val="GF报告正文"/>
    <w:basedOn w:val="1"/>
    <w:qFormat/>
    <w:uiPriority w:val="0"/>
    <w:pPr>
      <w:widowControl/>
      <w:adjustRightInd w:val="0"/>
      <w:spacing w:line="360" w:lineRule="atLeast"/>
      <w:ind w:firstLine="431"/>
      <w:jc w:val="left"/>
    </w:pPr>
    <w:rPr>
      <w:rFonts w:ascii="黑体" w:hAnsi="Times New Roman" w:cs="Times New Roman"/>
      <w:kern w:val="0"/>
      <w:szCs w:val="20"/>
    </w:rPr>
  </w:style>
  <w:style w:type="paragraph" w:customStyle="1" w:styleId="21">
    <w:name w:val="列出段落2"/>
    <w:basedOn w:val="1"/>
    <w:qFormat/>
    <w:uiPriority w:val="34"/>
    <w:pPr>
      <w:ind w:firstLine="420" w:firstLineChars="200"/>
    </w:pPr>
    <w:rPr>
      <w:rFonts w:cs="Times New Roman"/>
    </w:rPr>
  </w:style>
  <w:style w:type="paragraph" w:customStyle="1" w:styleId="2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7"/>
    <w:basedOn w:val="1"/>
    <w:qFormat/>
    <w:uiPriority w:val="0"/>
    <w:pPr>
      <w:widowControl/>
      <w:spacing w:before="100" w:beforeAutospacing="1" w:after="100" w:afterAutospacing="1"/>
      <w:jc w:val="left"/>
    </w:pPr>
    <w:rPr>
      <w:rFonts w:ascii="Times New Roman" w:hAnsi="Times New Roman" w:cs="Times New Roman"/>
      <w:color w:val="000000"/>
      <w:kern w:val="0"/>
      <w:sz w:val="22"/>
    </w:rPr>
  </w:style>
  <w:style w:type="paragraph" w:customStyle="1" w:styleId="26">
    <w:name w:val="font8"/>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8">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9">
    <w:name w:val="font11"/>
    <w:basedOn w:val="1"/>
    <w:qFormat/>
    <w:uiPriority w:val="0"/>
    <w:pPr>
      <w:widowControl/>
      <w:spacing w:before="100" w:beforeAutospacing="1" w:after="100" w:afterAutospacing="1"/>
      <w:jc w:val="left"/>
    </w:pPr>
    <w:rPr>
      <w:rFonts w:ascii="Times New Roman" w:hAnsi="Times New Roman" w:cs="Times New Roman"/>
      <w:color w:val="FF0000"/>
      <w:kern w:val="0"/>
      <w:szCs w:val="21"/>
    </w:rPr>
  </w:style>
  <w:style w:type="paragraph" w:customStyle="1" w:styleId="30">
    <w:name w:val="font12"/>
    <w:basedOn w:val="1"/>
    <w:qFormat/>
    <w:uiPriority w:val="0"/>
    <w:pPr>
      <w:widowControl/>
      <w:spacing w:before="100" w:beforeAutospacing="1" w:after="100" w:afterAutospacing="1"/>
      <w:jc w:val="left"/>
    </w:pPr>
    <w:rPr>
      <w:rFonts w:ascii="宋体" w:hAnsi="宋体" w:cs="宋体"/>
      <w:color w:val="FF0000"/>
      <w:kern w:val="0"/>
      <w:sz w:val="22"/>
    </w:rPr>
  </w:style>
  <w:style w:type="paragraph" w:customStyle="1" w:styleId="31">
    <w:name w:val="font13"/>
    <w:basedOn w:val="1"/>
    <w:qFormat/>
    <w:uiPriority w:val="0"/>
    <w:pPr>
      <w:widowControl/>
      <w:spacing w:before="100" w:beforeAutospacing="1" w:after="100" w:afterAutospacing="1"/>
      <w:jc w:val="left"/>
    </w:pPr>
    <w:rPr>
      <w:rFonts w:ascii="宋体" w:hAnsi="宋体" w:cs="宋体"/>
      <w:color w:val="FF0000"/>
      <w:kern w:val="0"/>
      <w:sz w:val="22"/>
    </w:rPr>
  </w:style>
  <w:style w:type="paragraph" w:customStyle="1" w:styleId="32">
    <w:name w:val="font14"/>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33">
    <w:name w:val="font15"/>
    <w:basedOn w:val="1"/>
    <w:qFormat/>
    <w:uiPriority w:val="0"/>
    <w:pPr>
      <w:widowControl/>
      <w:spacing w:before="100" w:beforeAutospacing="1" w:after="100" w:afterAutospacing="1"/>
      <w:jc w:val="left"/>
    </w:pPr>
    <w:rPr>
      <w:rFonts w:ascii="宋体" w:hAnsi="宋体" w:cs="宋体"/>
      <w:kern w:val="0"/>
      <w:sz w:val="22"/>
    </w:rPr>
  </w:style>
  <w:style w:type="paragraph" w:customStyle="1" w:styleId="34">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color w:val="FF0000"/>
      <w:kern w:val="0"/>
      <w:szCs w:val="21"/>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color w:val="FF0000"/>
      <w:kern w:val="0"/>
      <w:sz w:val="24"/>
      <w:szCs w:val="24"/>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00"/>
      <w:kern w:val="0"/>
      <w:sz w:val="24"/>
      <w:szCs w:val="24"/>
    </w:rPr>
  </w:style>
  <w:style w:type="paragraph" w:customStyle="1" w:styleId="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color w:val="FF0000"/>
      <w:kern w:val="0"/>
      <w:sz w:val="24"/>
      <w:szCs w:val="24"/>
    </w:rPr>
  </w:style>
  <w:style w:type="paragraph" w:customStyle="1" w:styleId="45">
    <w:name w:val="xl77"/>
    <w:basedOn w:val="1"/>
    <w:qFormat/>
    <w:uiPriority w:val="0"/>
    <w:pPr>
      <w:widowControl/>
      <w:spacing w:before="100" w:beforeAutospacing="1" w:after="100" w:afterAutospacing="1"/>
      <w:jc w:val="left"/>
      <w:textAlignment w:val="center"/>
    </w:pPr>
    <w:rPr>
      <w:rFonts w:ascii="Times New Roman" w:hAnsi="Times New Roman" w:cs="Times New Roman"/>
      <w:color w:val="FF0000"/>
      <w:kern w:val="0"/>
      <w:sz w:val="24"/>
      <w:szCs w:val="24"/>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b/>
      <w:bCs/>
      <w:kern w:val="0"/>
      <w:sz w:val="24"/>
      <w:szCs w:val="24"/>
    </w:rPr>
  </w:style>
  <w:style w:type="paragraph" w:customStyle="1" w:styleId="51">
    <w:name w:val="xl83"/>
    <w:basedOn w:val="1"/>
    <w:qFormat/>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szCs w:val="24"/>
    </w:rPr>
  </w:style>
  <w:style w:type="paragraph" w:customStyle="1" w:styleId="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7030A0"/>
      <w:kern w:val="0"/>
      <w:sz w:val="24"/>
      <w:szCs w:val="24"/>
    </w:rPr>
  </w:style>
  <w:style w:type="paragraph" w:customStyle="1" w:styleId="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7030A0"/>
      <w:kern w:val="0"/>
      <w:sz w:val="24"/>
      <w:szCs w:val="24"/>
    </w:rPr>
  </w:style>
  <w:style w:type="paragraph" w:customStyle="1" w:styleId="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color w:val="7030A0"/>
      <w:kern w:val="0"/>
      <w:szCs w:val="21"/>
    </w:rPr>
  </w:style>
  <w:style w:type="paragraph" w:customStyle="1" w:styleId="5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7030A0"/>
      <w:kern w:val="0"/>
      <w:szCs w:val="21"/>
    </w:rPr>
  </w:style>
  <w:style w:type="paragraph" w:customStyle="1" w:styleId="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color w:val="7030A0"/>
      <w:kern w:val="0"/>
      <w:sz w:val="24"/>
      <w:szCs w:val="24"/>
    </w:rPr>
  </w:style>
  <w:style w:type="paragraph" w:customStyle="1" w:styleId="60">
    <w:name w:val="xl92"/>
    <w:basedOn w:val="1"/>
    <w:qFormat/>
    <w:uiPriority w:val="0"/>
    <w:pPr>
      <w:widowControl/>
      <w:spacing w:before="100" w:beforeAutospacing="1" w:after="100" w:afterAutospacing="1"/>
      <w:jc w:val="left"/>
      <w:textAlignment w:val="center"/>
    </w:pPr>
    <w:rPr>
      <w:rFonts w:ascii="宋体" w:hAnsi="宋体" w:cs="宋体"/>
      <w:color w:val="7030A0"/>
      <w:kern w:val="0"/>
      <w:sz w:val="24"/>
      <w:szCs w:val="24"/>
    </w:rPr>
  </w:style>
  <w:style w:type="paragraph" w:customStyle="1" w:styleId="6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6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6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67">
    <w:name w:val="xl99"/>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6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Cs w:val="21"/>
    </w:rPr>
  </w:style>
  <w:style w:type="paragraph" w:customStyle="1" w:styleId="6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cs="Times New Roman"/>
      <w:kern w:val="0"/>
      <w:sz w:val="24"/>
      <w:szCs w:val="24"/>
    </w:rPr>
  </w:style>
  <w:style w:type="character" w:customStyle="1" w:styleId="70">
    <w:name w:val="标题 1 Char"/>
    <w:basedOn w:val="16"/>
    <w:link w:val="3"/>
    <w:qFormat/>
    <w:uiPriority w:val="0"/>
    <w:rPr>
      <w:b/>
      <w:bCs/>
      <w:kern w:val="44"/>
      <w:sz w:val="44"/>
      <w:szCs w:val="44"/>
    </w:rPr>
  </w:style>
  <w:style w:type="character" w:customStyle="1" w:styleId="71">
    <w:name w:val="标题 2 Char"/>
    <w:link w:val="4"/>
    <w:qFormat/>
    <w:uiPriority w:val="0"/>
    <w:rPr>
      <w:rFonts w:hAnsi="Cambria" w:eastAsia="楷体_GB2312"/>
      <w:b/>
      <w:bCs/>
      <w:kern w:val="2"/>
      <w:sz w:val="30"/>
      <w:szCs w:val="32"/>
      <w:lang w:val="zh-CN" w:eastAsia="zh-CN"/>
    </w:rPr>
  </w:style>
  <w:style w:type="character" w:customStyle="1" w:styleId="72">
    <w:name w:val="批注框文本 Char"/>
    <w:link w:val="7"/>
    <w:semiHidden/>
    <w:qFormat/>
    <w:uiPriority w:val="99"/>
    <w:rPr>
      <w:sz w:val="18"/>
      <w:szCs w:val="18"/>
    </w:rPr>
  </w:style>
  <w:style w:type="character" w:customStyle="1" w:styleId="73">
    <w:name w:val="页脚 Char"/>
    <w:link w:val="8"/>
    <w:qFormat/>
    <w:uiPriority w:val="99"/>
    <w:rPr>
      <w:sz w:val="18"/>
      <w:szCs w:val="18"/>
    </w:rPr>
  </w:style>
  <w:style w:type="character" w:customStyle="1" w:styleId="74">
    <w:name w:val="页眉 Char"/>
    <w:link w:val="9"/>
    <w:qFormat/>
    <w:uiPriority w:val="0"/>
    <w:rPr>
      <w:sz w:val="18"/>
      <w:szCs w:val="18"/>
    </w:rPr>
  </w:style>
  <w:style w:type="character" w:customStyle="1" w:styleId="75">
    <w:name w:val="apple-converted-space"/>
    <w:basedOn w:val="16"/>
    <w:qFormat/>
    <w:uiPriority w:val="0"/>
  </w:style>
  <w:style w:type="character" w:customStyle="1" w:styleId="76">
    <w:name w:val="占位符文本1"/>
    <w:semiHidden/>
    <w:qFormat/>
    <w:uiPriority w:val="99"/>
    <w:rPr>
      <w:color w:val="808080"/>
    </w:rPr>
  </w:style>
  <w:style w:type="character" w:customStyle="1" w:styleId="77">
    <w:name w:val="HTML 预设格式 Char"/>
    <w:link w:val="12"/>
    <w:qFormat/>
    <w:uiPriority w:val="0"/>
    <w:rPr>
      <w:rFonts w:ascii="Arial" w:hAnsi="Arial" w:cs="Arial"/>
      <w:sz w:val="21"/>
      <w:szCs w:val="21"/>
    </w:rPr>
  </w:style>
  <w:style w:type="character" w:customStyle="1" w:styleId="78">
    <w:name w:val="文档结构图 Char"/>
    <w:basedOn w:val="16"/>
    <w:link w:val="5"/>
    <w:semiHidden/>
    <w:qFormat/>
    <w:uiPriority w:val="0"/>
    <w:rPr>
      <w:kern w:val="2"/>
      <w:sz w:val="21"/>
      <w:szCs w:val="24"/>
      <w:shd w:val="clear" w:color="auto" w:fill="000080"/>
    </w:rPr>
  </w:style>
  <w:style w:type="character" w:customStyle="1" w:styleId="79">
    <w:name w:val="font21"/>
    <w:basedOn w:val="16"/>
    <w:qFormat/>
    <w:uiPriority w:val="0"/>
    <w:rPr>
      <w:rFonts w:hint="eastAsia" w:ascii="宋体" w:hAnsi="宋体" w:eastAsia="宋体" w:cs="宋体"/>
      <w:color w:val="000000"/>
      <w:sz w:val="22"/>
      <w:szCs w:val="22"/>
      <w:u w:val="none"/>
    </w:rPr>
  </w:style>
  <w:style w:type="character" w:customStyle="1" w:styleId="80">
    <w:name w:val="font31"/>
    <w:basedOn w:val="16"/>
    <w:qFormat/>
    <w:uiPriority w:val="0"/>
    <w:rPr>
      <w:rFonts w:hint="default" w:ascii="Times New Roman" w:hAnsi="Times New Roman" w:cs="Times New Roman"/>
      <w:color w:val="000000"/>
      <w:sz w:val="22"/>
      <w:szCs w:val="22"/>
      <w:u w:val="none"/>
    </w:rPr>
  </w:style>
  <w:style w:type="character" w:customStyle="1" w:styleId="81">
    <w:name w:val="font01"/>
    <w:basedOn w:val="16"/>
    <w:qFormat/>
    <w:uiPriority w:val="0"/>
    <w:rPr>
      <w:rFonts w:hint="eastAsia" w:ascii="宋体" w:hAnsi="宋体" w:eastAsia="宋体" w:cs="宋体"/>
      <w:color w:val="000000"/>
      <w:sz w:val="22"/>
      <w:szCs w:val="22"/>
      <w:u w:val="none"/>
    </w:rPr>
  </w:style>
  <w:style w:type="character" w:customStyle="1" w:styleId="82">
    <w:name w:val="font51"/>
    <w:basedOn w:val="16"/>
    <w:qFormat/>
    <w:uiPriority w:val="0"/>
    <w:rPr>
      <w:rFonts w:hint="default" w:ascii="Times New Roman" w:hAnsi="Times New Roman" w:cs="Times New Roman"/>
      <w:color w:val="000000"/>
      <w:sz w:val="22"/>
      <w:szCs w:val="22"/>
      <w:u w:val="none"/>
    </w:rPr>
  </w:style>
  <w:style w:type="character" w:customStyle="1" w:styleId="83">
    <w:name w:val="font61"/>
    <w:basedOn w:val="16"/>
    <w:qFormat/>
    <w:uiPriority w:val="0"/>
    <w:rPr>
      <w:rFonts w:hint="default" w:ascii="Times New Roman" w:hAnsi="Times New Roman" w:cs="Times New Roman"/>
      <w:color w:val="000000"/>
      <w:sz w:val="21"/>
      <w:szCs w:val="21"/>
      <w:u w:val="none"/>
    </w:rPr>
  </w:style>
  <w:style w:type="character" w:customStyle="1" w:styleId="84">
    <w:name w:val="font71"/>
    <w:basedOn w:val="16"/>
    <w:qFormat/>
    <w:uiPriority w:val="0"/>
    <w:rPr>
      <w:rFonts w:hint="eastAsia" w:ascii="宋体" w:hAnsi="宋体" w:eastAsia="宋体" w:cs="宋体"/>
      <w:color w:val="000000"/>
      <w:sz w:val="21"/>
      <w:szCs w:val="21"/>
      <w:u w:val="none"/>
    </w:rPr>
  </w:style>
  <w:style w:type="character" w:customStyle="1" w:styleId="85">
    <w:name w:val="font8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78</Pages>
  <Words>36272</Words>
  <Characters>46335</Characters>
  <Lines>400</Lines>
  <Paragraphs>112</Paragraphs>
  <TotalTime>1</TotalTime>
  <ScaleCrop>false</ScaleCrop>
  <LinksUpToDate>false</LinksUpToDate>
  <CharactersWithSpaces>47363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2022-10-18T03:15:00Z</dcterms:created>
  <dc:creator>ganxiaob</dc:creator>
  <cp:lastModifiedBy>喵</cp:lastModifiedBy>
  <cp:lastPrinted>2019-09-03T06:52:00Z</cp:lastPrinted>
  <dcterms:modified xsi:type="dcterms:W3CDTF">2023-04-25T11:04:23Z</dcterms:modified>
  <dc:title>办文要报</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193FB04D1C0A48389AD1EF8E6C906FE2</vt:lpwstr>
  </property>
</Properties>
</file>