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60"/>
        <w:gridCol w:w="870"/>
        <w:gridCol w:w="870"/>
        <w:gridCol w:w="1596"/>
        <w:gridCol w:w="724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阻湿态微生物穿透测试仪校准规范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█</w:t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</w:rPr>
              <w:t xml:space="preserve"> █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泰州市计量测试院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华志超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15061003691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2023 - 2025年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89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广州中广测计量检测技术有限公司、广州纤维产品检测研究院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5" w:firstLine="21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>
              <w:rPr>
                <w:rFonts w:hint="eastAsia"/>
                <w:sz w:val="21"/>
                <w:szCs w:val="21"/>
              </w:rPr>
              <w:t xml:space="preserve">安全 □节能 □环保 □自主创新 </w:t>
            </w:r>
            <w:r>
              <w:rPr>
                <w:rFonts w:hint="eastAsia"/>
                <w:sz w:val="21"/>
                <w:szCs w:val="21"/>
              </w:rPr>
              <w:t>■其他：公共卫生安全、疫情防控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3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420" w:firstLineChars="200"/>
            </w:pPr>
            <w:r>
              <w:rPr>
                <w:rFonts w:hint="eastAsia"/>
              </w:rPr>
              <w:t>1、仪器的基本情况：</w:t>
            </w:r>
          </w:p>
          <w:p>
            <w:pPr>
              <w:spacing w:line="240" w:lineRule="auto"/>
              <w:ind w:firstLine="420" w:firstLineChars="200"/>
            </w:pP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是用于测试</w:t>
            </w:r>
            <w:r>
              <w:t>材料在经受机械摩擦时阻液体中细菌穿透的性能</w:t>
            </w:r>
            <w:r>
              <w:rPr>
                <w:rFonts w:hint="eastAsia"/>
              </w:rPr>
              <w:t>（</w:t>
            </w:r>
            <w:r>
              <w:t>经受机械摩擦</w:t>
            </w:r>
            <w:r>
              <w:rPr>
                <w:rFonts w:hint="eastAsia"/>
              </w:rPr>
              <w:t>时</w:t>
            </w:r>
            <w:r>
              <w:t>对液体携带细菌穿透的屏蔽性能</w:t>
            </w:r>
            <w:r>
              <w:rPr>
                <w:rFonts w:hint="eastAsia"/>
              </w:rPr>
              <w:t>）的专用仪器，主要用来测试</w:t>
            </w:r>
            <w:r>
              <w:t>医疗手术单、</w:t>
            </w:r>
            <w:r>
              <w:rPr>
                <w:rFonts w:hint="eastAsia"/>
              </w:rPr>
              <w:t>防护服</w:t>
            </w:r>
            <w:r>
              <w:t>和洁净服等</w:t>
            </w:r>
            <w:r>
              <w:rPr>
                <w:rFonts w:hint="eastAsia"/>
              </w:rPr>
              <w:t>医用纺织品阻湿态细菌穿透性能。</w:t>
            </w:r>
          </w:p>
          <w:p>
            <w:pPr>
              <w:spacing w:line="240" w:lineRule="auto"/>
              <w:ind w:firstLine="420" w:firstLineChars="200"/>
            </w:pP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有一个电驱动、定时器控制的转盘，转盘可安装一个14 cm直径的琼脂培养皿。水平杆的端部装有一个垂直试验指，可使试验指从旋转（60r/min）琼脂培养皿中心向周边作侧向的往复运行。用一个可沿水平杆移动的配重来调节试验指对材料施加的作用力，该杆被一个以60r/min旋转的外向轮所引导。试验指可拆卸，头部为半径11 mm的抛光半球体，试验指对材料施加的3 N±0.02 N的作用力可用装于该杆上的测力计进行测量，或用转盘上的天平测量，也可用可移动的配重来设定。</w:t>
            </w:r>
          </w:p>
          <w:p>
            <w:pPr>
              <w:spacing w:line="240" w:lineRule="auto"/>
              <w:ind w:firstLine="420" w:firstLineChars="200"/>
            </w:pPr>
            <w:r>
              <w:rPr>
                <w:rFonts w:hint="eastAsia"/>
              </w:rPr>
              <w:t>检测的标准依据主要有ISO 22610</w:t>
            </w:r>
            <w:r>
              <w:rPr>
                <w:rFonts w:hint="eastAsia"/>
                <w:lang w:val="en-US" w:eastAsia="zh-CN"/>
              </w:rPr>
              <w:t>:</w:t>
            </w:r>
            <w:r>
              <w:rPr>
                <w:rFonts w:hint="eastAsia"/>
              </w:rPr>
              <w:t>2018《医护人员和器械用手术单、手术衣和洁净服测定防潮湿细菌渗透的试验方法》及YY/T 0506.6《病人、医护人员和器械用手术单、手术衣和洁净服 第6部分：阻湿态微生物穿透试验方法》。</w:t>
            </w:r>
          </w:p>
          <w:p>
            <w:pPr>
              <w:spacing w:line="240" w:lineRule="auto"/>
              <w:ind w:firstLine="420" w:firstLineChars="200"/>
            </w:pP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广泛用于手术衣、防护服、洁净服制造企业及相关检测机构。由于近几年疫情原因，手术衣、防护服等耗材的需求量大大增加，随之</w:t>
            </w: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的使用数量也有了大幅度增加。</w:t>
            </w:r>
          </w:p>
          <w:p>
            <w:pPr>
              <w:spacing w:line="240" w:lineRule="auto"/>
              <w:ind w:firstLine="420" w:firstLineChars="200"/>
            </w:pPr>
            <w:r>
              <w:rPr>
                <w:rFonts w:hint="eastAsia"/>
              </w:rPr>
              <w:t>2、制定的必要性：</w:t>
            </w:r>
          </w:p>
          <w:p>
            <w:pPr>
              <w:spacing w:line="240" w:lineRule="auto"/>
              <w:ind w:firstLine="420" w:firstLineChars="200"/>
            </w:pPr>
            <w:r>
              <w:rPr>
                <w:rFonts w:hint="eastAsia"/>
              </w:rPr>
              <w:t>医用一次性防护服按用途和适用场合可分为手术衣和防护服。防护性是医用一次性防护服要求具备重要的性能，主要包括液体阻隔性能、微生物阻隔性能和防颗粒渗透性能等，特别是阻湿态微生物穿透的屏障性能的检测，在当前显得尤为重要。近年来</w:t>
            </w: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使用的大幅增加，但由于目前没有</w:t>
            </w:r>
            <w:r>
              <w:fldChar w:fldCharType="begin"/>
            </w:r>
            <w:r>
              <w:instrText xml:space="preserve"> HYPERLINK "https://link.zhihu.com/?target=http%3A//www.bfedetector.com/chanpinzhanshi/1.html" \t "_blank" </w:instrText>
            </w:r>
            <w:r>
              <w:fldChar w:fldCharType="separate"/>
            </w:r>
            <w:r>
              <w:rPr>
                <w:rFonts w:hint="eastAsia"/>
              </w:rPr>
              <w:t>阻湿态微生物穿透测试仪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检定规程或校准规范，各企业和实验室对该仪器进行校准的需求得不到满足，各机构只能按照厂家提供的使用说明书进行校准，从而导致各机构之间校准方法不一致，校准参数要求各不相同，量值和溯源无法统一，急需在行业研制阻湿态微生物穿透测试仪校准规范。</w:t>
            </w:r>
          </w:p>
          <w:p>
            <w:pPr>
              <w:spacing w:line="240" w:lineRule="auto"/>
              <w:ind w:firstLine="420" w:firstLineChars="200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bCs/>
              </w:rPr>
              <w:t>现有工作基础：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泰州市计量测试院参与过多项国家、行业规程规范起草工作。本起草团队由多名高级工程师组成，有丰富的规程规范制定经验。主要起草人参与制定《防酸碱穿透、渗透时间测定仪校准规范》、《纺织检针机校准规范》、《土工布磨损试验机校准规范》、《直角尺国家标准》等多项计量规范及相关标准的制定工作。</w:t>
            </w:r>
          </w:p>
          <w:p>
            <w:pPr>
              <w:spacing w:line="240" w:lineRule="auto"/>
              <w:ind w:firstLine="420" w:firstLineChars="200"/>
              <w:rPr>
                <w:rFonts w:ascii="宋体" w:hAnsi="宋体" w:cs="宋体"/>
                <w:color w:val="FF0000"/>
                <w:sz w:val="24"/>
                <w:u w:val="single"/>
              </w:rPr>
            </w:pPr>
            <w:r>
              <w:rPr>
                <w:rFonts w:hint="eastAsia"/>
                <w:bCs/>
              </w:rPr>
              <w:t>泰州市计量测试院鼓励与支持规程、规范及标准的编著编写，并给予足够经费支持。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480"/>
              <w:rPr>
                <w:bCs/>
              </w:rPr>
            </w:pPr>
            <w:r>
              <w:rPr>
                <w:rFonts w:hint="eastAsia"/>
                <w:bCs/>
              </w:rPr>
              <w:t>本规范用于阻湿态微生物穿透测试仪校准规范计量参数的校准。</w:t>
            </w:r>
          </w:p>
          <w:p>
            <w:pPr>
              <w:spacing w:line="240" w:lineRule="auto"/>
              <w:ind w:left="480"/>
              <w:rPr>
                <w:bCs/>
              </w:rPr>
            </w:pPr>
            <w:r>
              <w:rPr>
                <w:rFonts w:hint="eastAsia"/>
                <w:bCs/>
              </w:rPr>
              <w:t>1、主要的计量特性如下：</w:t>
            </w:r>
          </w:p>
          <w:p>
            <w:pPr>
              <w:spacing w:line="240" w:lineRule="auto"/>
              <w:ind w:firstLine="525" w:firstLineChars="250"/>
              <w:rPr>
                <w:bCs/>
              </w:rPr>
            </w:pPr>
            <w:r>
              <w:rPr>
                <w:rFonts w:hint="eastAsia"/>
                <w:bCs/>
              </w:rPr>
              <w:t>校准前准备：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（1）外观检查：名牌、信息等检查。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（2）功能检查：功能键、按钮、试验指运动轨迹等检查。</w:t>
            </w:r>
          </w:p>
          <w:p>
            <w:pPr>
              <w:spacing w:line="240" w:lineRule="auto"/>
              <w:ind w:left="481" w:leftChars="229" w:firstLine="105" w:firstLineChars="50"/>
              <w:rPr>
                <w:bCs/>
              </w:rPr>
            </w:pPr>
            <w:r>
              <w:rPr>
                <w:rFonts w:hint="eastAsia"/>
                <w:bCs/>
              </w:rPr>
              <w:t>校准项目：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（1）</w:t>
            </w:r>
            <w:r>
              <w:rPr>
                <w:bCs/>
              </w:rPr>
              <w:t>转盘转速：</w:t>
            </w:r>
            <w:r>
              <w:rPr>
                <w:rFonts w:hint="eastAsia"/>
                <w:bCs/>
              </w:rPr>
              <w:t>（</w:t>
            </w:r>
            <w:r>
              <w:rPr>
                <w:bCs/>
              </w:rPr>
              <w:t>60±1</w:t>
            </w:r>
            <w:r>
              <w:rPr>
                <w:rFonts w:hint="eastAsia"/>
                <w:bCs/>
              </w:rPr>
              <w:t>）</w:t>
            </w:r>
            <w:r>
              <w:rPr>
                <w:bCs/>
              </w:rPr>
              <w:t xml:space="preserve"> r</w:t>
            </w:r>
            <w:r>
              <w:rPr>
                <w:rFonts w:hint="eastAsia"/>
                <w:bCs/>
              </w:rPr>
              <w:t>/min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（2）</w:t>
            </w:r>
            <w:r>
              <w:rPr>
                <w:bCs/>
              </w:rPr>
              <w:t>偏心轴转速：（5.6±0.1）</w:t>
            </w:r>
            <w:r>
              <w:rPr>
                <w:rFonts w:hint="eastAsia"/>
                <w:bCs/>
              </w:rPr>
              <w:t>r</w:t>
            </w:r>
            <w:r>
              <w:rPr>
                <w:bCs/>
              </w:rPr>
              <w:t>/</w:t>
            </w:r>
            <w:r>
              <w:rPr>
                <w:rFonts w:hint="eastAsia"/>
                <w:bCs/>
              </w:rPr>
              <w:t>m</w:t>
            </w:r>
            <w:r>
              <w:rPr>
                <w:bCs/>
              </w:rPr>
              <w:t>in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（3）</w:t>
            </w:r>
            <w:r>
              <w:rPr>
                <w:bCs/>
              </w:rPr>
              <w:t>试验指头部半径：</w:t>
            </w:r>
            <w:r>
              <w:rPr>
                <w:rFonts w:hint="eastAsia"/>
                <w:bCs/>
              </w:rPr>
              <w:t>R（11</w:t>
            </w:r>
            <w:r>
              <w:rPr>
                <w:bCs/>
              </w:rPr>
              <w:t>±0.2) mm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（4）</w:t>
            </w:r>
            <w:r>
              <w:rPr>
                <w:bCs/>
              </w:rPr>
              <w:t>试验指对材料的压力：</w:t>
            </w:r>
            <w:r>
              <w:rPr>
                <w:rFonts w:hint="eastAsia"/>
                <w:bCs/>
              </w:rPr>
              <w:t>(</w:t>
            </w:r>
            <w:r>
              <w:rPr>
                <w:bCs/>
              </w:rPr>
              <w:t>3±0.02</w:t>
            </w:r>
            <w:r>
              <w:rPr>
                <w:rFonts w:hint="eastAsia"/>
                <w:bCs/>
              </w:rPr>
              <w:t>)</w:t>
            </w:r>
            <w:r>
              <w:rPr>
                <w:bCs/>
              </w:rPr>
              <w:t>N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（5）试验时间</w:t>
            </w:r>
            <w:r>
              <w:rPr>
                <w:bCs/>
              </w:rPr>
              <w:t>：15 min±5 s</w:t>
            </w:r>
          </w:p>
          <w:p>
            <w:pPr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>（6）</w:t>
            </w:r>
            <w:r>
              <w:rPr>
                <w:bCs/>
              </w:rPr>
              <w:t>环形砝码总质量：</w:t>
            </w:r>
            <w:r>
              <w:rPr>
                <w:rFonts w:hint="eastAsia"/>
                <w:bCs/>
              </w:rPr>
              <w:t>(</w:t>
            </w:r>
            <w:r>
              <w:rPr>
                <w:bCs/>
              </w:rPr>
              <w:t>800±1</w:t>
            </w:r>
            <w:r>
              <w:rPr>
                <w:rFonts w:hint="eastAsia"/>
                <w:bCs/>
              </w:rPr>
              <w:t>)</w:t>
            </w:r>
            <w:r>
              <w:rPr>
                <w:bCs/>
              </w:rPr>
              <w:t>g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2、主要计量标准的技术指标</w:t>
            </w:r>
          </w:p>
          <w:p>
            <w:pPr>
              <w:widowControl/>
              <w:spacing w:line="240" w:lineRule="auto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bCs/>
              </w:rPr>
              <w:t>（1）</w:t>
            </w:r>
            <w:r>
              <w:rPr>
                <w:color w:val="000000"/>
              </w:rPr>
              <w:t>转速表</w:t>
            </w:r>
            <w:r>
              <w:t>：分辨力0.01 r/min，0.1级</w:t>
            </w:r>
          </w:p>
          <w:p>
            <w:pPr>
              <w:widowControl/>
              <w:spacing w:line="240" w:lineRule="auto"/>
              <w:ind w:firstLine="420" w:firstLineChars="200"/>
              <w:jc w:val="left"/>
            </w:pPr>
            <w:r>
              <w:rPr>
                <w:rFonts w:hint="eastAsia"/>
                <w:bCs/>
              </w:rPr>
              <w:t>（2）</w:t>
            </w:r>
            <w:r>
              <w:t>专用半径</w:t>
            </w:r>
            <w:r>
              <w:rPr>
                <w:rFonts w:hint="eastAsia"/>
              </w:rPr>
              <w:t>样板</w:t>
            </w:r>
            <w:r>
              <w:t>：</w:t>
            </w:r>
            <w:r>
              <w:rPr>
                <w:color w:val="000000"/>
                <w:position w:val="-10"/>
                <w:szCs w:val="21"/>
              </w:rPr>
              <w:object>
                <v:shape id="_x0000_i1025" o:spt="75" type="#_x0000_t75" style="height:18.9pt;width:52.1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t>mm，</w:t>
            </w:r>
            <w:r>
              <w:rPr>
                <w:color w:val="000000"/>
                <w:position w:val="-10"/>
                <w:szCs w:val="21"/>
              </w:rPr>
              <w:object>
                <v:shape id="_x0000_i1026" o:spt="75" type="#_x0000_t75" style="height:18.9pt;width:52.1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t>mm</w:t>
            </w:r>
          </w:p>
          <w:p>
            <w:pPr>
              <w:widowControl/>
              <w:spacing w:line="240" w:lineRule="auto"/>
              <w:ind w:firstLine="420" w:firstLineChars="200"/>
              <w:jc w:val="left"/>
            </w:pPr>
            <w:r>
              <w:rPr>
                <w:rFonts w:hint="eastAsia"/>
              </w:rPr>
              <w:pict>
                <v:shape id="_x0000_s2050" o:spid="_x0000_s2050" o:spt="3" type="#_x0000_t3" style="position:absolute;left:0pt;margin-left:274.9pt;margin-top:7.85pt;height:8.25pt;width:12.4pt;z-index:251659264;mso-width-relative:page;mso-height-relative:page;" filled="f" coordsize="21600,21600">
                  <v:path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/>
              </w:rPr>
              <w:t>（3）</w:t>
            </w:r>
            <w:r>
              <w:t>电子天平：测量范围(20～1000)g，分辨力0.01 g，</w:t>
            </w:r>
            <w:r>
              <w:rPr>
                <w:rFonts w:hint="eastAsia"/>
              </w:rPr>
              <w:t>II</w:t>
            </w:r>
            <w:r>
              <w:rPr>
                <w:rFonts w:eastAsiaTheme="minorEastAsia"/>
              </w:rPr>
              <w:t>级</w:t>
            </w:r>
          </w:p>
          <w:p>
            <w:pPr>
              <w:spacing w:line="24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（4）</w:t>
            </w:r>
            <w:r>
              <w:t>电子秒表：测量范围(0.01～3600)s,MPE: ±0.10s/h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3、主要计量项目的技术原理</w:t>
            </w:r>
          </w:p>
          <w:p>
            <w:pPr>
              <w:spacing w:line="240" w:lineRule="auto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（1）</w:t>
            </w:r>
            <w:r>
              <w:rPr>
                <w:bCs/>
              </w:rPr>
              <w:t>转盘转速：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在</w:t>
            </w:r>
            <w:r>
              <w:rPr>
                <w:bCs/>
              </w:rPr>
              <w:t>转盘</w:t>
            </w:r>
            <w:r>
              <w:rPr>
                <w:rFonts w:hint="eastAsia"/>
                <w:bCs/>
              </w:rPr>
              <w:t>上选择一点粘贴反光条，按下“启动”按钮，将转速表的对光点对准反光条。重复测量3次，以3次测定值的算术平均值为测量结果。</w:t>
            </w:r>
          </w:p>
          <w:p>
            <w:pPr>
              <w:spacing w:line="240" w:lineRule="auto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（2）</w:t>
            </w:r>
            <w:r>
              <w:rPr>
                <w:bCs/>
              </w:rPr>
              <w:t>偏心轴转速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在</w:t>
            </w:r>
            <w:r>
              <w:rPr>
                <w:bCs/>
              </w:rPr>
              <w:t>偏心轴</w:t>
            </w:r>
            <w:r>
              <w:rPr>
                <w:rFonts w:hint="eastAsia"/>
                <w:bCs/>
              </w:rPr>
              <w:t>上选择一点粘贴反光条，按下“启动”按钮，将转速表的对光点对准反光条。重复测量3次，以3次测定值的算术平均值为测量结果。</w:t>
            </w:r>
          </w:p>
          <w:p>
            <w:pPr>
              <w:spacing w:line="240" w:lineRule="auto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（3）</w:t>
            </w:r>
            <w:r>
              <w:rPr>
                <w:bCs/>
              </w:rPr>
              <w:t>试验指头部半径</w:t>
            </w:r>
          </w:p>
          <w:p>
            <w:pPr>
              <w:spacing w:line="240" w:lineRule="auto"/>
              <w:ind w:firstLine="525" w:firstLineChars="250"/>
              <w:rPr>
                <w:bCs/>
              </w:rPr>
            </w:pPr>
            <w:r>
              <w:rPr>
                <w:bCs/>
              </w:rPr>
              <w:t>用专用</w:t>
            </w:r>
            <w:r>
              <w:rPr>
                <w:rFonts w:hint="eastAsia"/>
                <w:bCs/>
              </w:rPr>
              <w:t>半径样板测量试验指头部球面半径，每间隔1</w:t>
            </w:r>
            <w:r>
              <w:rPr>
                <w:bCs/>
              </w:rPr>
              <w:t>20</w:t>
            </w:r>
            <w:r>
              <w:rPr>
                <w:rFonts w:hint="eastAsia"/>
                <w:bCs/>
              </w:rPr>
              <w:t>°</w:t>
            </w:r>
            <w:r>
              <w:rPr>
                <w:bCs/>
              </w:rPr>
              <w:t>测量一次，每个极限尺寸各测量</w:t>
            </w:r>
            <w:r>
              <w:rPr>
                <w:rFonts w:hint="eastAsia"/>
                <w:bCs/>
              </w:rPr>
              <w:t>3次，观察样板与试验指头部接触形态来判定是否符合要求。</w:t>
            </w:r>
          </w:p>
          <w:p>
            <w:pPr>
              <w:spacing w:line="240" w:lineRule="auto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（4）</w:t>
            </w:r>
            <w:r>
              <w:rPr>
                <w:bCs/>
              </w:rPr>
              <w:t>试验指对材料的压力</w:t>
            </w:r>
          </w:p>
          <w:p>
            <w:pPr>
              <w:spacing w:line="240" w:lineRule="auto"/>
              <w:ind w:firstLine="525" w:firstLineChars="250"/>
              <w:rPr>
                <w:bCs/>
              </w:rPr>
            </w:pPr>
            <w:r>
              <w:rPr>
                <w:rFonts w:hint="eastAsia"/>
                <w:bCs/>
              </w:rPr>
              <w:t xml:space="preserve">   </w:t>
            </w:r>
            <w:r>
              <w:rPr>
                <w:bCs/>
              </w:rPr>
              <w:t>将电子天平放置于试验指正下方，调整天平水平及高度，使平衡杆高度与试验时一致，读取电子天平示值，</w:t>
            </w:r>
            <w:r>
              <w:rPr>
                <w:rFonts w:hint="eastAsia"/>
                <w:bCs/>
              </w:rPr>
              <w:t>重复测量2次，以2次测定值的算术平均值为测量结果。用</w:t>
            </w:r>
            <w:r>
              <w:rPr>
                <w:i/>
                <w:color w:val="000000"/>
                <w:sz w:val="24"/>
              </w:rPr>
              <w:t>F</w:t>
            </w:r>
            <w:r>
              <w:rPr>
                <w:i/>
                <w:color w:val="000000"/>
                <w:sz w:val="24"/>
              </w:rPr>
              <w:t xml:space="preserve">= </w:t>
            </w:r>
            <w:r>
              <w:rPr>
                <w:i/>
                <w:color w:val="000000"/>
                <w:sz w:val="24"/>
              </w:rPr>
              <w:t>m</w:t>
            </w:r>
            <w:r>
              <w:rPr>
                <w:i/>
                <w:color w:val="000000"/>
                <w:sz w:val="24"/>
              </w:rPr>
              <w:t>×</w:t>
            </w:r>
            <w:r>
              <w:rPr>
                <w:i/>
                <w:color w:val="000000"/>
                <w:sz w:val="24"/>
              </w:rPr>
              <w:t>g</w:t>
            </w:r>
            <w:r>
              <w:rPr>
                <w:bCs/>
                <w:color w:val="auto"/>
                <w:sz w:val="21"/>
              </w:rPr>
              <w:t>计算公式</w:t>
            </w:r>
            <w:r>
              <w:rPr>
                <w:bCs/>
              </w:rPr>
              <w:t>计算</w:t>
            </w:r>
            <w:r>
              <w:rPr>
                <w:rFonts w:hint="eastAsia"/>
                <w:bCs/>
              </w:rPr>
              <w:t>试验指对材料的压力。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（5）试验时间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bCs/>
              </w:rPr>
              <w:t>设定仪器试验</w:t>
            </w:r>
            <w:r>
              <w:rPr>
                <w:rFonts w:hint="eastAsia"/>
                <w:bCs/>
              </w:rPr>
              <w:t>时间为</w:t>
            </w:r>
            <w:r>
              <w:rPr>
                <w:bCs/>
              </w:rPr>
              <w:t>15 min,启动仪器，同时按下电子秒表开始计时，试验结束时按停电子秒表，并记录时间。</w:t>
            </w:r>
          </w:p>
          <w:p>
            <w:pPr>
              <w:spacing w:line="240" w:lineRule="auto"/>
              <w:ind w:firstLine="525" w:firstLineChars="25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（6）</w:t>
            </w:r>
            <w:r>
              <w:rPr>
                <w:bCs/>
              </w:rPr>
              <w:t>环形砝码总质量</w:t>
            </w:r>
          </w:p>
          <w:p>
            <w:pPr>
              <w:spacing w:line="240" w:lineRule="auto"/>
              <w:ind w:firstLine="525" w:firstLineChars="250"/>
              <w:rPr>
                <w:bCs/>
              </w:rPr>
            </w:pPr>
            <w:r>
              <w:rPr>
                <w:rFonts w:hint="eastAsia"/>
                <w:bCs/>
              </w:rPr>
              <w:t>将</w:t>
            </w:r>
            <w:r>
              <w:rPr>
                <w:bCs/>
              </w:rPr>
              <w:t>内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外环</w:t>
            </w:r>
            <w:r>
              <w:rPr>
                <w:rFonts w:hint="eastAsia"/>
                <w:bCs/>
              </w:rPr>
              <w:t>形</w:t>
            </w:r>
            <w:r>
              <w:rPr>
                <w:bCs/>
              </w:rPr>
              <w:t>砝码</w:t>
            </w:r>
            <w:r>
              <w:rPr>
                <w:rFonts w:hint="eastAsia"/>
                <w:bCs/>
              </w:rPr>
              <w:t>同时放到天平上测量，待数值稳定后记录测量数据，重复测量2次，以2次测定值的算术平均值为测量结果。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□国际先进        █国内先进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420" w:firstLineChars="200"/>
              <w:rPr>
                <w:sz w:val="21"/>
              </w:rPr>
            </w:pPr>
            <w:r>
              <w:rPr>
                <w:rFonts w:hint="eastAsia"/>
                <w:sz w:val="21"/>
              </w:rPr>
              <w:t>目前</w:t>
            </w:r>
            <w:r>
              <w:rPr>
                <w:rFonts w:hint="eastAsia"/>
              </w:rPr>
              <w:fldChar w:fldCharType="begin"/>
            </w:r>
            <w:r>
              <w:instrText xml:space="preserve"> HYPERLINK "https://link.zhihu.com/?target=http%3A//www.bfedetector.com/chanpinzhanshi/1.html" \t "_blank"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  <w:sz w:val="21"/>
              </w:rPr>
              <w:t>阻湿态微生物穿透测试仪</w:t>
            </w:r>
            <w:r>
              <w:rPr>
                <w:rFonts w:hint="eastAsia"/>
                <w:sz w:val="21"/>
              </w:rPr>
              <w:fldChar w:fldCharType="end"/>
            </w:r>
            <w:r>
              <w:rPr>
                <w:rFonts w:hint="eastAsia"/>
                <w:sz w:val="21"/>
              </w:rPr>
              <w:t>所遵循的主要标准有ISO 22610-2018及YY/T 0506.6。市场上常见的使用型号有温州市大荣纺织仪器有限公司的DR235系列，温州方圆仪器的FY708系列，西安研硕仪器的YS-730W系列等。</w:t>
            </w:r>
          </w:p>
          <w:p>
            <w:pPr>
              <w:spacing w:line="240" w:lineRule="auto"/>
              <w:ind w:firstLine="420" w:firstLineChars="200"/>
              <w:rPr>
                <w:sz w:val="21"/>
              </w:rPr>
            </w:pPr>
            <w:r>
              <w:rPr>
                <w:rFonts w:hint="eastAsia"/>
                <w:sz w:val="21"/>
              </w:rPr>
              <w:t>经查询，国内外目前尚未有针对类似仪器设备的检定规程或者校准规范。</w:t>
            </w:r>
          </w:p>
          <w:p>
            <w:pPr>
              <w:spacing w:line="240" w:lineRule="auto"/>
              <w:ind w:firstLine="420" w:firstLineChars="200"/>
              <w:rPr>
                <w:sz w:val="24"/>
              </w:rPr>
            </w:pPr>
            <w:r>
              <w:rPr>
                <w:rFonts w:hint="eastAsia"/>
                <w:sz w:val="21"/>
              </w:rPr>
              <w:t>尚未发现有知识产权或涉及专利的情况。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1NTk0OGE3YmEwYWJhZjk3MTc0NDI2ZWUxMzI2NTQifQ=="/>
  </w:docVars>
  <w:rsids>
    <w:rsidRoot w:val="00D5575B"/>
    <w:rsid w:val="000006BC"/>
    <w:rsid w:val="00002559"/>
    <w:rsid w:val="0000399A"/>
    <w:rsid w:val="00010B90"/>
    <w:rsid w:val="000238D3"/>
    <w:rsid w:val="00050F63"/>
    <w:rsid w:val="00055EE1"/>
    <w:rsid w:val="0007006F"/>
    <w:rsid w:val="00077A0B"/>
    <w:rsid w:val="00085574"/>
    <w:rsid w:val="000A0CE7"/>
    <w:rsid w:val="000B0E5E"/>
    <w:rsid w:val="000B3CF2"/>
    <w:rsid w:val="000D33EF"/>
    <w:rsid w:val="00110571"/>
    <w:rsid w:val="00122FB6"/>
    <w:rsid w:val="00133DB5"/>
    <w:rsid w:val="0013627D"/>
    <w:rsid w:val="00163347"/>
    <w:rsid w:val="00164800"/>
    <w:rsid w:val="001661A1"/>
    <w:rsid w:val="001760A2"/>
    <w:rsid w:val="00176B27"/>
    <w:rsid w:val="00180C23"/>
    <w:rsid w:val="001902D6"/>
    <w:rsid w:val="00190898"/>
    <w:rsid w:val="001961BA"/>
    <w:rsid w:val="001A1AF4"/>
    <w:rsid w:val="001A2BFE"/>
    <w:rsid w:val="001A5EDA"/>
    <w:rsid w:val="001C01F7"/>
    <w:rsid w:val="001C3DEF"/>
    <w:rsid w:val="001E6CFF"/>
    <w:rsid w:val="001E7765"/>
    <w:rsid w:val="001F2316"/>
    <w:rsid w:val="00222D17"/>
    <w:rsid w:val="002276D8"/>
    <w:rsid w:val="00236B01"/>
    <w:rsid w:val="00253CA2"/>
    <w:rsid w:val="00264324"/>
    <w:rsid w:val="002659FE"/>
    <w:rsid w:val="0027052F"/>
    <w:rsid w:val="002A1A9C"/>
    <w:rsid w:val="002B458B"/>
    <w:rsid w:val="002C1FBD"/>
    <w:rsid w:val="002D5C26"/>
    <w:rsid w:val="002E12FE"/>
    <w:rsid w:val="00314CCE"/>
    <w:rsid w:val="00316FDE"/>
    <w:rsid w:val="00321AF2"/>
    <w:rsid w:val="00337601"/>
    <w:rsid w:val="00351F9F"/>
    <w:rsid w:val="00361E37"/>
    <w:rsid w:val="003627AC"/>
    <w:rsid w:val="00364C88"/>
    <w:rsid w:val="00374269"/>
    <w:rsid w:val="00374B92"/>
    <w:rsid w:val="003B265C"/>
    <w:rsid w:val="003D45D9"/>
    <w:rsid w:val="003D5918"/>
    <w:rsid w:val="003D76BF"/>
    <w:rsid w:val="003F03AB"/>
    <w:rsid w:val="003F3BD7"/>
    <w:rsid w:val="003F768E"/>
    <w:rsid w:val="00400A51"/>
    <w:rsid w:val="00403433"/>
    <w:rsid w:val="00404689"/>
    <w:rsid w:val="0042296C"/>
    <w:rsid w:val="00424859"/>
    <w:rsid w:val="0043152F"/>
    <w:rsid w:val="00447325"/>
    <w:rsid w:val="004567CF"/>
    <w:rsid w:val="00462B69"/>
    <w:rsid w:val="00476845"/>
    <w:rsid w:val="00484EF1"/>
    <w:rsid w:val="00485321"/>
    <w:rsid w:val="004935C5"/>
    <w:rsid w:val="00494CC2"/>
    <w:rsid w:val="004A1AC6"/>
    <w:rsid w:val="004A7031"/>
    <w:rsid w:val="004C59F2"/>
    <w:rsid w:val="004E0CA6"/>
    <w:rsid w:val="004F780D"/>
    <w:rsid w:val="00504707"/>
    <w:rsid w:val="005067E7"/>
    <w:rsid w:val="005210FD"/>
    <w:rsid w:val="005472B7"/>
    <w:rsid w:val="0054762C"/>
    <w:rsid w:val="0055396F"/>
    <w:rsid w:val="005721EA"/>
    <w:rsid w:val="005A05C0"/>
    <w:rsid w:val="005A2EE0"/>
    <w:rsid w:val="005C6811"/>
    <w:rsid w:val="005C7C74"/>
    <w:rsid w:val="005F57C8"/>
    <w:rsid w:val="00602880"/>
    <w:rsid w:val="00603987"/>
    <w:rsid w:val="00633FE5"/>
    <w:rsid w:val="00652F4C"/>
    <w:rsid w:val="00654FB2"/>
    <w:rsid w:val="00667176"/>
    <w:rsid w:val="00694D69"/>
    <w:rsid w:val="006A33DC"/>
    <w:rsid w:val="006B0E56"/>
    <w:rsid w:val="006B1754"/>
    <w:rsid w:val="006C6789"/>
    <w:rsid w:val="006D06F4"/>
    <w:rsid w:val="007025EB"/>
    <w:rsid w:val="00702E3B"/>
    <w:rsid w:val="00705C27"/>
    <w:rsid w:val="007173A3"/>
    <w:rsid w:val="007256B0"/>
    <w:rsid w:val="007266EB"/>
    <w:rsid w:val="00735A4B"/>
    <w:rsid w:val="00737309"/>
    <w:rsid w:val="00745EAE"/>
    <w:rsid w:val="007543D6"/>
    <w:rsid w:val="007557EF"/>
    <w:rsid w:val="00770A80"/>
    <w:rsid w:val="00785352"/>
    <w:rsid w:val="007B1510"/>
    <w:rsid w:val="007B208E"/>
    <w:rsid w:val="007C3022"/>
    <w:rsid w:val="007C53D1"/>
    <w:rsid w:val="007D3F43"/>
    <w:rsid w:val="007D49CA"/>
    <w:rsid w:val="007E3CA2"/>
    <w:rsid w:val="007E4B9D"/>
    <w:rsid w:val="007F6726"/>
    <w:rsid w:val="00811B72"/>
    <w:rsid w:val="00830CC3"/>
    <w:rsid w:val="0087182F"/>
    <w:rsid w:val="00881200"/>
    <w:rsid w:val="00891BD0"/>
    <w:rsid w:val="008A6BE1"/>
    <w:rsid w:val="008B5911"/>
    <w:rsid w:val="008B70AE"/>
    <w:rsid w:val="008C4B6C"/>
    <w:rsid w:val="008D3A8D"/>
    <w:rsid w:val="008F1C22"/>
    <w:rsid w:val="00903165"/>
    <w:rsid w:val="00913974"/>
    <w:rsid w:val="00930927"/>
    <w:rsid w:val="00947F5B"/>
    <w:rsid w:val="00973167"/>
    <w:rsid w:val="00980987"/>
    <w:rsid w:val="00986E26"/>
    <w:rsid w:val="009A731C"/>
    <w:rsid w:val="009B7382"/>
    <w:rsid w:val="009C1135"/>
    <w:rsid w:val="009E31C3"/>
    <w:rsid w:val="009E351F"/>
    <w:rsid w:val="009E6B9E"/>
    <w:rsid w:val="009F38D4"/>
    <w:rsid w:val="00A02822"/>
    <w:rsid w:val="00A10B27"/>
    <w:rsid w:val="00A370ED"/>
    <w:rsid w:val="00A44722"/>
    <w:rsid w:val="00A47EB0"/>
    <w:rsid w:val="00A523D8"/>
    <w:rsid w:val="00A55881"/>
    <w:rsid w:val="00A628C1"/>
    <w:rsid w:val="00A74132"/>
    <w:rsid w:val="00A87EE3"/>
    <w:rsid w:val="00A93AB9"/>
    <w:rsid w:val="00AB3F68"/>
    <w:rsid w:val="00AB531C"/>
    <w:rsid w:val="00AB5985"/>
    <w:rsid w:val="00AC4F83"/>
    <w:rsid w:val="00AD5B0C"/>
    <w:rsid w:val="00AE52CB"/>
    <w:rsid w:val="00AF6829"/>
    <w:rsid w:val="00B32240"/>
    <w:rsid w:val="00B3228B"/>
    <w:rsid w:val="00B5767B"/>
    <w:rsid w:val="00B611EB"/>
    <w:rsid w:val="00B62B3C"/>
    <w:rsid w:val="00B67381"/>
    <w:rsid w:val="00B721FE"/>
    <w:rsid w:val="00BA040F"/>
    <w:rsid w:val="00BE1274"/>
    <w:rsid w:val="00C06BD5"/>
    <w:rsid w:val="00C10D6C"/>
    <w:rsid w:val="00C2561C"/>
    <w:rsid w:val="00C3535F"/>
    <w:rsid w:val="00C4680D"/>
    <w:rsid w:val="00C479A2"/>
    <w:rsid w:val="00C558B4"/>
    <w:rsid w:val="00C70D63"/>
    <w:rsid w:val="00C70F0F"/>
    <w:rsid w:val="00C73740"/>
    <w:rsid w:val="00C81542"/>
    <w:rsid w:val="00CD1917"/>
    <w:rsid w:val="00D0572E"/>
    <w:rsid w:val="00D06FE5"/>
    <w:rsid w:val="00D11EBE"/>
    <w:rsid w:val="00D13EF9"/>
    <w:rsid w:val="00D34FB6"/>
    <w:rsid w:val="00D46411"/>
    <w:rsid w:val="00D5575B"/>
    <w:rsid w:val="00D56D6E"/>
    <w:rsid w:val="00D5728F"/>
    <w:rsid w:val="00D86C0F"/>
    <w:rsid w:val="00DB01B4"/>
    <w:rsid w:val="00DE3F1E"/>
    <w:rsid w:val="00E01A52"/>
    <w:rsid w:val="00E13EC4"/>
    <w:rsid w:val="00E24353"/>
    <w:rsid w:val="00E31262"/>
    <w:rsid w:val="00E31E08"/>
    <w:rsid w:val="00E915E3"/>
    <w:rsid w:val="00EA03DC"/>
    <w:rsid w:val="00EA1166"/>
    <w:rsid w:val="00EA3B6C"/>
    <w:rsid w:val="00EA7A94"/>
    <w:rsid w:val="00EC1D0D"/>
    <w:rsid w:val="00EE02C6"/>
    <w:rsid w:val="00EF6902"/>
    <w:rsid w:val="00F145B5"/>
    <w:rsid w:val="00F25154"/>
    <w:rsid w:val="00F26DA2"/>
    <w:rsid w:val="00F36356"/>
    <w:rsid w:val="00F4134E"/>
    <w:rsid w:val="00F4273A"/>
    <w:rsid w:val="00F445D6"/>
    <w:rsid w:val="00F50F3A"/>
    <w:rsid w:val="00F552E3"/>
    <w:rsid w:val="00F66024"/>
    <w:rsid w:val="00F7514E"/>
    <w:rsid w:val="00F77A37"/>
    <w:rsid w:val="00F83DA4"/>
    <w:rsid w:val="00F86600"/>
    <w:rsid w:val="00FD006E"/>
    <w:rsid w:val="00FF6918"/>
    <w:rsid w:val="018933F4"/>
    <w:rsid w:val="0316204F"/>
    <w:rsid w:val="06500B9D"/>
    <w:rsid w:val="0C097A5E"/>
    <w:rsid w:val="13755A3D"/>
    <w:rsid w:val="14B92CAA"/>
    <w:rsid w:val="181A6EEE"/>
    <w:rsid w:val="1C5605FF"/>
    <w:rsid w:val="2494667F"/>
    <w:rsid w:val="255B3403"/>
    <w:rsid w:val="287655FD"/>
    <w:rsid w:val="2D5816D3"/>
    <w:rsid w:val="34A53712"/>
    <w:rsid w:val="34D56EA9"/>
    <w:rsid w:val="38F54ECE"/>
    <w:rsid w:val="4D45217C"/>
    <w:rsid w:val="4E0E7F9C"/>
    <w:rsid w:val="61BF6EDE"/>
    <w:rsid w:val="639559CC"/>
    <w:rsid w:val="70414EA2"/>
    <w:rsid w:val="70A628A5"/>
    <w:rsid w:val="743E30DF"/>
    <w:rsid w:val="7AE66187"/>
    <w:rsid w:val="FF6FE1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标题 1 Char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13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semiHidden/>
    <w:qFormat/>
    <w:uiPriority w:val="99"/>
    <w:rPr>
      <w:sz w:val="18"/>
      <w:szCs w:val="18"/>
    </w:rPr>
  </w:style>
  <w:style w:type="paragraph" w:styleId="15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6">
    <w:name w:val="批注框文本 Char"/>
    <w:basedOn w:val="8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2142</Words>
  <Characters>2328</Characters>
  <Lines>26</Lines>
  <Paragraphs>7</Paragraphs>
  <TotalTime>0</TotalTime>
  <ScaleCrop>false</ScaleCrop>
  <LinksUpToDate>false</LinksUpToDate>
  <CharactersWithSpaces>2373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2023-01-10T05:59:56Z</dcterms:modified>
  <dc:title>附件2：</dc:title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3748557EE038404CBF24C4F0FB2DCEF5</vt:lpwstr>
  </property>
</Properties>
</file>