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60"/>
        <w:gridCol w:w="870"/>
        <w:gridCol w:w="870"/>
        <w:gridCol w:w="1596"/>
        <w:gridCol w:w="724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非织造布溢流量测试仪校准规范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■</w:t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■校准规范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山东省纺织科学研究院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胡尊芳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15966926773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val="en-US" w:eastAsia="zh-CN"/>
              </w:rPr>
              <w:t>2023 - 2025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山东省特种纺织品加工技术重点实验室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 □节能 □环保 □自主创新 ■其他：产业急需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织造布溢流量测试仪主要用于手术衣、手术单、洁净服等非织造布材料对于特定试验液体溢流量的测试。基本原理：试样与吸液垫重叠放置在具有一定倾斜角度的试验台上。在规定时间内，将一定质量的模拟尿液倾注到标准吸液垫上的试样上，放置于试样下端的标准接收垫收集经试样流出的剩余模拟尿液。称量并计算标准接收垫收集到的流出液体的质量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非织造布溢流量测试仪适用标准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GB/T 24218.11-2012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纺织品 非织造布试验方法 第11部分：溢流量的测定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》、YY/T 0506.2-2016《病人、医护人员和器械用手术单、手术衣和洁净服第2部分:性能要求和试验方法》及ISO 9073-11:2002等。在医用非织造布材料生产企业、纺织计量检测机构、科研院所等单位应用广泛。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FF0000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目前尚未有非织造布溢流量测试仪的相关校准规范，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一是不能满足CNAS实验室对仪器校准工作的实际需要，二是由于无统一的校准方法，各相关试验仪器的检测无法实现量值统一和计量溯源，不能保证检测数据的一致性。在行业层面制定统一的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校准规范来评价和规范非织造布溢流量测试仪的计量性能，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为各使用单位提供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统一的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准依据，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确保此类仪器测量结果准确可靠，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为提升非织造布材料质量保驾护航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8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计量技术规范的适用范围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适用于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非织造布溢流量测试仪</w:t>
            </w:r>
            <w:r>
              <w:rPr>
                <w:rFonts w:hint="eastAsia" w:ascii="宋体" w:hAnsi="宋体" w:cs="宋体"/>
                <w:sz w:val="24"/>
              </w:rPr>
              <w:t>的计量校准。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计量特性及其技术指标要求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4"/>
              </w:rPr>
              <w:t>依据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GB/T 24218.11-2012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纺织品 非织造布试验方法 第11部分：溢流量的测定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》的要求，提出以下计量特性：</w:t>
            </w:r>
          </w:p>
          <w:tbl>
            <w:tblPr>
              <w:tblStyle w:val="6"/>
              <w:tblW w:w="0" w:type="auto"/>
              <w:tblInd w:w="-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6"/>
              <w:gridCol w:w="992"/>
              <w:gridCol w:w="1913"/>
              <w:gridCol w:w="2765"/>
              <w:gridCol w:w="7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序号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项目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技术要求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1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排液管内径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(5±0.2)mm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2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cs="宋体" w:asciiTheme="majorEastAsia" w:hAnsiTheme="majorEastAsia" w:eastAsiaTheme="majorEastAsia"/>
                      <w:szCs w:val="21"/>
                    </w:rPr>
                  </w:pPr>
                  <w:r>
                    <w:rPr>
                      <w:rFonts w:cs="宋体" w:asciiTheme="majorEastAsia" w:hAnsiTheme="majorEastAsia" w:eastAsiaTheme="majorEastAsia"/>
                      <w:szCs w:val="21"/>
                    </w:rPr>
                    <w:t>测试时间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jc w:val="center"/>
                    <w:rPr>
                      <w:rFonts w:cs="宋体"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(4.0±0.5)s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3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cs="宋体"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4s排液质量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jc w:val="center"/>
                    <w:rPr>
                      <w:rFonts w:cs="宋体" w:asciiTheme="majorEastAsia" w:hAnsiTheme="majorEastAsia" w:eastAsiaTheme="majorEastAsia"/>
                      <w:szCs w:val="21"/>
                      <w:highlight w:val="yellow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(25.0±0.5)g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Merge w:val="restart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4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试样台</w:t>
                  </w: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参考标记线</w:t>
                  </w:r>
                </w:p>
              </w:tc>
              <w:tc>
                <w:tcPr>
                  <w:tcW w:w="1913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试样台中心对称线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line="240" w:lineRule="auto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在(90±1)mm标出对称参考标记线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Merge w:val="continue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  <w:tc>
                <w:tcPr>
                  <w:tcW w:w="992" w:type="dxa"/>
                  <w:vMerge w:val="continue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  <w:tc>
                <w:tcPr>
                  <w:tcW w:w="1913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试样台下参考线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cs="宋体"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距试样台下边缘(3±0.2)mm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Merge w:val="continue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  <w:tc>
                <w:tcPr>
                  <w:tcW w:w="992" w:type="dxa"/>
                  <w:vMerge w:val="continue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  <w:tc>
                <w:tcPr>
                  <w:tcW w:w="1913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试样台上、下两条参考线的间距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(250±0.2)mm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5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试样台倾斜角度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25°±10′、10°±10′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6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>排液管下端口距试样台上参考线中心的垂直距离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szCs w:val="21"/>
                    </w:rPr>
                    <w:t xml:space="preserve"> (27±1)mm</w:t>
                  </w:r>
                </w:p>
              </w:tc>
              <w:tc>
                <w:tcPr>
                  <w:tcW w:w="724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Cs w:val="21"/>
                    </w:rPr>
                  </w:pPr>
                </w:p>
              </w:tc>
            </w:tr>
          </w:tbl>
          <w:p>
            <w:pPr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主要测量标准的技术指标</w:t>
            </w:r>
          </w:p>
          <w:tbl>
            <w:tblPr>
              <w:tblStyle w:val="6"/>
              <w:tblW w:w="0" w:type="auto"/>
              <w:tblInd w:w="-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6"/>
              <w:gridCol w:w="1412"/>
              <w:gridCol w:w="2177"/>
              <w:gridCol w:w="2138"/>
              <w:gridCol w:w="6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序号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标准器名称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测量范围、分度值或分辨力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不确定度或准确度等级或最大允许误差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数量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万能角度尺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（0~320）°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分度值：2′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/>
                      <w:spacing w:val="11"/>
                      <w:kern w:val="0"/>
                      <w:szCs w:val="21"/>
                    </w:rPr>
                    <w:t>MPE:</w:t>
                  </w:r>
                  <w:r>
                    <w:rPr>
                      <w:rFonts w:hint="eastAsia"/>
                      <w:szCs w:val="21"/>
                    </w:rPr>
                    <w:t>±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2′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游标卡尺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（0~150）mm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分度值：0.02mm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/>
                      <w:spacing w:val="11"/>
                      <w:kern w:val="0"/>
                      <w:szCs w:val="21"/>
                    </w:rPr>
                    <w:t>MPE:±0.03mm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游标卡尺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（0~300）mm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分度值：0.02mm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/>
                      <w:spacing w:val="11"/>
                      <w:kern w:val="0"/>
                      <w:szCs w:val="21"/>
                    </w:rPr>
                    <w:t>MPE:±0.04mm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钢直尺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（0~150）mm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分度值：1 mm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 w:ascii="宋体" w:hAnsi="宋体"/>
                      <w:spacing w:val="11"/>
                      <w:kern w:val="0"/>
                      <w:szCs w:val="21"/>
                    </w:rPr>
                    <w:t>MPE:±0.1mm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电子天平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（0.05~200）g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分度值：0.01g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eastAsia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Ⅱ级</w:t>
                  </w:r>
                  <w:r>
                    <w:rPr>
                      <w:rFonts w:asciiTheme="minorEastAsia" w:hAnsiTheme="minorEastAsia" w:eastAsiaTheme="minorEastAsia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5121910</wp:posOffset>
                            </wp:positionH>
                            <wp:positionV relativeFrom="paragraph">
                              <wp:posOffset>7302500</wp:posOffset>
                            </wp:positionV>
                            <wp:extent cx="255270" cy="205105"/>
                            <wp:effectExtent l="4445" t="5080" r="14605" b="18415"/>
                            <wp:wrapNone/>
                            <wp:docPr id="5" name="椭圆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-221065">
                                      <a:off x="0" y="0"/>
                                      <a:ext cx="255270" cy="20510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III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3" type="#_x0000_t3" style="position:absolute;left:0pt;margin-left:403.3pt;margin-top:575pt;height:16.15pt;width:20.1pt;rotation:-241462f;z-index:251660288;mso-width-relative:page;mso-height-relative:page;" filled="f" stroked="t" coordsize="21600,21600" o:gfxdata="UEsDBAoAAAAAAIdO4kAAAAAAAAAAAAAAAAAEAAAAZHJzL1BLAwQUAAAACACHTuJAajNsmtoAAAAN&#10;AQAADwAAAGRycy9kb3ducmV2LnhtbE2PzU7DMBCE70i8g7VIXFBrp0BkQpwekIjgRgsV4ubGSxLh&#10;nyh2mvbt2Z7guDOfZmfK9dFZdsAx9sEryJYCGPommN63Cj7enxcSWEzaG22DRwUnjLCuLi9KXZgw&#10;+w0etqllFOJjoRV0KQ0F57Hp0Om4DAN68r7D6HSic2y5GfVM4c7ylRA5d7r39KHTAz512PxsJ6fg&#10;rcbPvt7ddPWra+zD6WueXmSr1PVVJh6BJTymPxjO9ak6VNRpHyZvIrMKpMhzQsnI7gWtIkTe5bRm&#10;f5bk6hZ4VfL/K6pfUEsDBBQAAAAIAIdO4kAp8Uk4EAIAACoEAAAOAAAAZHJzL2Uyb0RvYy54bWyt&#10;U0uO1DAQ3SNxB8v76XykDBB1ehY0g5AQjDRwALftJJb8k8vdSV+AU7Bky7HgHJSd7gaGTS/IInp2&#10;lV/Vey6v72ajyUEGUM52tFqVlEjLnVB26OjnT/c3LymByKxg2lnZ0aMEerd5/mw9+VbWbnRayECQ&#10;xEI7+Y6OMfq2KICP0jBYOS8tBnsXDIu4DEMhApuQ3eiiLsvbYnJB+OC4BMDd7RKkJ8ZwDaHre8Xl&#10;1vG9kTYurEFqFlESjMoD3eRu+17y+LHvQUaiO4pKY/5jEcS79C82a9YOgflR8VML7JoWnmgyTFks&#10;eqHassjIPqh/qIziwYHr44o7UyxCsiOooiqfePM4Mi+zFrQa/MV0+H+0/MPhIRAlOtpQYpnBC//5&#10;7fuPr19Ik7yZPLSY8ugfwmkFCJPQuQ+GBIeG3tR1Vd42WT4KInN293hxV86RcNysm6Z+gb5zDNVl&#10;U5W5QrFQJUofIL6VzpAEOiq1xqtM+lnLDu8hYgeYfc5K29bdK63zHWpLpo6+amrUwRnOZY/zgNB4&#10;1AZ2yDTgtBLpSDoMYdi91oEcWJqN/CXJWOKvtFRvy2Bc8nJomZpRMvHGChKPHl2z+FhoasFIQYmW&#10;+LYSyr1FpvQ1mVhaW+wgub74nFCcdzPSJLhz4ojXpd9ZHIE0zmcQzmB3Bnsf1DCijVUWlU7jCGV5&#10;p3FPM/rnOhf+/cQ3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M2ya2gAAAA0BAAAPAAAAAAAA&#10;AAEAIAAAACIAAABkcnMvZG93bnJldi54bWxQSwECFAAUAAAACACHTuJAKfFJOBACAAAqBAAADgAA&#10;AAAAAAABACAAAAApAQAAZHJzL2Uyb0RvYy54bWxQSwUGAAAAAAYABgBZAQAAqwU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III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 w:eastAsiaTheme="minorEastAsia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4512310</wp:posOffset>
                            </wp:positionH>
                            <wp:positionV relativeFrom="paragraph">
                              <wp:posOffset>6692900</wp:posOffset>
                            </wp:positionV>
                            <wp:extent cx="255270" cy="205105"/>
                            <wp:effectExtent l="4445" t="5080" r="14605" b="18415"/>
                            <wp:wrapNone/>
                            <wp:docPr id="1" name="椭圆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-221065">
                                      <a:off x="0" y="0"/>
                                      <a:ext cx="255270" cy="20510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III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3" type="#_x0000_t3" style="position:absolute;left:0pt;margin-left:355.3pt;margin-top:527pt;height:16.15pt;width:20.1pt;rotation:-241462f;z-index:251659264;mso-width-relative:page;mso-height-relative:page;" filled="f" stroked="t" coordsize="21600,21600" o:gfxdata="UEsDBAoAAAAAAIdO4kAAAAAAAAAAAAAAAAAEAAAAZHJzL1BLAwQUAAAACACHTuJAaSSl+9oAAAAN&#10;AQAADwAAAGRycy9kb3ducmV2LnhtbE2PzU7DMBCE70i8g7VIXBC1AzQNIU4PSERwKwWEuLnxEkf4&#10;J4qdpn17tic47syn2ZlqfXCW7XGMffASsoUAhr4NuvedhPe3p+sCWEzKa2WDRwlHjLCuz88qVeow&#10;+1fcb1PHKMTHUkkwKQ0l57E16FRchAE9ed9hdCrROXZcj2qmcGf5jRA5d6r39MGoAR8Ntj/byUnY&#10;NPjZNx9Xpnlxrb0/fs3Tc9FJeXmRiQdgCQ/pD4ZTfaoONXXahcnryKyEVSZyQskQyztaRchqKWjN&#10;7iQV+S3wuuL/V9S/UEsDBBQAAAAIAIdO4kBPBaxiDwIAACoEAAAOAAAAZHJzL2Uyb0RvYy54bWyt&#10;U82O0zAQviPxDpbv26SRskDUdA+URUgIVlp4gKntJJb8J9tt0hfgKThy5bHgORg7aYHl0gM5RJ/H&#10;42/m+zze3E1akaPwQVrT0vWqpEQYZrk0fUs/f7q/eUlJiGA4KGtES08i0Lvt82eb0TWisoNVXHiC&#10;JCY0o2vpEKNriiKwQWgIK+uEwc3Oeg0Rl74vuIcR2bUqqrK8LUbrufOWiRAwups36cLoryG0XSeZ&#10;2Fl20MLEmdULBRElhUG6QLe5264TLH7suiAiUS1FpTH/sQjiffoX2w00vQc3SLa0ANe08ESTBmmw&#10;6IVqBxHIwct/qLRk3gbbxRWzupiFZEdQxbp84s3jAE5kLWh1cBfTw/+jZR+OD55IjpNAiQGNF/7z&#10;2/cfX7+QdfJmdKHBlEf34JdVQJiETp3XxFs09Kaq1uVtneWjIDJld08Xd8UUCcNgVdfVC/Sd4VZV&#10;1uuyThWKmSpROh/iW2E1SaClQim8yqQfGji+D3HOPmelsLH3UimMQ6MMGVv6qq5qrAA4lx3OA0Lt&#10;UFswfaYJVkmejqQTwff718qTI6TZyN/S0F9pqd4OwjDn5a2UBs0ggL8xnMSTQ9cMPhaaWtCCU6IE&#10;vq2EcmYEqa7JRC+UQUuS67PPCcVpPyFNgnvLT3hd6p3BEUjjfAb+DPZncHBe9gPamO8xU+IIZb+X&#10;cU8z+uc6F/79xL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kkpfvaAAAADQEAAA8AAAAAAAAA&#10;AQAgAAAAIgAAAGRycy9kb3ducmV2LnhtbFBLAQIUABQAAAAIAIdO4kBPBaxiDwIAACoEAAAOAAAA&#10;AAAAAAEAIAAAACkBAABkcnMvZTJvRG9jLnhtbFBLBQYAAAAABgAGAFkBAACqBQ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III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6</w:t>
                  </w:r>
                </w:p>
              </w:tc>
              <w:tc>
                <w:tcPr>
                  <w:tcW w:w="1412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电子秒表</w:t>
                  </w:r>
                </w:p>
              </w:tc>
              <w:tc>
                <w:tcPr>
                  <w:tcW w:w="217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（0~60）s</w:t>
                  </w:r>
                </w:p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分度值：0.01s</w:t>
                  </w:r>
                </w:p>
              </w:tc>
              <w:tc>
                <w:tcPr>
                  <w:tcW w:w="2138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MPE:±0.05s</w:t>
                  </w:r>
                </w:p>
              </w:tc>
              <w:tc>
                <w:tcPr>
                  <w:tcW w:w="667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</w:tr>
          </w:tbl>
          <w:p>
            <w:pPr>
              <w:ind w:firstLine="480" w:firstLineChars="20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4.主要计量项目的技术原理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(1)排液管内径：用游标卡尺（量程为0-150mm）内量爪直接测量排液管内径；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(2)测试时间：用电子秒表直接测量测试时间；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(3) 4s排液质量：在排液管底部放置1个已知质量</w:t>
            </w:r>
            <m:oMath>
              <m:sSub>
                <m:sSubP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m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0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洁净干燥的烧杯，将三级水持续、平稳地注入漏斗至标记线处，设定时间继电器时间为4s，按下“启动”按键，时间自动计时，同时排液开始，计时时间到，计时自动停止，同时排液停止，用电子天平称量收集完液体后烧杯的质量为</w:t>
            </w:r>
            <m:oMath>
              <m:sSub>
                <m:sSubP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/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m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/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，排液质量</w:t>
            </w:r>
            <m:oMath>
              <m:r>
                <m:rPr>
                  <m:sty m:val="p"/>
                </m:rPr>
                <w:rPr>
                  <w:rFonts w:ascii="Cambria Math" w:hAnsi="Cambria Math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m=</m:t>
              </m:r>
              <m:sSub>
                <m:sSubP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/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m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/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  <m:r>
                <m:rPr/>
                <w:rPr>
                  <w:rFonts w:ascii="Cambria Math" w:hAnsi="Cambria Math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−</m:t>
              </m:r>
              <m:sSub>
                <m:sSubP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m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0</m:t>
                  </m:r>
                  <m:ctrlPr>
                    <w:rPr>
                      <w:rFonts w:ascii="Cambria Math" w:hAnsi="Cambria Math" w:cs="宋体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，重复测量三次，计算实际称量的液体质量的算术平均值作为排液质量。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(4) 试样台参考标记线：用游标卡尺直接测量试样台参考标记线；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(5) 试样台倾斜角度：用万能角度尺直接测量试样台倾斜角度；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(6) 排液管下端口距试样台上参考线中心的垂直距离：用钢直尺直接测量排液管下端口距试样台上参考线中心的垂直距离。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□国际先进        ■国内先进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480" w:firstLineChars="200"/>
              <w:rPr>
                <w:rFonts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</w:rPr>
              <w:t>经查新，目前国内外均无非织造布溢流量测试仪相关的校准规范。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本项目不涉及知识产权或专利问题。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p>
      <w:pPr>
        <w:rPr>
          <w:szCs w:val="21"/>
        </w:rPr>
      </w:pP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46DF5D"/>
    <w:multiLevelType w:val="singleLevel"/>
    <w:tmpl w:val="8F46DF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1NTk0OGE3YmEwYWJhZjk3MTc0NDI2ZWUxMzI2NTQifQ=="/>
  </w:docVars>
  <w:rsids>
    <w:rsidRoot w:val="00D5575B"/>
    <w:rsid w:val="000006BC"/>
    <w:rsid w:val="00010B90"/>
    <w:rsid w:val="00055EE1"/>
    <w:rsid w:val="0007006F"/>
    <w:rsid w:val="00077A0B"/>
    <w:rsid w:val="00085574"/>
    <w:rsid w:val="000916E4"/>
    <w:rsid w:val="000B0E5E"/>
    <w:rsid w:val="000D33EF"/>
    <w:rsid w:val="000F0B91"/>
    <w:rsid w:val="000F61D2"/>
    <w:rsid w:val="00110571"/>
    <w:rsid w:val="00122FB6"/>
    <w:rsid w:val="00133DB5"/>
    <w:rsid w:val="001661A1"/>
    <w:rsid w:val="00180C23"/>
    <w:rsid w:val="00181BC9"/>
    <w:rsid w:val="001A02DA"/>
    <w:rsid w:val="001A2BFE"/>
    <w:rsid w:val="001A5EDA"/>
    <w:rsid w:val="001B29B1"/>
    <w:rsid w:val="001C01F7"/>
    <w:rsid w:val="001C3DEF"/>
    <w:rsid w:val="001E6CFF"/>
    <w:rsid w:val="001E7765"/>
    <w:rsid w:val="001F2316"/>
    <w:rsid w:val="00222283"/>
    <w:rsid w:val="00222D17"/>
    <w:rsid w:val="00226C2F"/>
    <w:rsid w:val="00236B01"/>
    <w:rsid w:val="00264324"/>
    <w:rsid w:val="002A33E0"/>
    <w:rsid w:val="002C1FBD"/>
    <w:rsid w:val="002E12FE"/>
    <w:rsid w:val="002E427A"/>
    <w:rsid w:val="00314CCE"/>
    <w:rsid w:val="00337601"/>
    <w:rsid w:val="0035629C"/>
    <w:rsid w:val="00374B92"/>
    <w:rsid w:val="003D76BF"/>
    <w:rsid w:val="003F03AB"/>
    <w:rsid w:val="003F768E"/>
    <w:rsid w:val="00400A51"/>
    <w:rsid w:val="00424859"/>
    <w:rsid w:val="00485321"/>
    <w:rsid w:val="004935C5"/>
    <w:rsid w:val="004958E2"/>
    <w:rsid w:val="004E0CA6"/>
    <w:rsid w:val="00504707"/>
    <w:rsid w:val="005067E7"/>
    <w:rsid w:val="005472B7"/>
    <w:rsid w:val="0055396F"/>
    <w:rsid w:val="00555B77"/>
    <w:rsid w:val="005721EA"/>
    <w:rsid w:val="005C6811"/>
    <w:rsid w:val="00602880"/>
    <w:rsid w:val="00607D86"/>
    <w:rsid w:val="00633FE5"/>
    <w:rsid w:val="00652F4C"/>
    <w:rsid w:val="006B0E56"/>
    <w:rsid w:val="006B1754"/>
    <w:rsid w:val="006D06F4"/>
    <w:rsid w:val="006E6CC8"/>
    <w:rsid w:val="007025EB"/>
    <w:rsid w:val="00702E3B"/>
    <w:rsid w:val="00705C27"/>
    <w:rsid w:val="007256B0"/>
    <w:rsid w:val="007266EB"/>
    <w:rsid w:val="00735A4B"/>
    <w:rsid w:val="00737309"/>
    <w:rsid w:val="00745EAE"/>
    <w:rsid w:val="007543D6"/>
    <w:rsid w:val="00785352"/>
    <w:rsid w:val="007C3022"/>
    <w:rsid w:val="007C66B2"/>
    <w:rsid w:val="007E4B9D"/>
    <w:rsid w:val="00830CC3"/>
    <w:rsid w:val="0087182F"/>
    <w:rsid w:val="008A6BE1"/>
    <w:rsid w:val="008B5911"/>
    <w:rsid w:val="008D70F3"/>
    <w:rsid w:val="008F1C22"/>
    <w:rsid w:val="00913974"/>
    <w:rsid w:val="0092436A"/>
    <w:rsid w:val="00930927"/>
    <w:rsid w:val="00947F5B"/>
    <w:rsid w:val="009913CE"/>
    <w:rsid w:val="009B7382"/>
    <w:rsid w:val="009C1135"/>
    <w:rsid w:val="009C259B"/>
    <w:rsid w:val="009E6B9E"/>
    <w:rsid w:val="00A10B27"/>
    <w:rsid w:val="00A370ED"/>
    <w:rsid w:val="00A404B3"/>
    <w:rsid w:val="00A47EB0"/>
    <w:rsid w:val="00A523D8"/>
    <w:rsid w:val="00A736C9"/>
    <w:rsid w:val="00AB3F68"/>
    <w:rsid w:val="00AB5985"/>
    <w:rsid w:val="00AC4F83"/>
    <w:rsid w:val="00AE52CB"/>
    <w:rsid w:val="00AF6829"/>
    <w:rsid w:val="00B32240"/>
    <w:rsid w:val="00B5767B"/>
    <w:rsid w:val="00B62B3C"/>
    <w:rsid w:val="00BD364D"/>
    <w:rsid w:val="00BE1274"/>
    <w:rsid w:val="00C2561C"/>
    <w:rsid w:val="00C479A2"/>
    <w:rsid w:val="00C558B4"/>
    <w:rsid w:val="00CD1917"/>
    <w:rsid w:val="00D0572E"/>
    <w:rsid w:val="00D12E87"/>
    <w:rsid w:val="00D13EF9"/>
    <w:rsid w:val="00D46411"/>
    <w:rsid w:val="00D5575B"/>
    <w:rsid w:val="00D56D6E"/>
    <w:rsid w:val="00DB01B4"/>
    <w:rsid w:val="00DE3F1E"/>
    <w:rsid w:val="00E00278"/>
    <w:rsid w:val="00E01A52"/>
    <w:rsid w:val="00E13EC4"/>
    <w:rsid w:val="00E20AE2"/>
    <w:rsid w:val="00E24353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46184"/>
    <w:rsid w:val="00F5308F"/>
    <w:rsid w:val="00F552E3"/>
    <w:rsid w:val="00F66024"/>
    <w:rsid w:val="00F7514E"/>
    <w:rsid w:val="00F77A37"/>
    <w:rsid w:val="00F81B51"/>
    <w:rsid w:val="00F83DA4"/>
    <w:rsid w:val="00F86600"/>
    <w:rsid w:val="00FB4055"/>
    <w:rsid w:val="00FD006E"/>
    <w:rsid w:val="018933F4"/>
    <w:rsid w:val="0316204F"/>
    <w:rsid w:val="038A1BB2"/>
    <w:rsid w:val="059A3B9C"/>
    <w:rsid w:val="07E13D6B"/>
    <w:rsid w:val="08004B05"/>
    <w:rsid w:val="095E66D7"/>
    <w:rsid w:val="0C097A5E"/>
    <w:rsid w:val="0C7451AE"/>
    <w:rsid w:val="0D3F7BF2"/>
    <w:rsid w:val="0E840618"/>
    <w:rsid w:val="10635C65"/>
    <w:rsid w:val="10A27EF0"/>
    <w:rsid w:val="116972AB"/>
    <w:rsid w:val="11C20769"/>
    <w:rsid w:val="11E608FC"/>
    <w:rsid w:val="13E23345"/>
    <w:rsid w:val="14B92CAA"/>
    <w:rsid w:val="181A6EEE"/>
    <w:rsid w:val="1B193AF0"/>
    <w:rsid w:val="1B291859"/>
    <w:rsid w:val="1C5605FF"/>
    <w:rsid w:val="1C705992"/>
    <w:rsid w:val="1D24052A"/>
    <w:rsid w:val="1FF00B97"/>
    <w:rsid w:val="215A451A"/>
    <w:rsid w:val="23111551"/>
    <w:rsid w:val="2389558B"/>
    <w:rsid w:val="2494667F"/>
    <w:rsid w:val="255B3403"/>
    <w:rsid w:val="25976412"/>
    <w:rsid w:val="274916FD"/>
    <w:rsid w:val="27F84A8D"/>
    <w:rsid w:val="284101E2"/>
    <w:rsid w:val="287655FD"/>
    <w:rsid w:val="2CD96CF9"/>
    <w:rsid w:val="2D3C366E"/>
    <w:rsid w:val="2DB10FA4"/>
    <w:rsid w:val="2E4D1DE6"/>
    <w:rsid w:val="2EFC4E63"/>
    <w:rsid w:val="2FB930D1"/>
    <w:rsid w:val="305859D1"/>
    <w:rsid w:val="31466869"/>
    <w:rsid w:val="336F4CAE"/>
    <w:rsid w:val="33E32A95"/>
    <w:rsid w:val="34A53712"/>
    <w:rsid w:val="34D56EA9"/>
    <w:rsid w:val="352632D5"/>
    <w:rsid w:val="37272C99"/>
    <w:rsid w:val="38DB04A5"/>
    <w:rsid w:val="3A416A3A"/>
    <w:rsid w:val="3C067321"/>
    <w:rsid w:val="43614568"/>
    <w:rsid w:val="436D5ED7"/>
    <w:rsid w:val="46787622"/>
    <w:rsid w:val="47CF0F0F"/>
    <w:rsid w:val="4823125B"/>
    <w:rsid w:val="485B6C46"/>
    <w:rsid w:val="48E36CDF"/>
    <w:rsid w:val="4C90348E"/>
    <w:rsid w:val="4D45217C"/>
    <w:rsid w:val="4D697710"/>
    <w:rsid w:val="4E0E7F9C"/>
    <w:rsid w:val="4F870321"/>
    <w:rsid w:val="5344521F"/>
    <w:rsid w:val="54CD2C7A"/>
    <w:rsid w:val="571B5F1F"/>
    <w:rsid w:val="57DF7F8A"/>
    <w:rsid w:val="586357FA"/>
    <w:rsid w:val="5A533C21"/>
    <w:rsid w:val="5B687259"/>
    <w:rsid w:val="5BF325E1"/>
    <w:rsid w:val="5C57717A"/>
    <w:rsid w:val="5C89392A"/>
    <w:rsid w:val="5CDD3C76"/>
    <w:rsid w:val="5D9E3405"/>
    <w:rsid w:val="5ED76DDE"/>
    <w:rsid w:val="5F463D55"/>
    <w:rsid w:val="5FF27A39"/>
    <w:rsid w:val="60F8107F"/>
    <w:rsid w:val="619E09FC"/>
    <w:rsid w:val="61BF6EDE"/>
    <w:rsid w:val="620F48D2"/>
    <w:rsid w:val="62344338"/>
    <w:rsid w:val="62A3326C"/>
    <w:rsid w:val="639559CC"/>
    <w:rsid w:val="644528F0"/>
    <w:rsid w:val="6A1E12D2"/>
    <w:rsid w:val="6AAF37E1"/>
    <w:rsid w:val="6AB029CA"/>
    <w:rsid w:val="6AEF160B"/>
    <w:rsid w:val="6BB34520"/>
    <w:rsid w:val="6C2076DB"/>
    <w:rsid w:val="6C9E35A5"/>
    <w:rsid w:val="6D9263B7"/>
    <w:rsid w:val="6EC0794E"/>
    <w:rsid w:val="6EF07839"/>
    <w:rsid w:val="6FF35646"/>
    <w:rsid w:val="7157594D"/>
    <w:rsid w:val="7218332F"/>
    <w:rsid w:val="72C9287B"/>
    <w:rsid w:val="743E30DF"/>
    <w:rsid w:val="76157B85"/>
    <w:rsid w:val="77364257"/>
    <w:rsid w:val="77D5685B"/>
    <w:rsid w:val="78CF241C"/>
    <w:rsid w:val="7AE66187"/>
    <w:rsid w:val="7E933D3D"/>
    <w:rsid w:val="7EBE525E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p16"/>
    <w:basedOn w:val="1"/>
    <w:qFormat/>
    <w:uiPriority w:val="0"/>
    <w:pPr>
      <w:widowControl/>
    </w:pPr>
    <w:rPr>
      <w:b/>
      <w:bCs/>
      <w:color w:val="FF0000"/>
      <w:kern w:val="0"/>
      <w:sz w:val="36"/>
      <w:szCs w:val="36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styleId="13">
    <w:name w:val="Placeholder Text"/>
    <w:basedOn w:val="7"/>
    <w:semiHidden/>
    <w:uiPriority w:val="99"/>
    <w:rPr>
      <w:color w:val="808080"/>
    </w:rPr>
  </w:style>
  <w:style w:type="character" w:customStyle="1" w:styleId="14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3</Pages>
  <Words>1613</Words>
  <Characters>1857</Characters>
  <Lines>14</Lines>
  <Paragraphs>3</Paragraphs>
  <TotalTime>2</TotalTime>
  <ScaleCrop>false</ScaleCrop>
  <LinksUpToDate>false</LinksUpToDate>
  <CharactersWithSpaces>1913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2023-01-10T05:30:56Z</dcterms:modified>
  <dc:title>附件2：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3722183712DD45B3BA6148BC5D206811</vt:lpwstr>
  </property>
</Properties>
</file>