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eastAsia="宋体" w:cs="宋体"/>
          <w:kern w:val="0"/>
          <w:sz w:val="28"/>
          <w:szCs w:val="28"/>
        </w:rPr>
      </w:pPr>
      <w:r>
        <w:rPr>
          <w:rFonts w:hint="eastAsia" w:ascii="宋体" w:hAnsi="宋体" w:eastAsia="宋体" w:cs="宋体"/>
          <w:kern w:val="0"/>
          <w:sz w:val="28"/>
          <w:szCs w:val="28"/>
        </w:rPr>
        <w:t>附件</w:t>
      </w:r>
      <w:r>
        <w:rPr>
          <w:rFonts w:ascii="宋体" w:hAnsi="宋体" w:eastAsia="宋体" w:cs="宋体"/>
          <w:kern w:val="0"/>
          <w:sz w:val="28"/>
          <w:szCs w:val="28"/>
        </w:rPr>
        <w:t>1</w:t>
      </w:r>
      <w:r>
        <w:rPr>
          <w:rFonts w:hint="eastAsia" w:ascii="宋体" w:hAnsi="宋体" w:eastAsia="宋体" w:cs="宋体"/>
          <w:kern w:val="0"/>
          <w:sz w:val="28"/>
          <w:szCs w:val="28"/>
        </w:rPr>
        <w:t>：</w:t>
      </w:r>
    </w:p>
    <w:p>
      <w:pPr>
        <w:jc w:val="center"/>
        <w:rPr>
          <w:rFonts w:ascii="宋体" w:hAnsi="宋体" w:eastAsia="宋体" w:cs="Times New Roman"/>
          <w:b/>
          <w:sz w:val="32"/>
          <w:szCs w:val="24"/>
        </w:rPr>
      </w:pPr>
      <w:r>
        <w:rPr>
          <w:rFonts w:hint="eastAsia" w:ascii="宋体" w:hAnsi="宋体" w:eastAsia="宋体" w:cs="Times New Roman"/>
          <w:b/>
          <w:sz w:val="32"/>
          <w:szCs w:val="24"/>
        </w:rPr>
        <w:t>行业计量技术规范项目建议书</w:t>
      </w:r>
    </w:p>
    <w:tbl>
      <w:tblPr>
        <w:tblStyle w:val="5"/>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Times New Roman" w:hAnsi="Times New Roman" w:eastAsia="宋体" w:cs="Times New Roman"/>
                <w:sz w:val="28"/>
                <w:szCs w:val="28"/>
              </w:rPr>
              <w:t>建议项目名称</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显微镜畸变校准用米字线纹尺校准规范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制定    </w:t>
            </w:r>
            <w:r>
              <w:rPr>
                <w:rFonts w:hint="eastAsia" w:ascii="宋体" w:hAnsi="宋体" w:eastAsia="宋体" w:cs="Times New Roman"/>
                <w:sz w:val="28"/>
                <w:szCs w:val="28"/>
              </w:rPr>
              <w:t>□</w:t>
            </w:r>
            <w:r>
              <w:rPr>
                <w:rFonts w:hint="eastAsia" w:ascii="Times New Roman" w:hAnsi="Times New Roman" w:eastAsia="宋体" w:cs="Times New Roman"/>
                <w:sz w:val="28"/>
                <w:szCs w:val="28"/>
              </w:rPr>
              <w:t>修订</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□检定规程</w:t>
            </w:r>
          </w:p>
          <w:p>
            <w:pPr>
              <w:spacing w:line="400" w:lineRule="exact"/>
              <w:jc w:val="center"/>
              <w:rPr>
                <w:rFonts w:ascii="宋体" w:hAnsi="宋体" w:eastAsia="宋体" w:cs="Times New Roman"/>
                <w:sz w:val="28"/>
                <w:szCs w:val="28"/>
              </w:rPr>
            </w:pPr>
            <w:r>
              <w:rPr>
                <w:rFonts w:hint="eastAsia" w:ascii="Times New Roman" w:hAnsi="Times New Roman"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lang w:val="en-US" w:eastAsia="zh-CN"/>
              </w:rPr>
              <w:t>校准</w:t>
            </w:r>
            <w:bookmarkStart w:id="0" w:name="_GoBack"/>
            <w:bookmarkEnd w:id="0"/>
            <w:r>
              <w:rPr>
                <w:rFonts w:hint="eastAsia" w:ascii="Times New Roman" w:hAnsi="Times New Roman" w:eastAsia="宋体" w:cs="Times New Roman"/>
                <w:sz w:val="28"/>
                <w:szCs w:val="28"/>
              </w:rPr>
              <w:t>规范</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宋体" w:hAnsi="宋体"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hint="eastAsia" w:ascii="宋体" w:hAnsi="宋体" w:eastAsia="宋体" w:cs="Times New Roman"/>
                <w:szCs w:val="24"/>
              </w:rPr>
              <w:t>█</w:t>
            </w:r>
            <w:r>
              <w:rPr>
                <w:rFonts w:hint="eastAsia"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主要起草单位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余泽利</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15339289765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2023~2025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10</w:t>
            </w:r>
            <w:r>
              <w:rPr>
                <w:rFonts w:ascii="Times New Roman" w:hAnsi="Times New Roman" w:eastAsia="宋体" w:cs="Times New Roman"/>
                <w:color w:val="000000"/>
                <w:sz w:val="28"/>
                <w:szCs w:val="28"/>
              </w:rPr>
              <w:t>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参加单位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具备的特点</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宋体" w:hAnsi="宋体" w:eastAsia="宋体" w:cs="Times New Roman"/>
                <w:sz w:val="28"/>
                <w:szCs w:val="28"/>
              </w:rPr>
              <w:t xml:space="preserve"> □安全 □节能 □环保 </w:t>
            </w:r>
            <w:r>
              <w:rPr>
                <w:rFonts w:hint="eastAsia" w:ascii="宋体" w:hAnsi="宋体" w:eastAsia="宋体" w:cs="Times New Roman"/>
                <w:szCs w:val="24"/>
              </w:rPr>
              <w:t>█</w:t>
            </w:r>
            <w:r>
              <w:rPr>
                <w:rFonts w:hint="eastAsia" w:ascii="宋体" w:hAnsi="宋体" w:eastAsia="宋体" w:cs="Times New Roman"/>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必要性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szCs w:val="21"/>
              </w:rPr>
            </w:pPr>
            <w:r>
              <w:rPr>
                <w:rFonts w:ascii="Times New Roman" w:hAnsi="Times New Roman" w:cs="Times New Roman"/>
                <w:szCs w:val="21"/>
              </w:rPr>
              <w:t>光学显微镜是进行微观检测分析的重要设备，广泛应用于生物、医学、地矿、材料、纺织等领域。“米字</w:t>
            </w:r>
            <w:r>
              <w:rPr>
                <w:rFonts w:cs="Times New Roman" w:asciiTheme="minorEastAsia" w:hAnsiTheme="minorEastAsia"/>
                <w:szCs w:val="21"/>
              </w:rPr>
              <w:t>线纹尺”</w:t>
            </w:r>
            <w:r>
              <w:rPr>
                <w:rFonts w:ascii="Times New Roman" w:hAnsi="Times New Roman" w:cs="Times New Roman"/>
                <w:szCs w:val="21"/>
              </w:rPr>
              <w:t>是光学显微镜畸变校准的主要标准器，分为</w:t>
            </w:r>
            <w:r>
              <w:rPr>
                <w:rFonts w:hint="eastAsia" w:ascii="Times New Roman" w:hAnsi="Times New Roman" w:cs="Times New Roman"/>
                <w:szCs w:val="21"/>
              </w:rPr>
              <w:t>A型和B型两类，</w:t>
            </w:r>
            <w:r>
              <w:rPr>
                <w:rFonts w:ascii="Times New Roman" w:hAnsi="Times New Roman" w:cs="Times New Roman"/>
                <w:szCs w:val="21"/>
              </w:rPr>
              <w:t>由</w:t>
            </w:r>
            <w:r>
              <w:rPr>
                <w:rFonts w:hint="eastAsia" w:ascii="Times New Roman" w:hAnsi="Times New Roman" w:cs="Times New Roman"/>
                <w:szCs w:val="21"/>
              </w:rPr>
              <w:t>四个呈米字形交叉于一点布设的直线线纹尺构成，结构图如图1所示。具有结构简单、准确度高、稳定性好、实用性强等诸多优点，广泛应用于光学显微镜畸变和测量系统畸变的测量，也可用于影像仪、投影仪等精密计量仪器的校准。</w:t>
            </w:r>
          </w:p>
          <w:p>
            <w:pPr>
              <w:ind w:firstLine="420" w:firstLineChars="200"/>
              <w:jc w:val="center"/>
              <w:rPr>
                <w:rFonts w:cs="Times New Roman" w:asciiTheme="minorEastAsia" w:hAnsiTheme="minorEastAsia"/>
                <w:szCs w:val="21"/>
              </w:rPr>
            </w:pPr>
            <w:r>
              <w:rPr>
                <w:rFonts w:ascii="Times New Roman" w:hAnsi="Times New Roman" w:cs="Times New Roman"/>
                <w:szCs w:val="21"/>
              </w:rPr>
              <w:drawing>
                <wp:inline distT="0" distB="0" distL="0" distR="0">
                  <wp:extent cx="1679575" cy="1605915"/>
                  <wp:effectExtent l="0" t="0" r="0" b="0"/>
                  <wp:docPr id="15" name="图片 15" descr="C:\Users\汉唐计量\Desktop\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汉唐计量\Desktop\b.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680262" cy="1606654"/>
                          </a:xfrm>
                          <a:prstGeom prst="rect">
                            <a:avLst/>
                          </a:prstGeom>
                          <a:noFill/>
                          <a:ln>
                            <a:noFill/>
                          </a:ln>
                        </pic:spPr>
                      </pic:pic>
                    </a:graphicData>
                  </a:graphic>
                </wp:inline>
              </w:drawing>
            </w:r>
            <w:r>
              <w:rPr>
                <w:rFonts w:ascii="Times New Roman" w:hAnsi="Times New Roman" w:cs="Times New Roman"/>
                <w:szCs w:val="21"/>
              </w:rPr>
              <w:drawing>
                <wp:inline distT="0" distB="0" distL="0" distR="0">
                  <wp:extent cx="1753235" cy="1604010"/>
                  <wp:effectExtent l="0" t="0" r="0" b="0"/>
                  <wp:docPr id="16" name="图片 16" descr="C:\Users\汉唐计量\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汉唐计量\Desktop\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50444" cy="1601569"/>
                          </a:xfrm>
                          <a:prstGeom prst="rect">
                            <a:avLst/>
                          </a:prstGeom>
                          <a:noFill/>
                          <a:ln>
                            <a:noFill/>
                          </a:ln>
                        </pic:spPr>
                      </pic:pic>
                    </a:graphicData>
                  </a:graphic>
                </wp:inline>
              </w:drawing>
            </w:r>
          </w:p>
          <w:p>
            <w:pPr>
              <w:ind w:firstLine="360" w:firstLineChars="200"/>
              <w:jc w:val="center"/>
              <w:rPr>
                <w:rFonts w:ascii="Times New Roman" w:hAnsi="Times New Roman" w:cs="Times New Roman"/>
                <w:szCs w:val="21"/>
              </w:rPr>
            </w:pPr>
            <w:r>
              <w:rPr>
                <w:rFonts w:ascii="Times New Roman" w:hAnsi="Times New Roman" w:cs="Times New Roman"/>
                <w:sz w:val="18"/>
                <w:szCs w:val="18"/>
              </w:rPr>
              <w:t>A型(0~±50mm)             B型(0~±0.8mm)</w:t>
            </w:r>
          </w:p>
          <w:p>
            <w:pPr>
              <w:ind w:firstLine="420" w:firstLineChars="200"/>
              <w:jc w:val="center"/>
              <w:rPr>
                <w:rFonts w:ascii="Times New Roman" w:hAnsi="Times New Roman" w:cs="Times New Roman"/>
                <w:szCs w:val="21"/>
              </w:rPr>
            </w:pPr>
            <w:r>
              <w:rPr>
                <w:rFonts w:ascii="Times New Roman" w:hAnsi="Times New Roman" w:cs="Times New Roman"/>
                <w:szCs w:val="21"/>
              </w:rPr>
              <w:t xml:space="preserve">图1  </w:t>
            </w:r>
            <w:r>
              <w:rPr>
                <w:rFonts w:ascii="Times New Roman" w:hAnsi="Times New Roman" w:cs="Times New Roman"/>
                <w:sz w:val="18"/>
                <w:szCs w:val="18"/>
              </w:rPr>
              <w:t>“米字形”线纹尺结构图</w:t>
            </w:r>
          </w:p>
          <w:p>
            <w:pPr>
              <w:ind w:firstLine="420" w:firstLineChars="200"/>
              <w:rPr>
                <w:rFonts w:ascii="Times New Roman" w:hAnsi="Times New Roman" w:cs="Times New Roman"/>
                <w:szCs w:val="21"/>
              </w:rPr>
            </w:pPr>
            <w:r>
              <w:rPr>
                <w:rFonts w:ascii="Times New Roman" w:hAnsi="Times New Roman" w:cs="Times New Roman"/>
                <w:szCs w:val="21"/>
              </w:rPr>
              <w:t>光学显微镜畸变校准规范已于</w:t>
            </w:r>
            <w:r>
              <w:rPr>
                <w:rFonts w:hint="eastAsia" w:ascii="Times New Roman" w:hAnsi="Times New Roman" w:cs="Times New Roman"/>
                <w:szCs w:val="21"/>
              </w:rPr>
              <w:t>2021年立项</w:t>
            </w:r>
            <w:r>
              <w:rPr>
                <w:rFonts w:ascii="Times New Roman" w:hAnsi="Times New Roman" w:cs="Times New Roman"/>
                <w:szCs w:val="21"/>
              </w:rPr>
              <w:t>有色行业规范，</w:t>
            </w:r>
            <w:r>
              <w:rPr>
                <w:rFonts w:cs="Times New Roman" w:asciiTheme="minorEastAsia" w:hAnsiTheme="minorEastAsia"/>
                <w:szCs w:val="21"/>
              </w:rPr>
              <w:t>“米字线纹尺”是该规范研发的主要标准器，</w:t>
            </w:r>
            <w:r>
              <w:rPr>
                <w:rFonts w:hint="eastAsia" w:ascii="Times New Roman" w:hAnsi="Times New Roman" w:cs="Times New Roman"/>
                <w:szCs w:val="21"/>
              </w:rPr>
              <w:t>其</w:t>
            </w:r>
            <w:r>
              <w:rPr>
                <w:rFonts w:cs="Times New Roman" w:asciiTheme="minorEastAsia" w:hAnsiTheme="minorEastAsia"/>
                <w:szCs w:val="21"/>
              </w:rPr>
              <w:t>量值准确溯源是保证</w:t>
            </w:r>
            <w:r>
              <w:rPr>
                <w:rFonts w:ascii="Times New Roman" w:hAnsi="Times New Roman" w:cs="Times New Roman"/>
                <w:szCs w:val="21"/>
              </w:rPr>
              <w:t>光学显微镜畸变校准结果的前提，目前国内尚无</w:t>
            </w:r>
            <w:r>
              <w:rPr>
                <w:rFonts w:cs="Times New Roman" w:asciiTheme="minorEastAsia" w:hAnsiTheme="minorEastAsia"/>
                <w:szCs w:val="21"/>
              </w:rPr>
              <w:t>米字线纹尺检定规程</w:t>
            </w:r>
            <w:r>
              <w:rPr>
                <w:rFonts w:hint="eastAsia" w:cs="Times New Roman" w:asciiTheme="minorEastAsia" w:hAnsiTheme="minorEastAsia"/>
                <w:szCs w:val="21"/>
              </w:rPr>
              <w:t>/校准规范，</w:t>
            </w:r>
            <w:r>
              <w:rPr>
                <w:rFonts w:ascii="Times New Roman" w:hAnsi="Times New Roman" w:cs="Times New Roman"/>
                <w:szCs w:val="21"/>
              </w:rPr>
              <w:t>在光学显微镜畸变的测量方法中标准器</w:t>
            </w:r>
            <w:r>
              <w:rPr>
                <w:rFonts w:cs="Times New Roman" w:asciiTheme="minorEastAsia" w:hAnsiTheme="minorEastAsia"/>
                <w:szCs w:val="21"/>
              </w:rPr>
              <w:t>米字线纹尺</w:t>
            </w:r>
            <w:r>
              <w:rPr>
                <w:rFonts w:ascii="Times New Roman" w:hAnsi="Times New Roman" w:cs="Times New Roman"/>
                <w:szCs w:val="21"/>
              </w:rPr>
              <w:t>是参照《JJG 73-2005 高等别线纹尺检定规程》，需要将校准数据进行换算后使用，直接影响校准结果的，也无法直接采用其不确定度。2021年，国家颁布了《JJF 1917-2021 显微标尺校准规范》，但是该规范中没有覆盖</w:t>
            </w:r>
            <w:r>
              <w:rPr>
                <w:rFonts w:cs="Times New Roman" w:asciiTheme="minorEastAsia" w:hAnsiTheme="minorEastAsia"/>
                <w:szCs w:val="21"/>
              </w:rPr>
              <w:t>米字线纹尺</w:t>
            </w:r>
            <w:r>
              <w:rPr>
                <w:rFonts w:ascii="Times New Roman" w:hAnsi="Times New Roman" w:cs="Times New Roman"/>
                <w:szCs w:val="21"/>
              </w:rPr>
              <w:t>，且没有可以直接采用的校准数据。非常有必要编制具有创造性的、与“光学显微镜畸变的测量方法”配套的米字线纹尺校准规范，保证金相显微镜畸变量值准确溯源，促进光学显微镜在</w:t>
            </w:r>
            <w:r>
              <w:rPr>
                <w:szCs w:val="21"/>
              </w:rPr>
              <w:t>科研院所及工业产品中更合理更准确的应用。</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目前国内尚无米字线纹尺的检定</w:t>
            </w:r>
            <w:r>
              <w:rPr>
                <w:rFonts w:hint="eastAsia" w:ascii="Times New Roman" w:hAnsi="Times New Roman" w:eastAsia="宋体" w:cs="Times New Roman"/>
                <w:szCs w:val="21"/>
              </w:rPr>
              <w:t>规程/校准规范，国外未见相关校准方法。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范围和主要</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计量特性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left"/>
              <w:rPr>
                <w:szCs w:val="21"/>
              </w:rPr>
            </w:pPr>
            <w:r>
              <w:rPr>
                <w:szCs w:val="21"/>
              </w:rPr>
              <w:t>1.适用范围</w:t>
            </w:r>
          </w:p>
          <w:p>
            <w:pPr>
              <w:adjustRightInd w:val="0"/>
              <w:snapToGrid w:val="0"/>
              <w:ind w:firstLine="420" w:firstLineChars="200"/>
              <w:jc w:val="left"/>
              <w:rPr>
                <w:szCs w:val="21"/>
              </w:rPr>
            </w:pPr>
            <w:r>
              <w:rPr>
                <w:szCs w:val="21"/>
              </w:rPr>
              <w:t>本规范适用于显微镜畸变校准用米字线纹尺的校准。</w:t>
            </w:r>
          </w:p>
          <w:p>
            <w:pPr>
              <w:adjustRightInd w:val="0"/>
              <w:snapToGrid w:val="0"/>
              <w:ind w:firstLine="420" w:firstLineChars="200"/>
              <w:jc w:val="left"/>
              <w:rPr>
                <w:szCs w:val="21"/>
              </w:rPr>
            </w:pPr>
            <w:r>
              <w:rPr>
                <w:rFonts w:hint="eastAsia"/>
                <w:szCs w:val="21"/>
              </w:rPr>
              <w:t>2.计量特性</w:t>
            </w:r>
          </w:p>
          <w:p>
            <w:pPr>
              <w:adjustRightInd w:val="0"/>
              <w:snapToGrid w:val="0"/>
              <w:ind w:firstLine="420" w:firstLineChars="200"/>
              <w:jc w:val="left"/>
              <w:rPr>
                <w:szCs w:val="21"/>
              </w:rPr>
            </w:pPr>
            <w:r>
              <w:rPr>
                <w:rFonts w:hint="eastAsia"/>
                <w:szCs w:val="21"/>
              </w:rPr>
              <w:t>2.1材料线膨胀系数</w:t>
            </w:r>
          </w:p>
          <w:p>
            <w:pPr>
              <w:adjustRightInd w:val="0"/>
              <w:snapToGrid w:val="0"/>
              <w:ind w:firstLine="420" w:firstLineChars="200"/>
              <w:jc w:val="left"/>
              <w:rPr>
                <w:szCs w:val="21"/>
              </w:rPr>
            </w:pPr>
            <w:r>
              <w:rPr>
                <w:rFonts w:hint="eastAsia"/>
                <w:szCs w:val="21"/>
              </w:rPr>
              <w:t>在（+15</w:t>
            </w:r>
            <w:r>
              <w:rPr>
                <w:rFonts w:hint="eastAsia" w:ascii="宋体" w:hAnsi="宋体" w:eastAsia="宋体"/>
                <w:szCs w:val="21"/>
              </w:rPr>
              <w:t>～</w:t>
            </w:r>
            <w:r>
              <w:rPr>
                <w:rFonts w:hint="eastAsia"/>
                <w:szCs w:val="21"/>
              </w:rPr>
              <w:t>+30）℃的温度区间材料线膨胀系数的偏差范围如下：</w:t>
            </w:r>
          </w:p>
          <w:p>
            <w:pPr>
              <w:adjustRightInd w:val="0"/>
              <w:snapToGrid w:val="0"/>
              <w:ind w:firstLine="420" w:firstLineChars="200"/>
              <w:jc w:val="left"/>
              <w:rPr>
                <w:szCs w:val="21"/>
              </w:rPr>
            </w:pPr>
            <w:r>
              <w:rPr>
                <w:rFonts w:ascii="Times New Roman" w:hAnsi="Times New Roman" w:cs="Times New Roman"/>
                <w:szCs w:val="21"/>
              </w:rPr>
              <w:t>Δ</w:t>
            </w:r>
            <w:r>
              <w:rPr>
                <w:rFonts w:ascii="Times New Roman" w:hAnsi="Times New Roman" w:eastAsia="宋体" w:cs="Times New Roman"/>
                <w:szCs w:val="21"/>
              </w:rPr>
              <w:t>α</w:t>
            </w:r>
            <w:r>
              <w:rPr>
                <w:rFonts w:hint="eastAsia" w:ascii="Times New Roman" w:hAnsi="Times New Roman" w:eastAsia="宋体" w:cs="Times New Roman"/>
                <w:szCs w:val="21"/>
              </w:rPr>
              <w:t>=±0.5</w:t>
            </w:r>
            <w:r>
              <w:rPr>
                <w:rFonts w:hint="eastAsia" w:ascii="宋体" w:hAnsi="宋体" w:eastAsia="宋体" w:cs="Times New Roman"/>
                <w:szCs w:val="21"/>
              </w:rPr>
              <w:t>×</w:t>
            </w:r>
            <w:r>
              <w:rPr>
                <w:rFonts w:hint="eastAsia" w:ascii="Times New Roman" w:hAnsi="Times New Roman" w:eastAsia="宋体" w:cs="Times New Roman"/>
                <w:szCs w:val="21"/>
              </w:rPr>
              <w:t>10</w:t>
            </w:r>
            <w:r>
              <w:rPr>
                <w:rFonts w:hint="eastAsia" w:ascii="Times New Roman" w:hAnsi="Times New Roman" w:eastAsia="宋体" w:cs="Times New Roman"/>
                <w:szCs w:val="21"/>
                <w:vertAlign w:val="superscript"/>
              </w:rPr>
              <w:t>-6</w:t>
            </w:r>
            <w:r>
              <w:rPr>
                <w:rFonts w:hint="eastAsia" w:ascii="Times New Roman" w:hAnsi="Times New Roman" w:eastAsia="宋体" w:cs="Times New Roman"/>
                <w:szCs w:val="21"/>
              </w:rPr>
              <w:t>℃</w:t>
            </w:r>
            <w:r>
              <w:rPr>
                <w:rFonts w:hint="eastAsia" w:ascii="Times New Roman" w:hAnsi="Times New Roman" w:eastAsia="宋体" w:cs="Times New Roman"/>
                <w:szCs w:val="21"/>
                <w:vertAlign w:val="superscript"/>
              </w:rPr>
              <w:t>-1</w:t>
            </w:r>
            <w:r>
              <w:rPr>
                <w:rFonts w:hint="eastAsia" w:ascii="Times New Roman" w:hAnsi="Times New Roman" w:eastAsia="宋体" w:cs="Times New Roman"/>
                <w:szCs w:val="21"/>
              </w:rPr>
              <w:t>（材料</w:t>
            </w:r>
            <w:r>
              <w:rPr>
                <w:rFonts w:hint="eastAsia"/>
                <w:szCs w:val="21"/>
              </w:rPr>
              <w:t>线膨胀系数一般由生产厂提供</w:t>
            </w:r>
            <w:r>
              <w:rPr>
                <w:rFonts w:hint="eastAsia" w:ascii="Times New Roman" w:hAnsi="Times New Roman" w:eastAsia="宋体" w:cs="Times New Roman"/>
                <w:szCs w:val="21"/>
              </w:rPr>
              <w:t>）</w:t>
            </w:r>
          </w:p>
          <w:p>
            <w:pPr>
              <w:adjustRightInd w:val="0"/>
              <w:snapToGrid w:val="0"/>
              <w:ind w:firstLine="420" w:firstLineChars="200"/>
              <w:jc w:val="left"/>
              <w:rPr>
                <w:szCs w:val="21"/>
              </w:rPr>
            </w:pPr>
            <w:r>
              <w:rPr>
                <w:rFonts w:hint="eastAsia"/>
                <w:szCs w:val="21"/>
              </w:rPr>
              <w:t>2.2表面粗糙度</w:t>
            </w:r>
          </w:p>
          <w:p>
            <w:pPr>
              <w:adjustRightInd w:val="0"/>
              <w:snapToGrid w:val="0"/>
              <w:ind w:firstLine="420" w:firstLineChars="200"/>
              <w:jc w:val="left"/>
              <w:rPr>
                <w:rFonts w:ascii="Times New Roman" w:hAnsi="Times New Roman" w:cs="Times New Roman"/>
                <w:szCs w:val="21"/>
              </w:rPr>
            </w:pPr>
            <w:r>
              <w:rPr>
                <w:rFonts w:hint="eastAsia"/>
                <w:szCs w:val="21"/>
              </w:rPr>
              <w:t>刻线面和非刻线面的表面粗糙度</w:t>
            </w:r>
            <w:r>
              <w:rPr>
                <w:rFonts w:ascii="Times New Roman" w:hAnsi="Times New Roman" w:cs="Times New Roman"/>
                <w:i/>
                <w:szCs w:val="21"/>
              </w:rPr>
              <w:t>R</w:t>
            </w:r>
            <w:r>
              <w:rPr>
                <w:rFonts w:ascii="Times New Roman" w:hAnsi="Times New Roman" w:cs="Times New Roman"/>
                <w:szCs w:val="21"/>
                <w:vertAlign w:val="subscript"/>
              </w:rPr>
              <w:t>a</w:t>
            </w:r>
            <w:r>
              <w:rPr>
                <w:rFonts w:ascii="Times New Roman" w:hAnsi="Times New Roman" w:cs="Times New Roman"/>
                <w:szCs w:val="21"/>
              </w:rPr>
              <w:t>≤</w:t>
            </w:r>
            <w:r>
              <w:rPr>
                <w:rFonts w:hint="eastAsia" w:ascii="Times New Roman" w:hAnsi="Times New Roman" w:cs="Times New Roman"/>
                <w:szCs w:val="21"/>
              </w:rPr>
              <w:t>0.01</w:t>
            </w:r>
            <w:r>
              <w:rPr>
                <w:rFonts w:ascii="Times New Roman" w:hAnsi="Times New Roman" w:eastAsia="宋体" w:cs="Times New Roman"/>
                <w:szCs w:val="21"/>
              </w:rPr>
              <w:t>μ</w:t>
            </w:r>
            <w:r>
              <w:rPr>
                <w:rFonts w:ascii="Times New Roman" w:hAnsi="Times New Roman" w:cs="Times New Roman"/>
                <w:szCs w:val="21"/>
              </w:rPr>
              <w:t>m</w:t>
            </w:r>
            <w:r>
              <w:rPr>
                <w:rFonts w:hint="eastAsia" w:ascii="Times New Roman" w:hAnsi="Times New Roman" w:cs="Times New Roman"/>
                <w:szCs w:val="21"/>
              </w:rPr>
              <w:t>或</w:t>
            </w:r>
            <w:r>
              <w:rPr>
                <w:rFonts w:ascii="Times New Roman" w:hAnsi="Times New Roman" w:cs="Times New Roman"/>
                <w:i/>
                <w:szCs w:val="21"/>
              </w:rPr>
              <w:t>R</w:t>
            </w:r>
            <w:r>
              <w:rPr>
                <w:rFonts w:ascii="Times New Roman" w:hAnsi="Times New Roman" w:cs="Times New Roman"/>
                <w:szCs w:val="21"/>
                <w:vertAlign w:val="subscript"/>
              </w:rPr>
              <w:t>z</w:t>
            </w:r>
            <w:r>
              <w:rPr>
                <w:rFonts w:ascii="Times New Roman" w:hAnsi="Times New Roman" w:cs="Times New Roman"/>
                <w:szCs w:val="21"/>
              </w:rPr>
              <w:t>≤</w:t>
            </w:r>
            <w:r>
              <w:rPr>
                <w:rFonts w:hint="eastAsia" w:ascii="Times New Roman" w:hAnsi="Times New Roman" w:cs="Times New Roman"/>
                <w:szCs w:val="21"/>
              </w:rPr>
              <w:t>0.05</w:t>
            </w:r>
            <w:r>
              <w:rPr>
                <w:rFonts w:ascii="Times New Roman" w:hAnsi="Times New Roman" w:eastAsia="宋体" w:cs="Times New Roman"/>
                <w:szCs w:val="21"/>
              </w:rPr>
              <w:t>μ</w:t>
            </w:r>
            <w:r>
              <w:rPr>
                <w:rFonts w:ascii="Times New Roman" w:hAnsi="Times New Roman" w:cs="Times New Roman"/>
                <w:szCs w:val="21"/>
              </w:rPr>
              <w:t>m，侧表面的</w:t>
            </w:r>
            <w:r>
              <w:rPr>
                <w:rFonts w:hint="eastAsia"/>
                <w:szCs w:val="21"/>
              </w:rPr>
              <w:t>表面粗糙度</w:t>
            </w:r>
            <w:r>
              <w:rPr>
                <w:rFonts w:ascii="Times New Roman" w:hAnsi="Times New Roman" w:cs="Times New Roman"/>
                <w:i/>
                <w:szCs w:val="21"/>
              </w:rPr>
              <w:t>R</w:t>
            </w:r>
            <w:r>
              <w:rPr>
                <w:rFonts w:ascii="Times New Roman" w:hAnsi="Times New Roman" w:cs="Times New Roman"/>
                <w:szCs w:val="21"/>
                <w:vertAlign w:val="subscript"/>
              </w:rPr>
              <w:t>a</w:t>
            </w:r>
            <w:r>
              <w:rPr>
                <w:rFonts w:ascii="Times New Roman" w:hAnsi="Times New Roman" w:cs="Times New Roman"/>
                <w:szCs w:val="21"/>
              </w:rPr>
              <w:t>≤</w:t>
            </w:r>
            <w:r>
              <w:rPr>
                <w:rFonts w:hint="eastAsia" w:ascii="Times New Roman" w:hAnsi="Times New Roman" w:cs="Times New Roman"/>
                <w:szCs w:val="21"/>
              </w:rPr>
              <w:t>2</w:t>
            </w:r>
            <w:r>
              <w:rPr>
                <w:rFonts w:ascii="Times New Roman" w:hAnsi="Times New Roman" w:eastAsia="宋体" w:cs="Times New Roman"/>
                <w:szCs w:val="21"/>
              </w:rPr>
              <w:t>μ</w:t>
            </w:r>
            <w:r>
              <w:rPr>
                <w:rFonts w:ascii="Times New Roman" w:hAnsi="Times New Roman" w:cs="Times New Roman"/>
                <w:szCs w:val="21"/>
              </w:rPr>
              <w:t>m</w:t>
            </w:r>
            <w:r>
              <w:rPr>
                <w:rFonts w:hint="eastAsia" w:ascii="Times New Roman" w:hAnsi="Times New Roman" w:cs="Times New Roman"/>
                <w:szCs w:val="21"/>
              </w:rPr>
              <w:t>或</w:t>
            </w:r>
            <w:r>
              <w:rPr>
                <w:rFonts w:ascii="Times New Roman" w:hAnsi="Times New Roman" w:cs="Times New Roman"/>
                <w:i/>
                <w:szCs w:val="21"/>
              </w:rPr>
              <w:t>R</w:t>
            </w:r>
            <w:r>
              <w:rPr>
                <w:rFonts w:ascii="Times New Roman" w:hAnsi="Times New Roman" w:cs="Times New Roman"/>
                <w:szCs w:val="21"/>
                <w:vertAlign w:val="subscript"/>
              </w:rPr>
              <w:t>z</w:t>
            </w:r>
            <w:r>
              <w:rPr>
                <w:rFonts w:ascii="Times New Roman" w:hAnsi="Times New Roman" w:cs="Times New Roman"/>
                <w:szCs w:val="21"/>
              </w:rPr>
              <w:t>≤</w:t>
            </w:r>
            <w:r>
              <w:rPr>
                <w:rFonts w:hint="eastAsia" w:ascii="Times New Roman" w:hAnsi="Times New Roman" w:cs="Times New Roman"/>
                <w:szCs w:val="21"/>
              </w:rPr>
              <w:t>10</w:t>
            </w:r>
            <w:r>
              <w:rPr>
                <w:rFonts w:ascii="Times New Roman" w:hAnsi="Times New Roman" w:eastAsia="宋体" w:cs="Times New Roman"/>
                <w:szCs w:val="21"/>
              </w:rPr>
              <w:t>μ</w:t>
            </w:r>
            <w:r>
              <w:rPr>
                <w:rFonts w:ascii="Times New Roman" w:hAnsi="Times New Roman" w:cs="Times New Roman"/>
                <w:szCs w:val="21"/>
              </w:rPr>
              <w:t>m</w:t>
            </w:r>
            <w:r>
              <w:rPr>
                <w:rFonts w:hint="eastAsia" w:ascii="Times New Roman" w:hAnsi="Times New Roman" w:cs="Times New Roman"/>
                <w:szCs w:val="21"/>
              </w:rPr>
              <w:t>；</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2.3平面度</w:t>
            </w:r>
          </w:p>
          <w:p>
            <w:pPr>
              <w:adjustRightInd w:val="0"/>
              <w:snapToGrid w:val="0"/>
              <w:ind w:firstLine="420" w:firstLineChars="200"/>
              <w:jc w:val="left"/>
              <w:rPr>
                <w:rFonts w:ascii="Times New Roman" w:hAnsi="Times New Roman" w:cs="Times New Roman"/>
                <w:szCs w:val="21"/>
              </w:rPr>
            </w:pPr>
            <w:r>
              <w:rPr>
                <w:rFonts w:hint="eastAsia"/>
                <w:szCs w:val="21"/>
              </w:rPr>
              <w:t>刻线面和非刻线面的</w:t>
            </w:r>
            <w:r>
              <w:rPr>
                <w:rFonts w:hint="eastAsia" w:ascii="Times New Roman" w:hAnsi="Times New Roman" w:cs="Times New Roman"/>
                <w:szCs w:val="21"/>
              </w:rPr>
              <w:t>平面度</w:t>
            </w:r>
            <w:r>
              <w:rPr>
                <w:rFonts w:ascii="Times New Roman" w:hAnsi="Times New Roman" w:cs="Times New Roman"/>
                <w:szCs w:val="21"/>
              </w:rPr>
              <w:t>≤</w:t>
            </w:r>
            <w:r>
              <w:rPr>
                <w:rFonts w:hint="eastAsia" w:ascii="Times New Roman" w:hAnsi="Times New Roman" w:cs="Times New Roman"/>
                <w:szCs w:val="21"/>
              </w:rPr>
              <w:t>1.5</w:t>
            </w:r>
            <w:r>
              <w:rPr>
                <w:rFonts w:ascii="Times New Roman" w:hAnsi="Times New Roman" w:eastAsia="宋体" w:cs="Times New Roman"/>
                <w:szCs w:val="21"/>
              </w:rPr>
              <w:t>μ</w:t>
            </w:r>
            <w:r>
              <w:rPr>
                <w:rFonts w:ascii="Times New Roman" w:hAnsi="Times New Roman" w:cs="Times New Roman"/>
                <w:szCs w:val="21"/>
              </w:rPr>
              <w:t>m；</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2.4平行度</w:t>
            </w:r>
          </w:p>
          <w:p>
            <w:pPr>
              <w:adjustRightInd w:val="0"/>
              <w:snapToGrid w:val="0"/>
              <w:ind w:firstLine="420" w:firstLineChars="200"/>
              <w:jc w:val="left"/>
              <w:rPr>
                <w:rFonts w:ascii="Times New Roman" w:hAnsi="Times New Roman" w:cs="Times New Roman"/>
                <w:szCs w:val="21"/>
              </w:rPr>
            </w:pPr>
            <w:r>
              <w:rPr>
                <w:rFonts w:hint="eastAsia"/>
                <w:szCs w:val="21"/>
              </w:rPr>
              <w:t>刻线面和非刻线面的</w:t>
            </w:r>
            <w:r>
              <w:rPr>
                <w:rFonts w:hint="eastAsia" w:ascii="Times New Roman" w:hAnsi="Times New Roman" w:cs="Times New Roman"/>
                <w:szCs w:val="21"/>
              </w:rPr>
              <w:t>平行度</w:t>
            </w:r>
            <w:r>
              <w:rPr>
                <w:rFonts w:ascii="Times New Roman" w:hAnsi="Times New Roman" w:cs="Times New Roman"/>
                <w:szCs w:val="21"/>
              </w:rPr>
              <w:t>≤</w:t>
            </w:r>
            <w:r>
              <w:rPr>
                <w:rFonts w:hint="eastAsia" w:ascii="Times New Roman" w:hAnsi="Times New Roman" w:cs="Times New Roman"/>
                <w:szCs w:val="21"/>
              </w:rPr>
              <w:t>30</w:t>
            </w:r>
            <w:r>
              <w:rPr>
                <w:rFonts w:ascii="Times New Roman" w:hAnsi="Times New Roman" w:eastAsia="宋体" w:cs="Times New Roman"/>
                <w:szCs w:val="21"/>
              </w:rPr>
              <w:t>μ</w:t>
            </w:r>
            <w:r>
              <w:rPr>
                <w:rFonts w:ascii="Times New Roman" w:hAnsi="Times New Roman" w:cs="Times New Roman"/>
                <w:szCs w:val="21"/>
              </w:rPr>
              <w:t>m；</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2.5刻线宽度和长度</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刻线宽度（4~8）</w:t>
            </w:r>
            <w:r>
              <w:rPr>
                <w:rFonts w:ascii="Times New Roman" w:hAnsi="Times New Roman" w:eastAsia="宋体" w:cs="Times New Roman"/>
                <w:szCs w:val="21"/>
              </w:rPr>
              <w:t>μ</w:t>
            </w:r>
            <w:r>
              <w:rPr>
                <w:rFonts w:ascii="Times New Roman" w:hAnsi="Times New Roman" w:cs="Times New Roman"/>
                <w:szCs w:val="21"/>
              </w:rPr>
              <w:t>m，线宽之差不大于</w:t>
            </w:r>
            <w:r>
              <w:rPr>
                <w:rFonts w:hint="eastAsia" w:ascii="Times New Roman" w:hAnsi="Times New Roman" w:cs="Times New Roman"/>
                <w:szCs w:val="21"/>
              </w:rPr>
              <w:t>1.0</w:t>
            </w:r>
            <w:r>
              <w:rPr>
                <w:rFonts w:ascii="Times New Roman" w:hAnsi="Times New Roman" w:eastAsia="宋体" w:cs="Times New Roman"/>
                <w:szCs w:val="21"/>
              </w:rPr>
              <w:t>μ</w:t>
            </w:r>
            <w:r>
              <w:rPr>
                <w:rFonts w:ascii="Times New Roman" w:hAnsi="Times New Roman" w:cs="Times New Roman"/>
                <w:szCs w:val="21"/>
              </w:rPr>
              <w:t>m；刻线长度（</w:t>
            </w:r>
            <w:r>
              <w:rPr>
                <w:rFonts w:hint="eastAsia" w:ascii="Times New Roman" w:hAnsi="Times New Roman" w:cs="Times New Roman"/>
                <w:szCs w:val="21"/>
              </w:rPr>
              <w:t>0.3~0.6</w:t>
            </w:r>
            <w:r>
              <w:rPr>
                <w:rFonts w:ascii="Times New Roman" w:hAnsi="Times New Roman" w:cs="Times New Roman"/>
                <w:szCs w:val="21"/>
              </w:rPr>
              <w:t>）mm，规格相同的部分其刻线长度之差不大于</w:t>
            </w:r>
            <w:r>
              <w:rPr>
                <w:rFonts w:hint="eastAsia" w:ascii="Times New Roman" w:hAnsi="Times New Roman" w:cs="Times New Roman"/>
                <w:szCs w:val="21"/>
              </w:rPr>
              <w:t>0.05mm</w:t>
            </w:r>
            <w:r>
              <w:rPr>
                <w:rFonts w:ascii="Times New Roman" w:hAnsi="Times New Roman" w:cs="Times New Roman"/>
                <w:szCs w:val="21"/>
              </w:rPr>
              <w:t>；</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2.6垂直度</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纵轴线与刻线的垂直度不得超</w:t>
            </w:r>
            <w:r>
              <w:rPr>
                <w:rFonts w:cs="Times New Roman" w:asciiTheme="minorEastAsia" w:hAnsiTheme="minorEastAsia"/>
                <w:szCs w:val="21"/>
              </w:rPr>
              <w:t>过</w:t>
            </w:r>
            <w:r>
              <w:rPr>
                <w:rFonts w:ascii="Times New Roman" w:hAnsi="Times New Roman" w:eastAsia="楷体" w:cs="Times New Roman"/>
                <w:szCs w:val="21"/>
              </w:rPr>
              <w:t>3′</w:t>
            </w:r>
            <w:r>
              <w:rPr>
                <w:rFonts w:hint="eastAsia" w:ascii="Times New Roman" w:hAnsi="Times New Roman" w:cs="Times New Roman"/>
                <w:szCs w:val="21"/>
              </w:rPr>
              <w:t>;</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2.7角度</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四条轴线之间的夹角分别</w:t>
            </w:r>
            <w:r>
              <w:rPr>
                <w:rFonts w:ascii="Times New Roman" w:hAnsi="Times New Roman" w:cs="Times New Roman"/>
                <w:szCs w:val="21"/>
              </w:rPr>
              <w:t>为45°、90°和135°，角度误差不超过±</w:t>
            </w:r>
            <w:r>
              <w:rPr>
                <w:rFonts w:hint="eastAsia" w:ascii="Times New Roman" w:hAnsi="Times New Roman" w:cs="Times New Roman"/>
                <w:szCs w:val="21"/>
              </w:rPr>
              <w:t>1</w:t>
            </w:r>
            <w:r>
              <w:rPr>
                <w:rFonts w:ascii="Times New Roman" w:hAnsi="Times New Roman" w:cs="Times New Roman"/>
                <w:szCs w:val="21"/>
              </w:rPr>
              <w:t>°；</w:t>
            </w:r>
          </w:p>
          <w:p>
            <w:pPr>
              <w:adjustRightInd w:val="0"/>
              <w:snapToGrid w:val="0"/>
              <w:ind w:firstLine="420" w:firstLineChars="200"/>
              <w:jc w:val="left"/>
              <w:rPr>
                <w:rFonts w:ascii="Times New Roman" w:hAnsi="Times New Roman" w:cs="Times New Roman"/>
                <w:szCs w:val="21"/>
              </w:rPr>
            </w:pPr>
            <w:r>
              <w:rPr>
                <w:rFonts w:hint="eastAsia" w:ascii="Times New Roman" w:hAnsi="Times New Roman" w:cs="Times New Roman"/>
                <w:szCs w:val="21"/>
              </w:rPr>
              <w:t>2.8刻线间隔</w:t>
            </w:r>
          </w:p>
          <w:p>
            <w:pPr>
              <w:adjustRightInd w:val="0"/>
              <w:snapToGrid w:val="0"/>
              <w:ind w:firstLine="420" w:firstLineChars="200"/>
              <w:jc w:val="left"/>
              <w:rPr>
                <w:szCs w:val="21"/>
              </w:rPr>
            </w:pPr>
            <w:r>
              <w:rPr>
                <w:rFonts w:hint="eastAsia" w:ascii="Times New Roman" w:hAnsi="Times New Roman" w:cs="Times New Roman"/>
                <w:szCs w:val="21"/>
              </w:rPr>
              <w:t>米字线纹尺上任意两刻线间沿轴线方向的距离称为任意刻线间的间隔，刻线间隔校准结果的不确定度要求如下：</w:t>
            </w:r>
          </w:p>
          <w:p>
            <w:pPr>
              <w:ind w:firstLine="420" w:firstLineChars="200"/>
              <w:rPr>
                <w:rFonts w:ascii="Times New Roman" w:hAnsi="Times New Roman" w:cs="Times New Roman"/>
                <w:szCs w:val="21"/>
              </w:rPr>
            </w:pPr>
            <w:r>
              <w:rPr>
                <w:rFonts w:ascii="Times New Roman" w:hAnsi="Times New Roman" w:cs="Times New Roman"/>
                <w:szCs w:val="21"/>
              </w:rPr>
              <w:t>A型尺：</w:t>
            </w:r>
            <w:r>
              <w:rPr>
                <w:rFonts w:ascii="Times New Roman" w:hAnsi="Times New Roman" w:cs="Times New Roman"/>
                <w:i/>
                <w:szCs w:val="21"/>
              </w:rPr>
              <w:t>U</w:t>
            </w:r>
            <w:r>
              <w:rPr>
                <w:rFonts w:ascii="Times New Roman" w:hAnsi="Times New Roman" w:cs="Times New Roman"/>
                <w:szCs w:val="21"/>
                <w:vertAlign w:val="subscript"/>
              </w:rPr>
              <w:t>95</w:t>
            </w:r>
            <w:r>
              <w:rPr>
                <w:rFonts w:ascii="Times New Roman" w:hAnsi="Times New Roman" w:cs="Times New Roman"/>
                <w:szCs w:val="21"/>
              </w:rPr>
              <w:t>=（1.4+1.4</w:t>
            </w:r>
            <w:r>
              <w:rPr>
                <w:rFonts w:ascii="Times New Roman" w:hAnsi="Times New Roman" w:cs="Times New Roman"/>
                <w:i/>
                <w:szCs w:val="21"/>
              </w:rPr>
              <w:t>L</w:t>
            </w:r>
            <w:r>
              <w:rPr>
                <w:rFonts w:ascii="Times New Roman" w:hAnsi="Times New Roman" w:cs="Times New Roman"/>
                <w:szCs w:val="21"/>
              </w:rPr>
              <w:t>）μm或</w:t>
            </w:r>
            <w:r>
              <w:rPr>
                <w:rFonts w:ascii="Times New Roman" w:hAnsi="Times New Roman" w:cs="Times New Roman"/>
                <w:i/>
                <w:szCs w:val="21"/>
              </w:rPr>
              <w:t>U</w:t>
            </w:r>
            <w:r>
              <w:rPr>
                <w:rFonts w:ascii="Times New Roman" w:hAnsi="Times New Roman" w:cs="Times New Roman"/>
                <w:szCs w:val="21"/>
                <w:vertAlign w:val="subscript"/>
              </w:rPr>
              <w:t>99</w:t>
            </w:r>
            <w:r>
              <w:rPr>
                <w:rFonts w:ascii="Times New Roman" w:hAnsi="Times New Roman" w:cs="Times New Roman"/>
                <w:szCs w:val="21"/>
              </w:rPr>
              <w:t>=（2+2</w:t>
            </w:r>
            <w:r>
              <w:rPr>
                <w:rFonts w:ascii="Times New Roman" w:hAnsi="Times New Roman" w:cs="Times New Roman"/>
                <w:i/>
                <w:szCs w:val="21"/>
              </w:rPr>
              <w:t>L</w:t>
            </w:r>
            <w:r>
              <w:rPr>
                <w:rFonts w:ascii="Times New Roman" w:hAnsi="Times New Roman" w:cs="Times New Roman"/>
                <w:szCs w:val="21"/>
              </w:rPr>
              <w:t>）μm，</w:t>
            </w:r>
            <w:r>
              <w:rPr>
                <w:rFonts w:ascii="Times New Roman" w:hAnsi="Times New Roman" w:cs="Times New Roman"/>
                <w:i/>
                <w:szCs w:val="21"/>
              </w:rPr>
              <w:t>L</w:t>
            </w:r>
            <w:r>
              <w:rPr>
                <w:rFonts w:ascii="Times New Roman" w:hAnsi="Times New Roman" w:cs="Times New Roman"/>
                <w:szCs w:val="21"/>
              </w:rPr>
              <w:t>为被测长度，m；</w:t>
            </w:r>
          </w:p>
          <w:p>
            <w:pPr>
              <w:ind w:firstLine="420" w:firstLineChars="200"/>
              <w:rPr>
                <w:rFonts w:ascii="Times New Roman" w:hAnsi="Times New Roman" w:cs="Times New Roman"/>
                <w:szCs w:val="21"/>
              </w:rPr>
            </w:pPr>
            <w:r>
              <w:rPr>
                <w:rFonts w:ascii="Times New Roman" w:hAnsi="Times New Roman" w:cs="Times New Roman"/>
                <w:szCs w:val="21"/>
              </w:rPr>
              <w:t>B型尺：</w:t>
            </w:r>
            <w:r>
              <w:rPr>
                <w:rFonts w:ascii="Times New Roman" w:hAnsi="Times New Roman" w:cs="Times New Roman"/>
                <w:i/>
                <w:szCs w:val="21"/>
              </w:rPr>
              <w:t>U</w:t>
            </w:r>
            <w:r>
              <w:rPr>
                <w:rFonts w:ascii="Times New Roman" w:hAnsi="Times New Roman" w:cs="Times New Roman"/>
                <w:szCs w:val="21"/>
                <w:vertAlign w:val="subscript"/>
              </w:rPr>
              <w:t>95</w:t>
            </w:r>
            <w:r>
              <w:rPr>
                <w:rFonts w:ascii="Times New Roman" w:hAnsi="Times New Roman" w:cs="Times New Roman"/>
                <w:szCs w:val="21"/>
              </w:rPr>
              <w:t>=（0.14+1.0</w:t>
            </w:r>
            <w:r>
              <w:rPr>
                <w:rFonts w:ascii="Times New Roman" w:hAnsi="Times New Roman" w:cs="Times New Roman"/>
                <w:i/>
                <w:szCs w:val="21"/>
              </w:rPr>
              <w:t>L</w:t>
            </w:r>
            <w:r>
              <w:rPr>
                <w:rFonts w:ascii="Times New Roman" w:hAnsi="Times New Roman" w:cs="Times New Roman"/>
                <w:szCs w:val="21"/>
              </w:rPr>
              <w:t>）μm或</w:t>
            </w:r>
            <w:r>
              <w:rPr>
                <w:rFonts w:ascii="Times New Roman" w:hAnsi="Times New Roman" w:cs="Times New Roman"/>
                <w:i/>
                <w:szCs w:val="21"/>
              </w:rPr>
              <w:t>U</w:t>
            </w:r>
            <w:r>
              <w:rPr>
                <w:rFonts w:ascii="Times New Roman" w:hAnsi="Times New Roman" w:cs="Times New Roman"/>
                <w:szCs w:val="21"/>
                <w:vertAlign w:val="subscript"/>
              </w:rPr>
              <w:t>99</w:t>
            </w:r>
            <w:r>
              <w:rPr>
                <w:rFonts w:ascii="Times New Roman" w:hAnsi="Times New Roman" w:cs="Times New Roman"/>
                <w:szCs w:val="21"/>
              </w:rPr>
              <w:t>=（0.2+1.5L）μm，</w:t>
            </w:r>
            <w:r>
              <w:rPr>
                <w:rFonts w:ascii="Times New Roman" w:hAnsi="Times New Roman" w:cs="Times New Roman"/>
                <w:i/>
                <w:szCs w:val="21"/>
              </w:rPr>
              <w:t>L</w:t>
            </w:r>
            <w:r>
              <w:rPr>
                <w:rFonts w:ascii="Times New Roman" w:hAnsi="Times New Roman" w:cs="Times New Roman"/>
                <w:szCs w:val="21"/>
              </w:rPr>
              <w:t>为被测长度，m；</w:t>
            </w:r>
          </w:p>
          <w:p>
            <w:pPr>
              <w:ind w:firstLine="420" w:firstLineChars="200"/>
              <w:rPr>
                <w:rFonts w:ascii="Times New Roman" w:hAnsi="Times New Roman" w:cs="Times New Roman"/>
                <w:szCs w:val="21"/>
              </w:rPr>
            </w:pPr>
            <w:r>
              <w:rPr>
                <w:rFonts w:hint="eastAsia" w:ascii="Times New Roman" w:hAnsi="Times New Roman" w:cs="Times New Roman"/>
                <w:szCs w:val="21"/>
              </w:rPr>
              <w:t>注：以上指标不做合格判定，仅供参考。</w:t>
            </w:r>
          </w:p>
          <w:p>
            <w:pPr>
              <w:ind w:firstLine="420" w:firstLineChars="200"/>
              <w:rPr>
                <w:szCs w:val="21"/>
              </w:rPr>
            </w:pPr>
            <w:r>
              <w:rPr>
                <w:rFonts w:hint="eastAsia"/>
                <w:szCs w:val="21"/>
              </w:rPr>
              <w:t>3.计量项目</w:t>
            </w:r>
          </w:p>
          <w:p>
            <w:pPr>
              <w:adjustRightInd w:val="0"/>
              <w:snapToGrid w:val="0"/>
              <w:ind w:firstLine="420" w:firstLineChars="200"/>
              <w:jc w:val="left"/>
              <w:rPr>
                <w:szCs w:val="21"/>
              </w:rPr>
            </w:pPr>
            <w:r>
              <w:rPr>
                <w:rFonts w:hint="eastAsia" w:ascii="Times New Roman" w:hAnsi="Times New Roman" w:cs="Times New Roman"/>
                <w:szCs w:val="21"/>
              </w:rPr>
              <w:t>米字线纹尺计量项目包括：</w:t>
            </w:r>
            <w:r>
              <w:rPr>
                <w:rFonts w:hint="eastAsia"/>
                <w:szCs w:val="21"/>
              </w:rPr>
              <w:t>材料线膨胀系数、表面粗糙度、</w:t>
            </w:r>
            <w:r>
              <w:rPr>
                <w:rFonts w:hint="eastAsia" w:ascii="Times New Roman" w:hAnsi="Times New Roman" w:cs="Times New Roman"/>
                <w:szCs w:val="21"/>
              </w:rPr>
              <w:t>平面度、平行度、刻线宽度和长度、垂直度、角度、刻线间隔。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水平</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简要说明</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szCs w:val="21"/>
              </w:rPr>
            </w:pPr>
            <w:r>
              <w:rPr>
                <w:rFonts w:hint="eastAsia" w:ascii="Times New Roman" w:hAnsi="Times New Roman" w:cs="Times New Roman"/>
                <w:szCs w:val="21"/>
              </w:rPr>
              <w:t>本规范参照现有的</w:t>
            </w:r>
            <w:r>
              <w:rPr>
                <w:rFonts w:ascii="Times New Roman" w:hAnsi="Times New Roman" w:cs="Times New Roman"/>
                <w:szCs w:val="21"/>
              </w:rPr>
              <w:t>JJG 73-2005 高等别线纹尺检定规程，引用相关的计量特性要求，依据米字线纹尺自身结构特点，通过试验验证相关计量特性的具体要求，提出</w:t>
            </w:r>
            <w:r>
              <w:rPr>
                <w:rFonts w:hint="eastAsia" w:ascii="Times New Roman" w:hAnsi="Times New Roman" w:cs="Times New Roman"/>
                <w:szCs w:val="21"/>
              </w:rPr>
              <w:t>米字线纹尺校准方法。</w:t>
            </w:r>
          </w:p>
          <w:p>
            <w:pPr>
              <w:ind w:firstLine="420" w:firstLineChars="200"/>
              <w:rPr>
                <w:rFonts w:ascii="Times New Roman" w:hAnsi="Times New Roman" w:eastAsia="宋体" w:cs="Times New Roman"/>
                <w:szCs w:val="21"/>
              </w:rPr>
            </w:pPr>
            <w:r>
              <w:rPr>
                <w:rFonts w:hint="eastAsia" w:ascii="Times New Roman" w:hAnsi="Times New Roman" w:cs="Times New Roman"/>
                <w:szCs w:val="21"/>
              </w:rPr>
              <w:t>国际上尚无米字线纹尺相应的规范，在国际、国内也无相应的发表的测量方法论文；</w:t>
            </w:r>
            <w:r>
              <w:rPr>
                <w:rFonts w:hint="eastAsia" w:ascii="Times New Roman" w:hAnsi="Times New Roman"/>
                <w:szCs w:val="21"/>
              </w:rPr>
              <w:t>本规范不涉及知识产权问题。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单位</w:t>
            </w:r>
          </w:p>
        </w:tc>
        <w:tc>
          <w:tcPr>
            <w:tcW w:w="2031"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r>
    </w:tbl>
    <w:p>
      <w:pPr>
        <w:rPr>
          <w:rFonts w:ascii="Times New Roman" w:hAnsi="Times New Roman" w:eastAsia="宋体" w:cs="Times New Roman"/>
          <w:szCs w:val="24"/>
        </w:rPr>
      </w:pPr>
      <w:r>
        <w:rPr>
          <w:rFonts w:hint="eastAsia" w:ascii="Times New Roman" w:hAnsi="Times New Roman" w:eastAsia="宋体" w:cs="Times New Roman"/>
          <w:szCs w:val="24"/>
        </w:rPr>
        <w:t>填写说明：1.表中第</w:t>
      </w:r>
      <w:r>
        <w:rPr>
          <w:rFonts w:ascii="Times New Roman" w:hAnsi="Times New Roman" w:eastAsia="宋体" w:cs="Times New Roman"/>
          <w:szCs w:val="24"/>
        </w:rPr>
        <w:t>2</w:t>
      </w:r>
      <w:r>
        <w:rPr>
          <w:rFonts w:hint="eastAsia" w:ascii="Times New Roman" w:hAnsi="Times New Roman" w:eastAsia="宋体" w:cs="Times New Roman"/>
          <w:szCs w:val="24"/>
        </w:rPr>
        <w:t>，</w:t>
      </w:r>
      <w:r>
        <w:rPr>
          <w:rFonts w:ascii="Times New Roman" w:hAnsi="Times New Roman" w:eastAsia="宋体" w:cs="Times New Roman"/>
          <w:szCs w:val="24"/>
        </w:rPr>
        <w:t>3</w:t>
      </w:r>
      <w:r>
        <w:rPr>
          <w:rFonts w:hint="eastAsia" w:ascii="Times New Roman" w:hAnsi="Times New Roman" w:eastAsia="宋体" w:cs="Times New Roman"/>
          <w:szCs w:val="24"/>
        </w:rPr>
        <w:t>，8行，请在选定的内容上填写 “</w:t>
      </w:r>
      <w:r>
        <w:rPr>
          <w:rFonts w:hint="eastAsia" w:ascii="宋体" w:hAnsi="宋体" w:eastAsia="宋体" w:cs="Times New Roman"/>
          <w:szCs w:val="24"/>
        </w:rPr>
        <w:t>█</w:t>
      </w:r>
      <w:r>
        <w:rPr>
          <w:rFonts w:hint="eastAsia" w:ascii="Times New Roman" w:hAnsi="Times New Roman" w:eastAsia="宋体" w:cs="Times New Roman"/>
          <w:szCs w:val="24"/>
        </w:rPr>
        <w:t>”的符号。</w:t>
      </w:r>
    </w:p>
    <w:p>
      <w:r>
        <w:rPr>
          <w:rFonts w:hint="eastAsia" w:ascii="Times New Roman" w:hAnsi="Times New Roman" w:eastAsia="宋体" w:cs="Times New Roman"/>
          <w:szCs w:val="21"/>
        </w:rPr>
        <w:t>2.填写制定或修订项目中，若选择修订则必须填写被修订计量技术规范号。</w:t>
      </w:r>
    </w:p>
    <w:sectPr>
      <w:pgSz w:w="11906" w:h="16838"/>
      <w:pgMar w:top="993"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E0MmM4NGFhNmY3YzQ0YTgyZmE4Mzc3ODI5ODE3MjkifQ=="/>
  </w:docVars>
  <w:rsids>
    <w:rsidRoot w:val="6E8E739B"/>
    <w:rsid w:val="0004780E"/>
    <w:rsid w:val="001733A2"/>
    <w:rsid w:val="00194589"/>
    <w:rsid w:val="00195C61"/>
    <w:rsid w:val="001F58F5"/>
    <w:rsid w:val="002B4BCB"/>
    <w:rsid w:val="00330B02"/>
    <w:rsid w:val="00372424"/>
    <w:rsid w:val="003A4E3E"/>
    <w:rsid w:val="004B4A71"/>
    <w:rsid w:val="005058A6"/>
    <w:rsid w:val="00560EBD"/>
    <w:rsid w:val="00580545"/>
    <w:rsid w:val="005A6A15"/>
    <w:rsid w:val="005B3CEC"/>
    <w:rsid w:val="00622D5E"/>
    <w:rsid w:val="00732505"/>
    <w:rsid w:val="007A599D"/>
    <w:rsid w:val="007B66CA"/>
    <w:rsid w:val="007C7488"/>
    <w:rsid w:val="007D4181"/>
    <w:rsid w:val="00806287"/>
    <w:rsid w:val="008231EA"/>
    <w:rsid w:val="00880D1E"/>
    <w:rsid w:val="008E0621"/>
    <w:rsid w:val="00905B15"/>
    <w:rsid w:val="00993212"/>
    <w:rsid w:val="009C61E6"/>
    <w:rsid w:val="00B57DE3"/>
    <w:rsid w:val="00B66FC5"/>
    <w:rsid w:val="00BF7D84"/>
    <w:rsid w:val="00C254B8"/>
    <w:rsid w:val="00C37614"/>
    <w:rsid w:val="00CF2103"/>
    <w:rsid w:val="00D310DA"/>
    <w:rsid w:val="00DB65B3"/>
    <w:rsid w:val="00E15AF1"/>
    <w:rsid w:val="00E53152"/>
    <w:rsid w:val="00E846EC"/>
    <w:rsid w:val="00EF2923"/>
    <w:rsid w:val="00F503C6"/>
    <w:rsid w:val="00F62103"/>
    <w:rsid w:val="0F0232E6"/>
    <w:rsid w:val="6E8E7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character" w:customStyle="1" w:styleId="10">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1437</Words>
  <Characters>1645</Characters>
  <Lines>12</Lines>
  <Paragraphs>3</Paragraphs>
  <TotalTime>0</TotalTime>
  <ScaleCrop>false</ScaleCrop>
  <LinksUpToDate>false</LinksUpToDate>
  <CharactersWithSpaces>1712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2022-10-14T09:23:00Z</dcterms:created>
  <dc:creator>王凯荣</dc:creator>
  <cp:lastModifiedBy>闫中南</cp:lastModifiedBy>
  <dcterms:modified xsi:type="dcterms:W3CDTF">2023-01-16T06:02:25Z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