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69DC" w14:textId="33BC5CBF" w:rsidR="00F62BEF" w:rsidRDefault="00844EEA" w:rsidP="00FD6EF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844EEA">
        <w:rPr>
          <w:rFonts w:ascii="宋体" w:eastAsia="宋体" w:hAnsi="宋体"/>
          <w:b/>
          <w:sz w:val="24"/>
          <w:szCs w:val="24"/>
        </w:rPr>
        <w:t>3.8.1.1和3.8.1.6中的标准的应用</w:t>
      </w:r>
      <w:r>
        <w:rPr>
          <w:rFonts w:ascii="宋体" w:eastAsia="宋体" w:hAnsi="宋体" w:hint="eastAsia"/>
          <w:b/>
          <w:sz w:val="24"/>
          <w:szCs w:val="24"/>
        </w:rPr>
        <w:t>，</w:t>
      </w:r>
      <w:r w:rsidR="00FD6EFA" w:rsidRPr="00FD6EFA">
        <w:rPr>
          <w:rFonts w:ascii="宋体" w:eastAsia="宋体" w:hAnsi="宋体" w:hint="eastAsia"/>
          <w:b/>
          <w:sz w:val="24"/>
          <w:szCs w:val="24"/>
        </w:rPr>
        <w:t>当</w:t>
      </w:r>
      <w:r w:rsidR="00683FB2">
        <w:rPr>
          <w:rFonts w:ascii="宋体" w:eastAsia="宋体" w:hAnsi="宋体" w:hint="eastAsia"/>
          <w:b/>
          <w:sz w:val="24"/>
          <w:szCs w:val="24"/>
        </w:rPr>
        <w:t>一种</w:t>
      </w:r>
      <w:r w:rsidR="00FD6EFA" w:rsidRPr="00FD6EFA">
        <w:rPr>
          <w:rFonts w:ascii="宋体" w:eastAsia="宋体" w:hAnsi="宋体" w:hint="eastAsia"/>
          <w:b/>
          <w:sz w:val="24"/>
          <w:szCs w:val="24"/>
        </w:rPr>
        <w:t>物质可</w:t>
      </w:r>
      <w:r w:rsidR="00E92A6F">
        <w:rPr>
          <w:rFonts w:ascii="宋体" w:eastAsia="宋体" w:hAnsi="宋体" w:hint="eastAsia"/>
          <w:b/>
          <w:sz w:val="24"/>
          <w:szCs w:val="24"/>
        </w:rPr>
        <w:t>同时分类为</w:t>
      </w:r>
      <w:r w:rsidR="00265454">
        <w:rPr>
          <w:rFonts w:ascii="宋体" w:eastAsia="宋体" w:hAnsi="宋体" w:hint="eastAsia"/>
          <w:b/>
          <w:sz w:val="24"/>
          <w:szCs w:val="24"/>
        </w:rPr>
        <w:t>特异性靶</w:t>
      </w:r>
      <w:r w:rsidR="00FD6EFA" w:rsidRPr="00FD6EFA">
        <w:rPr>
          <w:rFonts w:ascii="宋体" w:eastAsia="宋体" w:hAnsi="宋体" w:hint="eastAsia"/>
          <w:b/>
          <w:sz w:val="24"/>
          <w:szCs w:val="24"/>
        </w:rPr>
        <w:t>器官毒性（</w:t>
      </w:r>
      <w:r w:rsidR="00265454">
        <w:rPr>
          <w:rFonts w:ascii="宋体" w:eastAsia="宋体" w:hAnsi="宋体" w:hint="eastAsia"/>
          <w:b/>
          <w:sz w:val="24"/>
          <w:szCs w:val="24"/>
        </w:rPr>
        <w:t>一次</w:t>
      </w:r>
      <w:r w:rsidR="00FD6EFA" w:rsidRPr="00FD6EFA">
        <w:rPr>
          <w:rFonts w:ascii="宋体" w:eastAsia="宋体" w:hAnsi="宋体" w:hint="eastAsia"/>
          <w:b/>
          <w:sz w:val="24"/>
          <w:szCs w:val="24"/>
        </w:rPr>
        <w:t>接触）</w:t>
      </w:r>
      <w:r w:rsidR="00683FB2">
        <w:rPr>
          <w:rFonts w:ascii="宋体" w:eastAsia="宋体" w:hAnsi="宋体" w:hint="eastAsia"/>
          <w:b/>
          <w:sz w:val="24"/>
          <w:szCs w:val="24"/>
        </w:rPr>
        <w:t>危险类别（</w:t>
      </w:r>
      <w:r w:rsidR="00683FB2" w:rsidRPr="00FD6EFA">
        <w:rPr>
          <w:rFonts w:ascii="宋体" w:eastAsia="宋体" w:hAnsi="宋体" w:hint="eastAsia"/>
          <w:b/>
          <w:sz w:val="24"/>
          <w:szCs w:val="24"/>
        </w:rPr>
        <w:t>非致死效应</w:t>
      </w:r>
      <w:r w:rsidR="00683FB2">
        <w:rPr>
          <w:rFonts w:ascii="宋体" w:eastAsia="宋体" w:hAnsi="宋体" w:hint="eastAsia"/>
          <w:b/>
          <w:sz w:val="24"/>
          <w:szCs w:val="24"/>
        </w:rPr>
        <w:t>）</w:t>
      </w:r>
      <w:r w:rsidR="00FD6EFA" w:rsidRPr="00FD6EFA">
        <w:rPr>
          <w:rFonts w:ascii="宋体" w:eastAsia="宋体" w:hAnsi="宋体" w:hint="eastAsia"/>
          <w:b/>
          <w:sz w:val="24"/>
          <w:szCs w:val="24"/>
        </w:rPr>
        <w:t>和急性毒性</w:t>
      </w:r>
      <w:r w:rsidR="00683FB2">
        <w:rPr>
          <w:rFonts w:ascii="宋体" w:eastAsia="宋体" w:hAnsi="宋体" w:hint="eastAsia"/>
          <w:b/>
          <w:sz w:val="24"/>
          <w:szCs w:val="24"/>
        </w:rPr>
        <w:t>危险</w:t>
      </w:r>
      <w:r w:rsidR="00FD6EFA" w:rsidRPr="00FD6EFA">
        <w:rPr>
          <w:rFonts w:ascii="宋体" w:eastAsia="宋体" w:hAnsi="宋体" w:hint="eastAsia"/>
          <w:b/>
          <w:sz w:val="24"/>
          <w:szCs w:val="24"/>
        </w:rPr>
        <w:t>类别</w:t>
      </w:r>
      <w:r w:rsidR="00683FB2">
        <w:rPr>
          <w:rFonts w:ascii="宋体" w:eastAsia="宋体" w:hAnsi="宋体" w:hint="eastAsia"/>
          <w:b/>
          <w:sz w:val="24"/>
          <w:szCs w:val="24"/>
        </w:rPr>
        <w:t>（致死效应）</w:t>
      </w:r>
      <w:r w:rsidR="00FD6EFA" w:rsidRPr="00FD6EFA">
        <w:rPr>
          <w:rFonts w:ascii="宋体" w:eastAsia="宋体" w:hAnsi="宋体" w:hint="eastAsia"/>
          <w:b/>
          <w:sz w:val="24"/>
          <w:szCs w:val="24"/>
        </w:rPr>
        <w:t>时</w:t>
      </w:r>
    </w:p>
    <w:p w14:paraId="604A1CE6" w14:textId="77777777" w:rsidR="00FD6EFA" w:rsidRPr="00844EEA" w:rsidRDefault="00FD6EFA" w:rsidP="00FD6EFA">
      <w:pPr>
        <w:spacing w:line="276" w:lineRule="auto"/>
        <w:rPr>
          <w:rFonts w:ascii="宋体" w:eastAsia="宋体" w:hAnsi="宋体"/>
          <w:b/>
          <w:sz w:val="24"/>
          <w:szCs w:val="24"/>
        </w:rPr>
      </w:pPr>
    </w:p>
    <w:p w14:paraId="164386B0" w14:textId="77777777" w:rsidR="00FD6EFA" w:rsidRDefault="00FD6EFA" w:rsidP="00FD6EF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物质信息</w:t>
      </w:r>
    </w:p>
    <w:p w14:paraId="3792CD54" w14:textId="77777777" w:rsidR="00FD6EFA" w:rsidRDefault="00FD6EFA" w:rsidP="00FD6EFA">
      <w:pPr>
        <w:spacing w:line="276" w:lineRule="auto"/>
        <w:rPr>
          <w:rFonts w:ascii="宋体" w:eastAsia="宋体" w:hAnsi="宋体"/>
          <w:b/>
          <w:sz w:val="24"/>
          <w:szCs w:val="24"/>
        </w:rPr>
      </w:pPr>
    </w:p>
    <w:p w14:paraId="15DBDC9F" w14:textId="77777777" w:rsidR="00FD6EFA" w:rsidRDefault="00FD6EFA" w:rsidP="00FD6EF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数据</w:t>
      </w:r>
    </w:p>
    <w:p w14:paraId="2EAB6FB8" w14:textId="77777777" w:rsidR="00FD6EFA" w:rsidRPr="00614782" w:rsidRDefault="00FD6EFA" w:rsidP="00FD6EFA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人类试验：</w:t>
      </w:r>
    </w:p>
    <w:p w14:paraId="01E9A2EA" w14:textId="09582152" w:rsidR="00FD6EFA" w:rsidRDefault="00FD6EFA" w:rsidP="00FD6EFA">
      <w:pPr>
        <w:spacing w:line="276" w:lineRule="auto"/>
        <w:rPr>
          <w:rFonts w:ascii="宋体" w:eastAsia="宋体" w:hAnsi="宋体"/>
          <w:sz w:val="24"/>
          <w:szCs w:val="24"/>
        </w:rPr>
      </w:pPr>
      <w:r w:rsidRPr="00FD6EFA">
        <w:rPr>
          <w:rFonts w:ascii="宋体" w:eastAsia="宋体" w:hAnsi="宋体" w:hint="eastAsia"/>
          <w:sz w:val="24"/>
          <w:szCs w:val="24"/>
        </w:rPr>
        <w:t>在</w:t>
      </w:r>
      <w:r w:rsidRPr="00FD6EFA">
        <w:rPr>
          <w:rFonts w:ascii="宋体" w:eastAsia="宋体" w:hAnsi="宋体"/>
          <w:sz w:val="24"/>
          <w:szCs w:val="24"/>
        </w:rPr>
        <w:t>30年的时间里，已经报道了涉及数百人的多起意外接触事件。</w:t>
      </w:r>
      <w:r w:rsidR="00265454">
        <w:rPr>
          <w:rFonts w:ascii="宋体" w:eastAsia="宋体" w:hAnsi="宋体" w:hint="eastAsia"/>
          <w:sz w:val="24"/>
          <w:szCs w:val="24"/>
        </w:rPr>
        <w:t>一次</w:t>
      </w:r>
      <w:r w:rsidRPr="00FD6EFA">
        <w:rPr>
          <w:rFonts w:ascii="宋体" w:eastAsia="宋体" w:hAnsi="宋体"/>
          <w:sz w:val="24"/>
          <w:szCs w:val="24"/>
        </w:rPr>
        <w:t>接触后观察到严重的神经毒性效应（即轻度周围神经病变至永久性麻痹）。该数据稳定可靠。</w:t>
      </w:r>
    </w:p>
    <w:p w14:paraId="7B1B9FE7" w14:textId="77777777" w:rsidR="00FD6EFA" w:rsidRDefault="00FD6EFA" w:rsidP="00FD6EFA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6DD26A43" w14:textId="77777777" w:rsidR="00FD6EFA" w:rsidRDefault="00FD6EFA" w:rsidP="00FD6EF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动物数据：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4615"/>
      </w:tblGrid>
      <w:tr w:rsidR="00FD6EFA" w:rsidRPr="00614782" w14:paraId="616F1BC6" w14:textId="77777777" w:rsidTr="007A716D">
        <w:tc>
          <w:tcPr>
            <w:tcW w:w="1271" w:type="dxa"/>
          </w:tcPr>
          <w:p w14:paraId="3C437B29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Cs w:val="21"/>
              </w:rPr>
              <w:t>接触途径</w:t>
            </w:r>
          </w:p>
        </w:tc>
        <w:tc>
          <w:tcPr>
            <w:tcW w:w="1134" w:type="dxa"/>
          </w:tcPr>
          <w:p w14:paraId="03D8A040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Cs w:val="21"/>
              </w:rPr>
              <w:t>物种</w:t>
            </w:r>
          </w:p>
        </w:tc>
        <w:tc>
          <w:tcPr>
            <w:tcW w:w="1276" w:type="dxa"/>
          </w:tcPr>
          <w:p w14:paraId="28886E40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Cs w:val="21"/>
              </w:rPr>
              <w:t>L</w:t>
            </w:r>
            <w:r w:rsidRPr="00443101">
              <w:rPr>
                <w:rFonts w:ascii="Times New Roman" w:eastAsia="宋体" w:hAnsi="Times New Roman"/>
                <w:szCs w:val="21"/>
              </w:rPr>
              <w:t>D</w:t>
            </w:r>
            <w:r w:rsidRPr="00443101">
              <w:rPr>
                <w:rFonts w:ascii="Times New Roman" w:eastAsia="宋体" w:hAnsi="Times New Roman"/>
                <w:szCs w:val="21"/>
                <w:vertAlign w:val="subscript"/>
              </w:rPr>
              <w:t>50</w:t>
            </w:r>
          </w:p>
        </w:tc>
        <w:tc>
          <w:tcPr>
            <w:tcW w:w="4615" w:type="dxa"/>
          </w:tcPr>
          <w:p w14:paraId="14FA4D2B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Cs w:val="21"/>
              </w:rPr>
              <w:t>备注</w:t>
            </w:r>
          </w:p>
        </w:tc>
      </w:tr>
      <w:tr w:rsidR="00FD6EFA" w:rsidRPr="00614782" w14:paraId="147A0E33" w14:textId="77777777" w:rsidTr="007A716D">
        <w:tc>
          <w:tcPr>
            <w:tcW w:w="1271" w:type="dxa"/>
          </w:tcPr>
          <w:p w14:paraId="7E895AC2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Cs w:val="21"/>
              </w:rPr>
              <w:t>口服</w:t>
            </w:r>
          </w:p>
        </w:tc>
        <w:tc>
          <w:tcPr>
            <w:tcW w:w="1134" w:type="dxa"/>
          </w:tcPr>
          <w:p w14:paraId="766BD0E4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Cs w:val="21"/>
              </w:rPr>
              <w:t>大鼠</w:t>
            </w:r>
          </w:p>
        </w:tc>
        <w:tc>
          <w:tcPr>
            <w:tcW w:w="1276" w:type="dxa"/>
          </w:tcPr>
          <w:p w14:paraId="2139A3F4" w14:textId="77777777" w:rsidR="00FD6EFA" w:rsidRPr="00443101" w:rsidRDefault="00FD6EFA" w:rsidP="007A716D">
            <w:pPr>
              <w:widowControl/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Style w:val="fontstyle01"/>
                <w:rFonts w:ascii="Times New Roman" w:eastAsia="宋体" w:hAnsi="Times New Roman"/>
                <w:sz w:val="21"/>
                <w:szCs w:val="21"/>
              </w:rPr>
              <w:t>1160 mg/kg</w:t>
            </w:r>
          </w:p>
        </w:tc>
        <w:tc>
          <w:tcPr>
            <w:tcW w:w="4615" w:type="dxa"/>
          </w:tcPr>
          <w:p w14:paraId="3B539B7C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 w:val="20"/>
                <w:szCs w:val="21"/>
              </w:rPr>
              <w:t>●</w:t>
            </w:r>
            <w:r w:rsidRPr="00443101">
              <w:rPr>
                <w:rFonts w:ascii="Times New Roman" w:eastAsia="宋体" w:hAnsi="Times New Roman" w:hint="eastAsia"/>
                <w:szCs w:val="21"/>
              </w:rPr>
              <w:t>肝脏—尸检期间发现死亡原因是晚期纤维化。</w:t>
            </w:r>
          </w:p>
          <w:p w14:paraId="1180C7B4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 w:val="20"/>
                <w:szCs w:val="21"/>
              </w:rPr>
              <w:t>●</w:t>
            </w:r>
            <w:r w:rsidRPr="00443101">
              <w:rPr>
                <w:rFonts w:ascii="Times New Roman" w:eastAsia="宋体" w:hAnsi="Times New Roman" w:hint="eastAsia"/>
                <w:szCs w:val="21"/>
              </w:rPr>
              <w:t>临床观察：</w:t>
            </w:r>
            <w:r w:rsidRPr="00443101">
              <w:rPr>
                <w:rFonts w:ascii="Times New Roman" w:eastAsia="宋体" w:hAnsi="Times New Roman"/>
                <w:szCs w:val="21"/>
              </w:rPr>
              <w:t>观察到</w:t>
            </w:r>
            <w:r w:rsidRPr="00443101">
              <w:rPr>
                <w:rFonts w:ascii="Times New Roman" w:eastAsia="宋体" w:hAnsi="Times New Roman" w:hint="eastAsia"/>
                <w:szCs w:val="21"/>
              </w:rPr>
              <w:t>动物运动</w:t>
            </w:r>
            <w:r w:rsidRPr="00443101">
              <w:rPr>
                <w:rFonts w:ascii="Times New Roman" w:eastAsia="宋体" w:hAnsi="Times New Roman"/>
                <w:szCs w:val="21"/>
              </w:rPr>
              <w:t>失调</w:t>
            </w:r>
            <w:r w:rsidRPr="00443101">
              <w:rPr>
                <w:rFonts w:ascii="Times New Roman" w:eastAsia="宋体" w:hAnsi="Times New Roman" w:hint="eastAsia"/>
                <w:szCs w:val="21"/>
              </w:rPr>
              <w:t>的剂量水平≥</w:t>
            </w:r>
            <w:r w:rsidRPr="00443101">
              <w:rPr>
                <w:rFonts w:ascii="Times New Roman" w:eastAsia="宋体" w:hAnsi="Times New Roman"/>
                <w:szCs w:val="21"/>
              </w:rPr>
              <w:t>200 mg/kg</w:t>
            </w:r>
          </w:p>
        </w:tc>
      </w:tr>
      <w:tr w:rsidR="00FD6EFA" w:rsidRPr="00614782" w14:paraId="399E4AF4" w14:textId="77777777" w:rsidTr="007A716D">
        <w:tc>
          <w:tcPr>
            <w:tcW w:w="1271" w:type="dxa"/>
          </w:tcPr>
          <w:p w14:paraId="297F6AC8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Cs w:val="21"/>
              </w:rPr>
              <w:t>皮肤</w:t>
            </w:r>
          </w:p>
        </w:tc>
        <w:tc>
          <w:tcPr>
            <w:tcW w:w="1134" w:type="dxa"/>
          </w:tcPr>
          <w:p w14:paraId="18305399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Cs w:val="21"/>
              </w:rPr>
              <w:t>兔子</w:t>
            </w:r>
          </w:p>
        </w:tc>
        <w:tc>
          <w:tcPr>
            <w:tcW w:w="1276" w:type="dxa"/>
          </w:tcPr>
          <w:p w14:paraId="1103DF5D" w14:textId="77777777" w:rsidR="00FD6EFA" w:rsidRPr="00443101" w:rsidRDefault="00FD6EFA" w:rsidP="007A716D">
            <w:pPr>
              <w:widowControl/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Style w:val="fontstyle01"/>
                <w:rFonts w:ascii="Times New Roman" w:eastAsia="宋体" w:hAnsi="Times New Roman"/>
                <w:sz w:val="21"/>
                <w:szCs w:val="21"/>
              </w:rPr>
              <w:t xml:space="preserve">3100 mg/kg </w:t>
            </w:r>
          </w:p>
        </w:tc>
        <w:tc>
          <w:tcPr>
            <w:tcW w:w="4615" w:type="dxa"/>
          </w:tcPr>
          <w:p w14:paraId="5C9CB0E6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 w:val="20"/>
                <w:szCs w:val="21"/>
              </w:rPr>
              <w:t>●</w:t>
            </w:r>
            <w:r w:rsidRPr="00443101">
              <w:rPr>
                <w:rFonts w:ascii="Times New Roman" w:eastAsia="宋体" w:hAnsi="Times New Roman" w:hint="eastAsia"/>
                <w:szCs w:val="21"/>
              </w:rPr>
              <w:t>肝脏—尸检期间发现死亡原因是纤维化。</w:t>
            </w:r>
          </w:p>
          <w:p w14:paraId="023B57A7" w14:textId="77777777" w:rsidR="00FD6EFA" w:rsidRPr="00443101" w:rsidRDefault="00FD6EFA" w:rsidP="007A716D">
            <w:pPr>
              <w:rPr>
                <w:rFonts w:ascii="Times New Roman" w:eastAsia="宋体" w:hAnsi="Times New Roman"/>
                <w:szCs w:val="21"/>
              </w:rPr>
            </w:pPr>
            <w:r w:rsidRPr="00443101">
              <w:rPr>
                <w:rFonts w:ascii="Times New Roman" w:eastAsia="宋体" w:hAnsi="Times New Roman" w:hint="eastAsia"/>
                <w:sz w:val="20"/>
                <w:szCs w:val="21"/>
              </w:rPr>
              <w:t>●</w:t>
            </w:r>
            <w:r w:rsidRPr="00443101">
              <w:rPr>
                <w:rFonts w:ascii="Times New Roman" w:eastAsia="宋体" w:hAnsi="Times New Roman" w:hint="eastAsia"/>
                <w:szCs w:val="21"/>
              </w:rPr>
              <w:t>尸检期间未发现对器官的其他影响。</w:t>
            </w:r>
          </w:p>
        </w:tc>
      </w:tr>
    </w:tbl>
    <w:p w14:paraId="08AE4FB5" w14:textId="77777777" w:rsidR="00FD6EFA" w:rsidRPr="00FD6EFA" w:rsidRDefault="00FD6EFA" w:rsidP="00FD6EFA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22348DCD" w14:textId="778872EB" w:rsidR="001D189F" w:rsidRPr="00443101" w:rsidRDefault="007F505A" w:rsidP="001D189F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答</w:t>
      </w:r>
    </w:p>
    <w:p w14:paraId="5530AA0B" w14:textId="77777777" w:rsidR="001D189F" w:rsidRPr="00614782" w:rsidRDefault="001D189F" w:rsidP="001D189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急性经口毒性：类别</w:t>
      </w:r>
      <w:r w:rsidRPr="00614782">
        <w:rPr>
          <w:rFonts w:ascii="Times New Roman" w:eastAsia="宋体" w:hAnsi="Times New Roman"/>
          <w:sz w:val="24"/>
          <w:szCs w:val="24"/>
        </w:rPr>
        <w:t>4</w:t>
      </w:r>
    </w:p>
    <w:p w14:paraId="46F84728" w14:textId="5C3ED5F0" w:rsidR="001D189F" w:rsidRPr="00614782" w:rsidRDefault="001D189F" w:rsidP="001D189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急性</w:t>
      </w:r>
      <w:r w:rsidR="00DA6579">
        <w:rPr>
          <w:rFonts w:ascii="Times New Roman" w:eastAsia="宋体" w:hAnsi="Times New Roman" w:hint="eastAsia"/>
          <w:sz w:val="24"/>
          <w:szCs w:val="24"/>
        </w:rPr>
        <w:t>经皮</w:t>
      </w:r>
      <w:r w:rsidRPr="00614782">
        <w:rPr>
          <w:rFonts w:ascii="Times New Roman" w:eastAsia="宋体" w:hAnsi="Times New Roman" w:hint="eastAsia"/>
          <w:sz w:val="24"/>
          <w:szCs w:val="24"/>
        </w:rPr>
        <w:t>毒性：类别</w:t>
      </w:r>
      <w:r w:rsidRPr="00614782">
        <w:rPr>
          <w:rFonts w:ascii="Times New Roman" w:eastAsia="宋体" w:hAnsi="Times New Roman"/>
          <w:sz w:val="24"/>
          <w:szCs w:val="24"/>
        </w:rPr>
        <w:t>5</w:t>
      </w:r>
    </w:p>
    <w:p w14:paraId="3DCE973B" w14:textId="059ECBA6" w:rsidR="001D189F" w:rsidRPr="00614782" w:rsidRDefault="00265454" w:rsidP="001D189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特异性靶</w:t>
      </w:r>
      <w:r w:rsidR="001D189F" w:rsidRPr="00614782">
        <w:rPr>
          <w:rFonts w:ascii="Times New Roman" w:eastAsia="宋体" w:hAnsi="Times New Roman" w:hint="eastAsia"/>
          <w:sz w:val="24"/>
          <w:szCs w:val="24"/>
        </w:rPr>
        <w:t>器官毒性—</w:t>
      </w:r>
      <w:r>
        <w:rPr>
          <w:rFonts w:ascii="Times New Roman" w:eastAsia="宋体" w:hAnsi="Times New Roman" w:hint="eastAsia"/>
          <w:sz w:val="24"/>
          <w:szCs w:val="24"/>
        </w:rPr>
        <w:t>一次</w:t>
      </w:r>
      <w:r w:rsidR="001D189F" w:rsidRPr="00614782">
        <w:rPr>
          <w:rFonts w:ascii="Times New Roman" w:eastAsia="宋体" w:hAnsi="Times New Roman" w:hint="eastAsia"/>
          <w:sz w:val="24"/>
          <w:szCs w:val="24"/>
        </w:rPr>
        <w:t>接触：类别</w:t>
      </w:r>
      <w:r w:rsidR="001D189F" w:rsidRPr="00614782">
        <w:rPr>
          <w:rFonts w:ascii="Times New Roman" w:eastAsia="宋体" w:hAnsi="Times New Roman" w:hint="eastAsia"/>
          <w:sz w:val="24"/>
          <w:szCs w:val="24"/>
        </w:rPr>
        <w:t>1</w:t>
      </w:r>
      <w:r w:rsidR="001D189F" w:rsidRPr="00614782">
        <w:rPr>
          <w:rFonts w:ascii="Times New Roman" w:eastAsia="宋体" w:hAnsi="Times New Roman"/>
          <w:sz w:val="24"/>
          <w:szCs w:val="24"/>
        </w:rPr>
        <w:t>（神经系统）</w:t>
      </w:r>
    </w:p>
    <w:p w14:paraId="398C9A23" w14:textId="77777777" w:rsidR="00FD6EFA" w:rsidRDefault="00FD6EFA" w:rsidP="00FD6EFA">
      <w:pPr>
        <w:spacing w:line="276" w:lineRule="auto"/>
        <w:rPr>
          <w:rFonts w:ascii="宋体" w:eastAsia="宋体" w:hAnsi="宋体"/>
          <w:b/>
          <w:sz w:val="24"/>
          <w:szCs w:val="24"/>
        </w:rPr>
      </w:pPr>
    </w:p>
    <w:p w14:paraId="6201F32D" w14:textId="47AC3B1E" w:rsidR="001D189F" w:rsidRPr="00614782" w:rsidRDefault="007F505A" w:rsidP="001D189F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逻辑</w:t>
      </w:r>
      <w:r w:rsidR="00B523C3">
        <w:rPr>
          <w:rFonts w:ascii="Times New Roman" w:eastAsia="宋体" w:hAnsi="Times New Roman" w:hint="eastAsia"/>
          <w:b/>
          <w:sz w:val="24"/>
          <w:szCs w:val="24"/>
        </w:rPr>
        <w:t>依据</w:t>
      </w:r>
    </w:p>
    <w:p w14:paraId="7FDAE39B" w14:textId="77777777" w:rsidR="001D189F" w:rsidRPr="00614782" w:rsidRDefault="001D189F" w:rsidP="001D189F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急性经口毒性</w:t>
      </w:r>
    </w:p>
    <w:p w14:paraId="0B5A9E7C" w14:textId="77777777" w:rsidR="001D189F" w:rsidRPr="00614782" w:rsidRDefault="001D189F" w:rsidP="001D189F">
      <w:pPr>
        <w:pStyle w:val="a8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可根据</w:t>
      </w:r>
      <w:r w:rsidRPr="00614782">
        <w:rPr>
          <w:rFonts w:ascii="Times New Roman" w:eastAsia="宋体" w:hAnsi="Times New Roman" w:hint="eastAsia"/>
          <w:sz w:val="24"/>
          <w:szCs w:val="24"/>
        </w:rPr>
        <w:t>G</w:t>
      </w:r>
      <w:r w:rsidRPr="00614782">
        <w:rPr>
          <w:rFonts w:ascii="Times New Roman" w:eastAsia="宋体" w:hAnsi="Times New Roman"/>
          <w:sz w:val="24"/>
          <w:szCs w:val="24"/>
        </w:rPr>
        <w:t>HS</w:t>
      </w:r>
      <w:r w:rsidRPr="00614782">
        <w:rPr>
          <w:rFonts w:ascii="Times New Roman" w:eastAsia="宋体" w:hAnsi="Times New Roman" w:hint="eastAsia"/>
          <w:sz w:val="24"/>
          <w:szCs w:val="24"/>
        </w:rPr>
        <w:t>中的表</w:t>
      </w:r>
      <w:r w:rsidRPr="00614782">
        <w:rPr>
          <w:rFonts w:ascii="Times New Roman" w:eastAsia="宋体" w:hAnsi="Times New Roman" w:hint="eastAsia"/>
          <w:sz w:val="24"/>
          <w:szCs w:val="24"/>
        </w:rPr>
        <w:t>3</w:t>
      </w:r>
      <w:r w:rsidRPr="00614782">
        <w:rPr>
          <w:rFonts w:ascii="Times New Roman" w:eastAsia="宋体" w:hAnsi="Times New Roman"/>
          <w:sz w:val="24"/>
          <w:szCs w:val="24"/>
        </w:rPr>
        <w:t>.1.1</w:t>
      </w:r>
      <w:r w:rsidRPr="00614782">
        <w:rPr>
          <w:rFonts w:ascii="Times New Roman" w:eastAsia="宋体" w:hAnsi="Times New Roman" w:hint="eastAsia"/>
          <w:sz w:val="24"/>
          <w:szCs w:val="24"/>
        </w:rPr>
        <w:t>进行分类。</w:t>
      </w:r>
      <w:r w:rsidRPr="009A5190">
        <w:rPr>
          <w:rFonts w:ascii="Times New Roman" w:eastAsia="宋体" w:hAnsi="Times New Roman" w:hint="eastAsia"/>
          <w:sz w:val="24"/>
          <w:szCs w:val="24"/>
        </w:rPr>
        <w:t>研究使用第</w:t>
      </w:r>
      <w:r w:rsidRPr="009A5190">
        <w:rPr>
          <w:rFonts w:ascii="Times New Roman" w:eastAsia="宋体" w:hAnsi="Times New Roman"/>
          <w:sz w:val="24"/>
          <w:szCs w:val="24"/>
        </w:rPr>
        <w:t>3.1.2.3</w:t>
      </w:r>
      <w:r w:rsidRPr="009A5190">
        <w:rPr>
          <w:rFonts w:ascii="Times New Roman" w:eastAsia="宋体" w:hAnsi="Times New Roman"/>
          <w:sz w:val="24"/>
          <w:szCs w:val="24"/>
        </w:rPr>
        <w:t>段中提到的首选试验物种（即大鼠）</w:t>
      </w:r>
      <w:r>
        <w:rPr>
          <w:rFonts w:ascii="Times New Roman" w:eastAsia="宋体" w:hAnsi="Times New Roman" w:hint="eastAsia"/>
          <w:sz w:val="24"/>
          <w:szCs w:val="24"/>
        </w:rPr>
        <w:t>，其大鼠口服</w:t>
      </w:r>
      <w:r w:rsidRPr="00614782">
        <w:rPr>
          <w:rFonts w:ascii="Times New Roman" w:eastAsia="宋体" w:hAnsi="Times New Roman"/>
          <w:sz w:val="24"/>
          <w:szCs w:val="24"/>
        </w:rPr>
        <w:t>LD</w:t>
      </w:r>
      <w:r w:rsidRPr="00614782">
        <w:rPr>
          <w:rFonts w:ascii="Times New Roman" w:eastAsia="宋体" w:hAnsi="Times New Roman"/>
          <w:sz w:val="24"/>
          <w:szCs w:val="24"/>
          <w:vertAlign w:val="subscript"/>
        </w:rPr>
        <w:t>50</w:t>
      </w:r>
      <w:r w:rsidRPr="00614782">
        <w:rPr>
          <w:rFonts w:ascii="Times New Roman" w:eastAsia="宋体" w:hAnsi="Times New Roman" w:hint="eastAsia"/>
          <w:sz w:val="24"/>
          <w:szCs w:val="24"/>
        </w:rPr>
        <w:t>值</w:t>
      </w:r>
      <w:r>
        <w:rPr>
          <w:rFonts w:ascii="Times New Roman" w:eastAsia="宋体" w:hAnsi="Times New Roman" w:hint="eastAsia"/>
          <w:sz w:val="24"/>
          <w:szCs w:val="24"/>
        </w:rPr>
        <w:t>为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160</w:t>
      </w:r>
      <w:r w:rsidRPr="00614782"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在急性经口毒性</w:t>
      </w:r>
      <w:r w:rsidRPr="00614782">
        <w:rPr>
          <w:rFonts w:ascii="Times New Roman" w:eastAsia="宋体" w:hAnsi="Times New Roman" w:hint="eastAsia"/>
          <w:sz w:val="24"/>
          <w:szCs w:val="24"/>
        </w:rPr>
        <w:t>类别</w:t>
      </w:r>
      <w:r w:rsidRPr="00614782">
        <w:rPr>
          <w:rFonts w:ascii="Times New Roman" w:eastAsia="宋体" w:hAnsi="Times New Roman" w:hint="eastAsia"/>
          <w:sz w:val="24"/>
          <w:szCs w:val="24"/>
        </w:rPr>
        <w:t>4</w:t>
      </w:r>
      <w:r w:rsidRPr="00614782">
        <w:rPr>
          <w:rFonts w:ascii="Times New Roman" w:eastAsia="宋体" w:hAnsi="Times New Roman" w:hint="eastAsia"/>
          <w:sz w:val="24"/>
          <w:szCs w:val="24"/>
        </w:rPr>
        <w:t>性估计值范围</w:t>
      </w:r>
      <w:r>
        <w:rPr>
          <w:rFonts w:ascii="Times New Roman" w:eastAsia="宋体" w:hAnsi="Times New Roman" w:hint="eastAsia"/>
          <w:sz w:val="24"/>
          <w:szCs w:val="24"/>
        </w:rPr>
        <w:t>（</w:t>
      </w:r>
      <w:r w:rsidRPr="009A5190">
        <w:rPr>
          <w:rFonts w:ascii="Times New Roman" w:eastAsia="宋体" w:hAnsi="Times New Roman"/>
          <w:sz w:val="24"/>
          <w:szCs w:val="24"/>
        </w:rPr>
        <w:t>300&lt;ATE≤2000</w:t>
      </w:r>
      <w:r>
        <w:rPr>
          <w:rFonts w:ascii="Times New Roman" w:eastAsia="宋体" w:hAnsi="Times New Roman" w:hint="eastAsia"/>
          <w:sz w:val="24"/>
          <w:szCs w:val="24"/>
        </w:rPr>
        <w:t>）内</w:t>
      </w:r>
      <w:r w:rsidRPr="00614782"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因此被划为类别</w:t>
      </w:r>
      <w:r>
        <w:rPr>
          <w:rFonts w:ascii="Times New Roman" w:eastAsia="宋体" w:hAnsi="Times New Roman" w:hint="eastAsia"/>
          <w:sz w:val="24"/>
          <w:szCs w:val="24"/>
        </w:rPr>
        <w:t>4</w:t>
      </w:r>
      <w:r w:rsidRPr="00614782">
        <w:rPr>
          <w:rFonts w:ascii="Times New Roman" w:eastAsia="宋体" w:hAnsi="Times New Roman" w:hint="eastAsia"/>
          <w:sz w:val="24"/>
          <w:szCs w:val="24"/>
        </w:rPr>
        <w:t>。</w:t>
      </w:r>
    </w:p>
    <w:p w14:paraId="2E7EA130" w14:textId="77777777" w:rsidR="001D189F" w:rsidRPr="00614782" w:rsidRDefault="001D189F" w:rsidP="001D189F">
      <w:pPr>
        <w:pStyle w:val="a8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急性经皮毒性</w:t>
      </w:r>
    </w:p>
    <w:p w14:paraId="4AFA735F" w14:textId="77777777" w:rsidR="001D189F" w:rsidRPr="00614782" w:rsidRDefault="001D189F" w:rsidP="001D189F">
      <w:pPr>
        <w:pStyle w:val="a8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可根据</w:t>
      </w:r>
      <w:r w:rsidRPr="00614782">
        <w:rPr>
          <w:rFonts w:ascii="Times New Roman" w:eastAsia="宋体" w:hAnsi="Times New Roman" w:hint="eastAsia"/>
          <w:sz w:val="24"/>
          <w:szCs w:val="24"/>
        </w:rPr>
        <w:t>G</w:t>
      </w:r>
      <w:r w:rsidRPr="00614782">
        <w:rPr>
          <w:rFonts w:ascii="Times New Roman" w:eastAsia="宋体" w:hAnsi="Times New Roman"/>
          <w:sz w:val="24"/>
          <w:szCs w:val="24"/>
        </w:rPr>
        <w:t>HS</w:t>
      </w:r>
      <w:r w:rsidRPr="00614782">
        <w:rPr>
          <w:rFonts w:ascii="Times New Roman" w:eastAsia="宋体" w:hAnsi="Times New Roman" w:hint="eastAsia"/>
          <w:sz w:val="24"/>
          <w:szCs w:val="24"/>
        </w:rPr>
        <w:t>中的表</w:t>
      </w:r>
      <w:r w:rsidRPr="00614782">
        <w:rPr>
          <w:rFonts w:ascii="Times New Roman" w:eastAsia="宋体" w:hAnsi="Times New Roman" w:hint="eastAsia"/>
          <w:sz w:val="24"/>
          <w:szCs w:val="24"/>
        </w:rPr>
        <w:t>3</w:t>
      </w:r>
      <w:r w:rsidRPr="00614782">
        <w:rPr>
          <w:rFonts w:ascii="Times New Roman" w:eastAsia="宋体" w:hAnsi="Times New Roman"/>
          <w:sz w:val="24"/>
          <w:szCs w:val="24"/>
        </w:rPr>
        <w:t>.1.1</w:t>
      </w:r>
      <w:r w:rsidRPr="00614782">
        <w:rPr>
          <w:rFonts w:ascii="Times New Roman" w:eastAsia="宋体" w:hAnsi="Times New Roman" w:hint="eastAsia"/>
          <w:sz w:val="24"/>
          <w:szCs w:val="24"/>
        </w:rPr>
        <w:t>进行分类。</w:t>
      </w:r>
      <w:r w:rsidRPr="009A5190">
        <w:rPr>
          <w:rFonts w:ascii="Times New Roman" w:eastAsia="宋体" w:hAnsi="Times New Roman" w:hint="eastAsia"/>
          <w:sz w:val="24"/>
          <w:szCs w:val="24"/>
        </w:rPr>
        <w:t>研究使用第</w:t>
      </w:r>
      <w:r w:rsidRPr="009A5190">
        <w:rPr>
          <w:rFonts w:ascii="Times New Roman" w:eastAsia="宋体" w:hAnsi="Times New Roman"/>
          <w:sz w:val="24"/>
          <w:szCs w:val="24"/>
        </w:rPr>
        <w:t>3.1.2.3</w:t>
      </w:r>
      <w:r w:rsidRPr="009A5190">
        <w:rPr>
          <w:rFonts w:ascii="Times New Roman" w:eastAsia="宋体" w:hAnsi="Times New Roman"/>
          <w:sz w:val="24"/>
          <w:szCs w:val="24"/>
        </w:rPr>
        <w:t>段中提到的首选试验物种（即大鼠</w:t>
      </w:r>
      <w:r>
        <w:rPr>
          <w:rFonts w:ascii="Times New Roman" w:eastAsia="宋体" w:hAnsi="Times New Roman" w:hint="eastAsia"/>
          <w:sz w:val="24"/>
          <w:szCs w:val="24"/>
        </w:rPr>
        <w:t>或兔子</w:t>
      </w:r>
      <w:r w:rsidRPr="009A5190"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，其兔子皮肤</w:t>
      </w:r>
      <w:r w:rsidRPr="00614782">
        <w:rPr>
          <w:rFonts w:ascii="Times New Roman" w:eastAsia="宋体" w:hAnsi="Times New Roman"/>
          <w:sz w:val="24"/>
          <w:szCs w:val="24"/>
        </w:rPr>
        <w:t>LD</w:t>
      </w:r>
      <w:r w:rsidRPr="00614782">
        <w:rPr>
          <w:rFonts w:ascii="Times New Roman" w:eastAsia="宋体" w:hAnsi="Times New Roman"/>
          <w:sz w:val="24"/>
          <w:szCs w:val="24"/>
          <w:vertAlign w:val="subscript"/>
        </w:rPr>
        <w:t>50</w:t>
      </w:r>
      <w:r w:rsidRPr="00614782">
        <w:rPr>
          <w:rFonts w:ascii="Times New Roman" w:eastAsia="宋体" w:hAnsi="Times New Roman" w:hint="eastAsia"/>
          <w:sz w:val="24"/>
          <w:szCs w:val="24"/>
        </w:rPr>
        <w:t>值</w:t>
      </w:r>
      <w:r>
        <w:rPr>
          <w:rFonts w:ascii="Times New Roman" w:eastAsia="宋体" w:hAnsi="Times New Roman" w:hint="eastAsia"/>
          <w:sz w:val="24"/>
          <w:szCs w:val="24"/>
        </w:rPr>
        <w:t>为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>100</w:t>
      </w:r>
      <w:r w:rsidRPr="00614782"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在急性经皮毒性</w:t>
      </w:r>
      <w:r w:rsidRPr="00614782">
        <w:rPr>
          <w:rFonts w:ascii="Times New Roman" w:eastAsia="宋体" w:hAnsi="Times New Roman" w:hint="eastAsia"/>
          <w:sz w:val="24"/>
          <w:szCs w:val="24"/>
        </w:rPr>
        <w:t>估计值范围</w:t>
      </w:r>
      <w:r>
        <w:rPr>
          <w:rFonts w:ascii="Times New Roman" w:eastAsia="宋体" w:hAnsi="Times New Roman" w:hint="eastAsia"/>
          <w:sz w:val="24"/>
          <w:szCs w:val="24"/>
        </w:rPr>
        <w:t>（</w:t>
      </w:r>
      <w:r w:rsidRPr="00482FBD">
        <w:rPr>
          <w:rFonts w:ascii="Times New Roman" w:eastAsia="宋体" w:hAnsi="Times New Roman"/>
          <w:sz w:val="24"/>
          <w:szCs w:val="24"/>
        </w:rPr>
        <w:t>2000&lt;ATE≤5000</w:t>
      </w:r>
      <w:r>
        <w:rPr>
          <w:rFonts w:ascii="Times New Roman" w:eastAsia="宋体" w:hAnsi="Times New Roman" w:hint="eastAsia"/>
          <w:sz w:val="24"/>
          <w:szCs w:val="24"/>
        </w:rPr>
        <w:t>）内</w:t>
      </w:r>
      <w:r w:rsidRPr="00614782"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因此被划为类别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 w:rsidRPr="00614782">
        <w:rPr>
          <w:rFonts w:ascii="Times New Roman" w:eastAsia="宋体" w:hAnsi="Times New Roman" w:hint="eastAsia"/>
          <w:sz w:val="24"/>
          <w:szCs w:val="24"/>
        </w:rPr>
        <w:t>。</w:t>
      </w:r>
    </w:p>
    <w:p w14:paraId="0528E18D" w14:textId="245DE948" w:rsidR="001D189F" w:rsidRPr="00614782" w:rsidRDefault="001D189F" w:rsidP="001D189F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（</w:t>
      </w:r>
      <w:r w:rsidRPr="00614782">
        <w:rPr>
          <w:rFonts w:ascii="Times New Roman" w:eastAsia="宋体" w:hAnsi="Times New Roman" w:hint="eastAsia"/>
          <w:sz w:val="24"/>
          <w:szCs w:val="24"/>
        </w:rPr>
        <w:t>c</w:t>
      </w:r>
      <w:r w:rsidRPr="00614782">
        <w:rPr>
          <w:rFonts w:ascii="Times New Roman" w:eastAsia="宋体" w:hAnsi="Times New Roman" w:hint="eastAsia"/>
          <w:sz w:val="24"/>
          <w:szCs w:val="24"/>
        </w:rPr>
        <w:t>）</w:t>
      </w:r>
      <w:r w:rsidRPr="00614782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265454">
        <w:rPr>
          <w:rFonts w:ascii="Times New Roman" w:eastAsia="宋体" w:hAnsi="Times New Roman" w:hint="eastAsia"/>
          <w:sz w:val="24"/>
          <w:szCs w:val="24"/>
        </w:rPr>
        <w:t>特异性靶</w:t>
      </w:r>
      <w:r w:rsidRPr="00614782">
        <w:rPr>
          <w:rFonts w:ascii="Times New Roman" w:eastAsia="宋体" w:hAnsi="Times New Roman" w:hint="eastAsia"/>
          <w:sz w:val="24"/>
          <w:szCs w:val="24"/>
        </w:rPr>
        <w:t>器官毒性—</w:t>
      </w:r>
      <w:r w:rsidR="00265454">
        <w:rPr>
          <w:rFonts w:ascii="Times New Roman" w:eastAsia="宋体" w:hAnsi="Times New Roman" w:hint="eastAsia"/>
          <w:sz w:val="24"/>
          <w:szCs w:val="24"/>
        </w:rPr>
        <w:t>一次</w:t>
      </w:r>
      <w:r w:rsidRPr="00614782">
        <w:rPr>
          <w:rFonts w:ascii="Times New Roman" w:eastAsia="宋体" w:hAnsi="Times New Roman" w:hint="eastAsia"/>
          <w:sz w:val="24"/>
          <w:szCs w:val="24"/>
        </w:rPr>
        <w:t>接触</w:t>
      </w:r>
    </w:p>
    <w:p w14:paraId="0C619021" w14:textId="77777777" w:rsidR="001D189F" w:rsidRDefault="001D189F" w:rsidP="001D189F">
      <w:pPr>
        <w:pStyle w:val="a8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t>人类</w:t>
      </w:r>
      <w:r>
        <w:rPr>
          <w:rFonts w:ascii="Times New Roman" w:eastAsia="宋体" w:hAnsi="Times New Roman" w:hint="eastAsia"/>
          <w:sz w:val="24"/>
          <w:szCs w:val="24"/>
        </w:rPr>
        <w:t>接触</w:t>
      </w:r>
      <w:r w:rsidRPr="00614782">
        <w:rPr>
          <w:rFonts w:ascii="Times New Roman" w:eastAsia="宋体" w:hAnsi="Times New Roman" w:hint="eastAsia"/>
          <w:sz w:val="24"/>
          <w:szCs w:val="24"/>
        </w:rPr>
        <w:t>后的影响（即轻度周围神经病变导致永久性瘫痪）是对中枢神经系统的非致命毒性影响。具体而言，图</w:t>
      </w:r>
      <w:r w:rsidRPr="00614782">
        <w:rPr>
          <w:rFonts w:ascii="Times New Roman" w:eastAsia="宋体" w:hAnsi="Times New Roman"/>
          <w:sz w:val="24"/>
          <w:szCs w:val="24"/>
        </w:rPr>
        <w:t>3.8.1</w:t>
      </w:r>
      <w:r w:rsidRPr="00614782">
        <w:rPr>
          <w:rFonts w:ascii="Times New Roman" w:eastAsia="宋体" w:hAnsi="Times New Roman"/>
          <w:sz w:val="24"/>
          <w:szCs w:val="24"/>
        </w:rPr>
        <w:t>中的</w:t>
      </w:r>
      <w:r w:rsidRPr="00614782">
        <w:rPr>
          <w:rFonts w:ascii="Times New Roman" w:eastAsia="宋体" w:hAnsi="Times New Roman" w:hint="eastAsia"/>
          <w:sz w:val="24"/>
          <w:szCs w:val="24"/>
        </w:rPr>
        <w:t>类别</w:t>
      </w:r>
      <w:r w:rsidRPr="00614782">
        <w:rPr>
          <w:rFonts w:ascii="Times New Roman" w:eastAsia="宋体" w:hAnsi="Times New Roman" w:hint="eastAsia"/>
          <w:sz w:val="24"/>
          <w:szCs w:val="24"/>
        </w:rPr>
        <w:t>1</w:t>
      </w:r>
      <w:r w:rsidRPr="00614782">
        <w:rPr>
          <w:rFonts w:ascii="Times New Roman" w:eastAsia="宋体" w:hAnsi="Times New Roman" w:hint="eastAsia"/>
          <w:sz w:val="24"/>
          <w:szCs w:val="24"/>
        </w:rPr>
        <w:t>的</w:t>
      </w:r>
      <w:r w:rsidRPr="00614782">
        <w:rPr>
          <w:rFonts w:ascii="Times New Roman" w:eastAsia="宋体" w:hAnsi="Times New Roman"/>
          <w:sz w:val="24"/>
          <w:szCs w:val="24"/>
        </w:rPr>
        <w:t>标准</w:t>
      </w:r>
      <w:r>
        <w:rPr>
          <w:rFonts w:ascii="Times New Roman" w:eastAsia="宋体" w:hAnsi="Times New Roman" w:hint="eastAsia"/>
          <w:sz w:val="24"/>
          <w:szCs w:val="24"/>
        </w:rPr>
        <w:t>“</w:t>
      </w:r>
      <w:r w:rsidRPr="00614782">
        <w:rPr>
          <w:rFonts w:ascii="Times New Roman" w:eastAsia="宋体" w:hAnsi="Times New Roman"/>
          <w:sz w:val="24"/>
          <w:szCs w:val="24"/>
        </w:rPr>
        <w:t>（</w:t>
      </w:r>
      <w:r w:rsidRPr="00614782">
        <w:rPr>
          <w:rFonts w:ascii="Times New Roman" w:eastAsia="宋体" w:hAnsi="Times New Roman"/>
          <w:sz w:val="24"/>
          <w:szCs w:val="24"/>
        </w:rPr>
        <w:t>a</w:t>
      </w:r>
      <w:r w:rsidRPr="00614782">
        <w:rPr>
          <w:rFonts w:ascii="Times New Roman" w:eastAsia="宋体" w:hAnsi="Times New Roman"/>
          <w:sz w:val="24"/>
          <w:szCs w:val="24"/>
        </w:rPr>
        <w:t>）来自人类病例或流行病学研究</w:t>
      </w:r>
      <w:r w:rsidRPr="00614782">
        <w:rPr>
          <w:rFonts w:ascii="Times New Roman" w:eastAsia="宋体" w:hAnsi="Times New Roman" w:hint="eastAsia"/>
          <w:sz w:val="24"/>
          <w:szCs w:val="24"/>
        </w:rPr>
        <w:t>得到</w:t>
      </w:r>
      <w:r w:rsidRPr="00614782">
        <w:rPr>
          <w:rFonts w:ascii="Times New Roman" w:eastAsia="宋体" w:hAnsi="Times New Roman"/>
          <w:sz w:val="24"/>
          <w:szCs w:val="24"/>
        </w:rPr>
        <w:t>的可靠和高质量证据</w:t>
      </w:r>
      <w:r>
        <w:rPr>
          <w:rFonts w:ascii="Times New Roman" w:eastAsia="宋体" w:hAnsi="Times New Roman" w:hint="eastAsia"/>
          <w:sz w:val="24"/>
          <w:szCs w:val="24"/>
        </w:rPr>
        <w:t>”</w:t>
      </w:r>
      <w:r w:rsidRPr="00614782">
        <w:rPr>
          <w:rFonts w:ascii="Times New Roman" w:eastAsia="宋体" w:hAnsi="Times New Roman"/>
          <w:sz w:val="24"/>
          <w:szCs w:val="24"/>
        </w:rPr>
        <w:t>支持</w:t>
      </w:r>
      <w:r w:rsidRPr="00614782">
        <w:rPr>
          <w:rFonts w:ascii="Times New Roman" w:eastAsia="宋体" w:hAnsi="Times New Roman" w:hint="eastAsia"/>
          <w:sz w:val="24"/>
          <w:szCs w:val="24"/>
        </w:rPr>
        <w:t>该物质划为类别</w:t>
      </w:r>
      <w:r w:rsidRPr="00614782">
        <w:rPr>
          <w:rFonts w:ascii="Times New Roman" w:eastAsia="宋体" w:hAnsi="Times New Roman" w:hint="eastAsia"/>
          <w:sz w:val="24"/>
          <w:szCs w:val="24"/>
        </w:rPr>
        <w:t>1</w:t>
      </w:r>
      <w:r w:rsidRPr="00614782">
        <w:rPr>
          <w:rFonts w:ascii="Times New Roman" w:eastAsia="宋体" w:hAnsi="Times New Roman"/>
          <w:sz w:val="24"/>
          <w:szCs w:val="24"/>
        </w:rPr>
        <w:t>。</w:t>
      </w:r>
    </w:p>
    <w:p w14:paraId="15E2F46B" w14:textId="77777777" w:rsidR="001D189F" w:rsidRPr="00614782" w:rsidRDefault="001D189F" w:rsidP="001D189F">
      <w:pPr>
        <w:pStyle w:val="a8"/>
        <w:spacing w:line="276" w:lineRule="auto"/>
        <w:ind w:left="720" w:firstLine="480"/>
        <w:rPr>
          <w:rFonts w:ascii="Times New Roman" w:eastAsia="宋体" w:hAnsi="Times New Roman"/>
          <w:sz w:val="24"/>
          <w:szCs w:val="24"/>
        </w:rPr>
      </w:pPr>
    </w:p>
    <w:p w14:paraId="3EC769B7" w14:textId="1D2C2278" w:rsidR="001D189F" w:rsidRDefault="001D189F" w:rsidP="001D189F">
      <w:pPr>
        <w:pStyle w:val="a8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614782">
        <w:rPr>
          <w:rFonts w:ascii="Times New Roman" w:eastAsia="宋体" w:hAnsi="Times New Roman" w:hint="eastAsia"/>
          <w:sz w:val="24"/>
          <w:szCs w:val="24"/>
        </w:rPr>
        <w:lastRenderedPageBreak/>
        <w:t>在</w:t>
      </w:r>
      <w:r w:rsidR="00C57574">
        <w:rPr>
          <w:rFonts w:ascii="Times New Roman" w:eastAsia="宋体" w:hAnsi="Times New Roman" w:hint="eastAsia"/>
          <w:sz w:val="24"/>
          <w:szCs w:val="24"/>
        </w:rPr>
        <w:t>这个案例中</w:t>
      </w:r>
      <w:r w:rsidRPr="00614782">
        <w:rPr>
          <w:rFonts w:ascii="Times New Roman" w:eastAsia="宋体" w:hAnsi="Times New Roman" w:hint="eastAsia"/>
          <w:sz w:val="24"/>
          <w:szCs w:val="24"/>
        </w:rPr>
        <w:t>，急性</w:t>
      </w:r>
      <w:r>
        <w:rPr>
          <w:rFonts w:ascii="Times New Roman" w:eastAsia="宋体" w:hAnsi="Times New Roman" w:hint="eastAsia"/>
          <w:sz w:val="24"/>
          <w:szCs w:val="24"/>
        </w:rPr>
        <w:t>经口</w:t>
      </w:r>
      <w:r w:rsidRPr="00614782">
        <w:rPr>
          <w:rFonts w:ascii="Times New Roman" w:eastAsia="宋体" w:hAnsi="Times New Roman" w:hint="eastAsia"/>
          <w:sz w:val="24"/>
          <w:szCs w:val="24"/>
        </w:rPr>
        <w:t>和</w:t>
      </w:r>
      <w:r>
        <w:rPr>
          <w:rFonts w:ascii="Times New Roman" w:eastAsia="宋体" w:hAnsi="Times New Roman" w:hint="eastAsia"/>
          <w:sz w:val="24"/>
          <w:szCs w:val="24"/>
        </w:rPr>
        <w:t>经皮</w:t>
      </w:r>
      <w:r w:rsidRPr="00614782">
        <w:rPr>
          <w:rFonts w:ascii="Times New Roman" w:eastAsia="宋体" w:hAnsi="Times New Roman" w:hint="eastAsia"/>
          <w:sz w:val="24"/>
          <w:szCs w:val="24"/>
        </w:rPr>
        <w:t>毒性分类并不排除</w:t>
      </w:r>
      <w:r w:rsidR="00C57574">
        <w:rPr>
          <w:rFonts w:ascii="Times New Roman" w:eastAsia="宋体" w:hAnsi="Times New Roman" w:hint="eastAsia"/>
          <w:sz w:val="24"/>
          <w:szCs w:val="24"/>
        </w:rPr>
        <w:t>划</w:t>
      </w:r>
      <w:r w:rsidRPr="00614782">
        <w:rPr>
          <w:rFonts w:ascii="Times New Roman" w:eastAsia="宋体" w:hAnsi="Times New Roman" w:hint="eastAsia"/>
          <w:sz w:val="24"/>
          <w:szCs w:val="24"/>
        </w:rPr>
        <w:t>入</w:t>
      </w:r>
      <w:r w:rsidR="00265454">
        <w:rPr>
          <w:rFonts w:ascii="Times New Roman" w:eastAsia="宋体" w:hAnsi="Times New Roman" w:hint="eastAsia"/>
          <w:sz w:val="24"/>
          <w:szCs w:val="24"/>
        </w:rPr>
        <w:t>特异性靶</w:t>
      </w:r>
      <w:r w:rsidRPr="00443101">
        <w:rPr>
          <w:rFonts w:ascii="Times New Roman" w:eastAsia="宋体" w:hAnsi="Times New Roman" w:hint="eastAsia"/>
          <w:sz w:val="24"/>
          <w:szCs w:val="24"/>
        </w:rPr>
        <w:t>器官毒性</w:t>
      </w:r>
      <w:r>
        <w:rPr>
          <w:rFonts w:ascii="Times New Roman" w:eastAsia="宋体" w:hAnsi="Times New Roman" w:hint="eastAsia"/>
          <w:sz w:val="24"/>
          <w:szCs w:val="24"/>
        </w:rPr>
        <w:t>类别</w:t>
      </w:r>
      <w:r w:rsidRPr="00614782">
        <w:rPr>
          <w:rFonts w:ascii="Times New Roman" w:eastAsia="宋体" w:hAnsi="Times New Roman"/>
          <w:sz w:val="24"/>
          <w:szCs w:val="24"/>
        </w:rPr>
        <w:t>，因为它们反映了通过不同的机制对一个单独的目标器官（即在尸检中证实肝脏是死亡原因）产生的致命影响，而不是对中枢神经系统的非致命影响。</w:t>
      </w:r>
    </w:p>
    <w:p w14:paraId="032F57D8" w14:textId="77777777" w:rsidR="00C57574" w:rsidRDefault="00C57574" w:rsidP="001D189F">
      <w:pPr>
        <w:pStyle w:val="a8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p w14:paraId="4A499C16" w14:textId="77777777" w:rsidR="001D189F" w:rsidRDefault="001D189F" w:rsidP="001D189F">
      <w:pPr>
        <w:pStyle w:val="a8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0A700" wp14:editId="1D6390AE">
                <wp:simplePos x="0" y="0"/>
                <wp:positionH relativeFrom="margin">
                  <wp:align>center</wp:align>
                </wp:positionH>
                <wp:positionV relativeFrom="paragraph">
                  <wp:posOffset>183312</wp:posOffset>
                </wp:positionV>
                <wp:extent cx="1721796" cy="0"/>
                <wp:effectExtent l="0" t="0" r="3111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7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D5809F2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45pt" to="135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4F5CEB1" w14:textId="704683E3" w:rsidR="001D189F" w:rsidRPr="002B3EA4" w:rsidRDefault="002B3EA4" w:rsidP="002B3EA4">
      <w:pPr>
        <w:pStyle w:val="a8"/>
        <w:spacing w:line="276" w:lineRule="auto"/>
        <w:ind w:left="720" w:firstLineChars="0" w:firstLine="0"/>
        <w:rPr>
          <w:rFonts w:ascii="Times New Roman" w:eastAsia="宋体" w:hAnsi="Times New Roman"/>
          <w:i/>
          <w:sz w:val="24"/>
          <w:szCs w:val="24"/>
        </w:rPr>
      </w:pPr>
      <w:bookmarkStart w:id="0" w:name="_GoBack"/>
      <w:r w:rsidRPr="002B3EA4">
        <w:rPr>
          <w:rStyle w:val="fontstyle01"/>
          <w:i/>
        </w:rPr>
        <w:t>(Reference document: ST/SG/AC.10/C.4/2020/14, example 2)</w:t>
      </w:r>
    </w:p>
    <w:bookmarkEnd w:id="0"/>
    <w:p w14:paraId="6507067C" w14:textId="77777777" w:rsidR="001D189F" w:rsidRPr="002B3EA4" w:rsidRDefault="001D189F" w:rsidP="00FD6EFA">
      <w:pPr>
        <w:spacing w:line="276" w:lineRule="auto"/>
        <w:rPr>
          <w:rFonts w:ascii="宋体" w:eastAsia="宋体" w:hAnsi="宋体"/>
          <w:b/>
          <w:sz w:val="24"/>
          <w:szCs w:val="24"/>
        </w:rPr>
      </w:pPr>
    </w:p>
    <w:sectPr w:rsidR="001D189F" w:rsidRPr="002B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71F2" w14:textId="77777777" w:rsidR="00F423CC" w:rsidRDefault="00F423CC" w:rsidP="00FD6EFA">
      <w:r>
        <w:separator/>
      </w:r>
    </w:p>
  </w:endnote>
  <w:endnote w:type="continuationSeparator" w:id="0">
    <w:p w14:paraId="29876576" w14:textId="77777777" w:rsidR="00F423CC" w:rsidRDefault="00F423CC" w:rsidP="00FD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0DBFA" w14:textId="77777777" w:rsidR="00F423CC" w:rsidRDefault="00F423CC" w:rsidP="00FD6EFA">
      <w:r>
        <w:separator/>
      </w:r>
    </w:p>
  </w:footnote>
  <w:footnote w:type="continuationSeparator" w:id="0">
    <w:p w14:paraId="432ABB65" w14:textId="77777777" w:rsidR="00F423CC" w:rsidRDefault="00F423CC" w:rsidP="00FD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29A7"/>
    <w:multiLevelType w:val="hybridMultilevel"/>
    <w:tmpl w:val="3C54E4F6"/>
    <w:lvl w:ilvl="0" w:tplc="8C0C32AC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DB"/>
    <w:rsid w:val="001354C3"/>
    <w:rsid w:val="0017112B"/>
    <w:rsid w:val="001D189F"/>
    <w:rsid w:val="00233EBB"/>
    <w:rsid w:val="00265454"/>
    <w:rsid w:val="002B3EA4"/>
    <w:rsid w:val="00411BDB"/>
    <w:rsid w:val="00482782"/>
    <w:rsid w:val="00482F36"/>
    <w:rsid w:val="00683FB2"/>
    <w:rsid w:val="007F505A"/>
    <w:rsid w:val="008426EA"/>
    <w:rsid w:val="00844EEA"/>
    <w:rsid w:val="00875790"/>
    <w:rsid w:val="008850F2"/>
    <w:rsid w:val="00B523C3"/>
    <w:rsid w:val="00BE5206"/>
    <w:rsid w:val="00C57574"/>
    <w:rsid w:val="00DA6579"/>
    <w:rsid w:val="00E73D19"/>
    <w:rsid w:val="00E92A6F"/>
    <w:rsid w:val="00EF6E95"/>
    <w:rsid w:val="00F423CC"/>
    <w:rsid w:val="00F62BEF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93BA1"/>
  <w15:chartTrackingRefBased/>
  <w15:docId w15:val="{C38400EF-E5C1-4944-A073-53AEC2C7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EFA"/>
    <w:rPr>
      <w:sz w:val="18"/>
      <w:szCs w:val="18"/>
    </w:rPr>
  </w:style>
  <w:style w:type="table" w:styleId="a7">
    <w:name w:val="Table Grid"/>
    <w:basedOn w:val="a1"/>
    <w:uiPriority w:val="39"/>
    <w:rsid w:val="00FD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D6EF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1D189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44EE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44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PC</dc:creator>
  <cp:keywords/>
  <dc:description/>
  <cp:lastModifiedBy>刘婉卿</cp:lastModifiedBy>
  <cp:revision>8</cp:revision>
  <dcterms:created xsi:type="dcterms:W3CDTF">2023-06-12T08:15:00Z</dcterms:created>
  <dcterms:modified xsi:type="dcterms:W3CDTF">2023-12-12T07:19:00Z</dcterms:modified>
</cp:coreProperties>
</file>