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F6" w:rsidRDefault="004B1D01">
      <w:pPr>
        <w:spacing w:before="1"/>
        <w:rPr>
          <w:rFonts w:ascii="Times New Roman" w:eastAsia="Times New Roman" w:hAnsi="Times New Roman" w:cs="Times New Roman"/>
          <w:b/>
          <w:bCs/>
          <w:lang w:eastAsia="zh-CN"/>
        </w:rPr>
      </w:pPr>
      <w:r w:rsidRPr="004B1D01">
        <w:rPr>
          <w:rFonts w:ascii="Times New Roman" w:eastAsia="宋体" w:hAnsi="Times New Roman" w:cs="Times New Roman" w:hint="eastAsia"/>
          <w:b/>
          <w:bCs/>
          <w:sz w:val="28"/>
          <w:szCs w:val="20"/>
          <w:lang w:eastAsia="zh-CN"/>
        </w:rPr>
        <w:t>已知混合物整体和各个成分的急性毒性数据，但只有成分的有长期（慢性）水生危害分类信息的情况下，采用分层方法确定混合物的分类</w:t>
      </w:r>
      <w:bookmarkStart w:id="0" w:name="_GoBack"/>
      <w:bookmarkEnd w:id="0"/>
    </w:p>
    <w:p w:rsidR="006C6090" w:rsidRPr="00B04562" w:rsidRDefault="006C6090" w:rsidP="009C1F20">
      <w:pPr>
        <w:pStyle w:val="a3"/>
        <w:spacing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成分</w:t>
      </w:r>
      <w:r w:rsidRPr="00B04562">
        <w:rPr>
          <w:rFonts w:eastAsia="宋体" w:cs="Times New Roman"/>
          <w:b/>
          <w:sz w:val="24"/>
          <w:szCs w:val="20"/>
          <w:lang w:eastAsia="zh-CN"/>
        </w:rPr>
        <w:t>信息</w:t>
      </w:r>
    </w:p>
    <w:p w:rsidR="00C833F6" w:rsidRDefault="00C833F6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923"/>
        <w:gridCol w:w="1071"/>
        <w:gridCol w:w="2331"/>
        <w:gridCol w:w="1417"/>
        <w:gridCol w:w="1652"/>
      </w:tblGrid>
      <w:tr w:rsidR="006C6090" w:rsidTr="002A2BEF">
        <w:trPr>
          <w:trHeight w:val="397"/>
        </w:trPr>
        <w:tc>
          <w:tcPr>
            <w:tcW w:w="923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C6090" w:rsidRPr="00B04562" w:rsidRDefault="006C6090" w:rsidP="002A2BEF">
            <w:pPr>
              <w:pStyle w:val="aa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成分</w:t>
            </w:r>
          </w:p>
        </w:tc>
        <w:tc>
          <w:tcPr>
            <w:tcW w:w="1071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C6090" w:rsidRPr="00B04562" w:rsidRDefault="006C6090" w:rsidP="002A2BEF">
            <w:pPr>
              <w:pStyle w:val="aa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浓度</w:t>
            </w:r>
            <w:r w:rsidRPr="00B04562">
              <w:rPr>
                <w:rFonts w:cs="Times New Roman"/>
                <w:b/>
              </w:rPr>
              <w:t>%</w:t>
            </w: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C6090" w:rsidRPr="00B04562" w:rsidRDefault="006C6090" w:rsidP="002A2BEF">
            <w:pPr>
              <w:pStyle w:val="aa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急性毒性数据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Default="006C6090" w:rsidP="002A2BEF">
            <w:pPr>
              <w:pStyle w:val="aa"/>
              <w:rPr>
                <w:rFonts w:cs="Times New Roman"/>
                <w:b/>
                <w:bCs w:val="0"/>
                <w:vertAlign w:val="subscript"/>
              </w:rPr>
            </w:pPr>
            <w:r w:rsidRPr="002A2BEF">
              <w:rPr>
                <w:rFonts w:cs="Times New Roman"/>
                <w:b/>
                <w:bCs w:val="0"/>
              </w:rPr>
              <w:t>L(E)C</w:t>
            </w:r>
            <w:r w:rsidR="002A2BEF">
              <w:rPr>
                <w:rFonts w:cs="Times New Roman"/>
                <w:b/>
                <w:bCs w:val="0"/>
                <w:vertAlign w:val="subscript"/>
              </w:rPr>
              <w:t>50</w:t>
            </w:r>
          </w:p>
          <w:p w:rsidR="006C6090" w:rsidRPr="002A2BEF" w:rsidRDefault="006C6090" w:rsidP="002A2BEF">
            <w:pPr>
              <w:pStyle w:val="aa"/>
              <w:rPr>
                <w:rFonts w:cs="Times New Roman"/>
                <w:b/>
                <w:bCs w:val="0"/>
              </w:rPr>
            </w:pPr>
            <w:r w:rsidRPr="002A2BEF">
              <w:rPr>
                <w:rFonts w:cs="Times New Roman"/>
                <w:b/>
                <w:bCs w:val="0"/>
              </w:rPr>
              <w:t>mg/</w:t>
            </w:r>
            <w:r w:rsidRPr="002A2BEF">
              <w:rPr>
                <w:rFonts w:cs="Times New Roman" w:hint="eastAsia"/>
                <w:b/>
                <w:bCs w:val="0"/>
              </w:rPr>
              <w:t>l</w:t>
            </w:r>
          </w:p>
        </w:tc>
        <w:tc>
          <w:tcPr>
            <w:tcW w:w="165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C6090" w:rsidRPr="002A2BEF" w:rsidRDefault="006C6090" w:rsidP="002A2BEF">
            <w:pPr>
              <w:pStyle w:val="aa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长期（慢性）水生危害分类</w:t>
            </w:r>
          </w:p>
        </w:tc>
      </w:tr>
      <w:tr w:rsidR="002A2BEF" w:rsidTr="002A2BEF">
        <w:trPr>
          <w:trHeight w:val="397"/>
        </w:trPr>
        <w:tc>
          <w:tcPr>
            <w:tcW w:w="923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成分</w:t>
            </w:r>
            <w:r w:rsidRPr="002A2BEF">
              <w:rPr>
                <w:rFonts w:cs="Times New Roman" w:hint="eastAsia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5</w:t>
            </w: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LC</w:t>
            </w:r>
            <w:r w:rsidRPr="002A2BEF">
              <w:rPr>
                <w:rFonts w:cs="Times New Roman" w:hint="eastAsia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对鱼类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12</w:t>
            </w:r>
          </w:p>
        </w:tc>
        <w:tc>
          <w:tcPr>
            <w:tcW w:w="1652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类别</w:t>
            </w:r>
            <w:r w:rsidRPr="002A2BEF">
              <w:rPr>
                <w:rFonts w:cs="Times New Roman" w:hint="eastAsia"/>
              </w:rPr>
              <w:t>1</w:t>
            </w:r>
          </w:p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(M</w:t>
            </w:r>
            <w:r w:rsidRPr="002A2BEF">
              <w:rPr>
                <w:rFonts w:cs="Times New Roman" w:hint="eastAsia"/>
              </w:rPr>
              <w:t>系数：</w:t>
            </w:r>
            <w:r w:rsidRPr="002A2BEF">
              <w:rPr>
                <w:rFonts w:cs="Times New Roman" w:hint="eastAsia"/>
              </w:rPr>
              <w:t>1</w:t>
            </w:r>
            <w:r w:rsidRPr="002A2BEF">
              <w:rPr>
                <w:rFonts w:cs="Times New Roman"/>
              </w:rPr>
              <w:t>)</w:t>
            </w:r>
          </w:p>
        </w:tc>
      </w:tr>
      <w:tr w:rsidR="002A2BEF" w:rsidTr="002A2BEF">
        <w:trPr>
          <w:trHeight w:val="397"/>
        </w:trPr>
        <w:tc>
          <w:tcPr>
            <w:tcW w:w="923" w:type="dxa"/>
            <w:vMerge/>
            <w:tcBorders>
              <w:left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对甲壳</w:t>
            </w:r>
            <w:proofErr w:type="gramStart"/>
            <w:r w:rsidRPr="002A2BEF">
              <w:rPr>
                <w:rFonts w:cs="Times New Roman" w:hint="eastAsia"/>
              </w:rPr>
              <w:t>纲</w:t>
            </w:r>
            <w:proofErr w:type="gramEnd"/>
            <w:r w:rsidRPr="002A2BEF">
              <w:rPr>
                <w:rFonts w:cs="Times New Roman" w:hint="eastAsia"/>
              </w:rPr>
              <w:t>动物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18</w:t>
            </w:r>
          </w:p>
        </w:tc>
        <w:tc>
          <w:tcPr>
            <w:tcW w:w="1652" w:type="dxa"/>
            <w:vMerge/>
            <w:tcBorders>
              <w:left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</w:tr>
      <w:tr w:rsidR="002A2BEF" w:rsidTr="002A2BEF">
        <w:trPr>
          <w:trHeight w:val="397"/>
        </w:trPr>
        <w:tc>
          <w:tcPr>
            <w:tcW w:w="923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ErC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对藻类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0.9</w:t>
            </w:r>
          </w:p>
        </w:tc>
        <w:tc>
          <w:tcPr>
            <w:tcW w:w="1652" w:type="dxa"/>
            <w:vMerge/>
            <w:tcBorders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</w:tr>
      <w:tr w:rsidR="002A2BEF" w:rsidTr="002A2BEF">
        <w:trPr>
          <w:trHeight w:val="397"/>
        </w:trPr>
        <w:tc>
          <w:tcPr>
            <w:tcW w:w="923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成分</w:t>
            </w:r>
            <w:r w:rsidRPr="002A2BEF">
              <w:rPr>
                <w:rFonts w:cs="Times New Roman" w:hint="eastAsia"/>
              </w:rPr>
              <w:t>2</w:t>
            </w:r>
          </w:p>
        </w:tc>
        <w:tc>
          <w:tcPr>
            <w:tcW w:w="1071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1.5</w:t>
            </w: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LC</w:t>
            </w:r>
            <w:r w:rsidRPr="002A2BEF">
              <w:rPr>
                <w:rFonts w:cs="Times New Roman" w:hint="eastAsia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对鱼类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40</w:t>
            </w:r>
          </w:p>
        </w:tc>
        <w:tc>
          <w:tcPr>
            <w:tcW w:w="1652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类别</w:t>
            </w:r>
            <w:r w:rsidRPr="002A2BEF">
              <w:rPr>
                <w:rFonts w:cs="Times New Roman" w:hint="eastAsia"/>
              </w:rPr>
              <w:t>2</w:t>
            </w:r>
          </w:p>
        </w:tc>
      </w:tr>
      <w:tr w:rsidR="002A2BEF" w:rsidTr="002A2BEF">
        <w:trPr>
          <w:trHeight w:val="397"/>
        </w:trPr>
        <w:tc>
          <w:tcPr>
            <w:tcW w:w="923" w:type="dxa"/>
            <w:vMerge/>
            <w:tcBorders>
              <w:left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对甲壳</w:t>
            </w:r>
            <w:proofErr w:type="gramStart"/>
            <w:r w:rsidRPr="002A2BEF">
              <w:rPr>
                <w:rFonts w:cs="Times New Roman" w:hint="eastAsia"/>
              </w:rPr>
              <w:t>纲</w:t>
            </w:r>
            <w:proofErr w:type="gramEnd"/>
            <w:r w:rsidRPr="002A2BEF">
              <w:rPr>
                <w:rFonts w:cs="Times New Roman" w:hint="eastAsia"/>
              </w:rPr>
              <w:t>动物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25</w:t>
            </w:r>
          </w:p>
        </w:tc>
        <w:tc>
          <w:tcPr>
            <w:tcW w:w="1652" w:type="dxa"/>
            <w:vMerge/>
            <w:tcBorders>
              <w:left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</w:tr>
      <w:tr w:rsidR="002A2BEF" w:rsidTr="002A2BEF">
        <w:trPr>
          <w:trHeight w:val="397"/>
        </w:trPr>
        <w:tc>
          <w:tcPr>
            <w:tcW w:w="923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ErC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对藻类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9.5</w:t>
            </w:r>
          </w:p>
        </w:tc>
        <w:tc>
          <w:tcPr>
            <w:tcW w:w="1652" w:type="dxa"/>
            <w:vMerge/>
            <w:tcBorders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</w:p>
        </w:tc>
      </w:tr>
      <w:tr w:rsidR="002A2BEF" w:rsidTr="002A2BEF">
        <w:trPr>
          <w:trHeight w:val="397"/>
        </w:trPr>
        <w:tc>
          <w:tcPr>
            <w:tcW w:w="923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成分</w:t>
            </w:r>
            <w:r w:rsidRPr="002A2BEF">
              <w:rPr>
                <w:rFonts w:cs="Times New Roman" w:hint="eastAsia"/>
              </w:rPr>
              <w:t>3</w:t>
            </w:r>
          </w:p>
        </w:tc>
        <w:tc>
          <w:tcPr>
            <w:tcW w:w="1071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93.5</w:t>
            </w: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LC</w:t>
            </w:r>
            <w:r w:rsidRPr="002A2BEF">
              <w:rPr>
                <w:rFonts w:cs="Times New Roman" w:hint="eastAsia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对鱼类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&gt;100</w:t>
            </w:r>
          </w:p>
        </w:tc>
        <w:tc>
          <w:tcPr>
            <w:tcW w:w="1652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不分类</w:t>
            </w:r>
          </w:p>
        </w:tc>
      </w:tr>
      <w:tr w:rsidR="002A2BEF" w:rsidTr="002A2BEF">
        <w:trPr>
          <w:trHeight w:val="397"/>
        </w:trPr>
        <w:tc>
          <w:tcPr>
            <w:tcW w:w="923" w:type="dxa"/>
            <w:vMerge/>
            <w:tcBorders>
              <w:left w:val="single" w:sz="6" w:space="0" w:color="080303"/>
              <w:right w:val="single" w:sz="4" w:space="0" w:color="080303"/>
            </w:tcBorders>
            <w:vAlign w:val="center"/>
          </w:tcPr>
          <w:p w:rsidR="002A2BEF" w:rsidRDefault="002A2BEF" w:rsidP="002A2BEF">
            <w:pPr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jc w:val="center"/>
            </w:pP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对甲壳</w:t>
            </w:r>
            <w:proofErr w:type="gramStart"/>
            <w:r w:rsidRPr="002A2BEF">
              <w:rPr>
                <w:rFonts w:cs="Times New Roman" w:hint="eastAsia"/>
              </w:rPr>
              <w:t>纲</w:t>
            </w:r>
            <w:proofErr w:type="gramEnd"/>
            <w:r w:rsidRPr="002A2BEF">
              <w:rPr>
                <w:rFonts w:cs="Times New Roman" w:hint="eastAsia"/>
              </w:rPr>
              <w:t>动物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&gt;100</w:t>
            </w:r>
          </w:p>
        </w:tc>
        <w:tc>
          <w:tcPr>
            <w:tcW w:w="1652" w:type="dxa"/>
            <w:vMerge/>
            <w:tcBorders>
              <w:left w:val="single" w:sz="6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jc w:val="center"/>
            </w:pPr>
          </w:p>
        </w:tc>
      </w:tr>
      <w:tr w:rsidR="002A2BEF" w:rsidTr="002A2BEF">
        <w:trPr>
          <w:trHeight w:val="397"/>
        </w:trPr>
        <w:tc>
          <w:tcPr>
            <w:tcW w:w="923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2A2BEF" w:rsidRDefault="002A2BEF" w:rsidP="002A2BEF">
            <w:pPr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jc w:val="center"/>
            </w:pPr>
          </w:p>
        </w:tc>
        <w:tc>
          <w:tcPr>
            <w:tcW w:w="233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ErC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对藻类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41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&gt;</w:t>
            </w:r>
            <w:r w:rsidRPr="002A2BEF">
              <w:rPr>
                <w:rFonts w:cs="Times New Roman" w:hint="eastAsia"/>
              </w:rPr>
              <w:t>1</w:t>
            </w:r>
            <w:r w:rsidRPr="002A2BEF">
              <w:rPr>
                <w:rFonts w:cs="Times New Roman"/>
              </w:rPr>
              <w:t>00</w:t>
            </w:r>
          </w:p>
        </w:tc>
        <w:tc>
          <w:tcPr>
            <w:tcW w:w="1652" w:type="dxa"/>
            <w:vMerge/>
            <w:tcBorders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jc w:val="center"/>
            </w:pPr>
          </w:p>
        </w:tc>
      </w:tr>
    </w:tbl>
    <w:p w:rsidR="00C833F6" w:rsidRDefault="00C833F6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833F6" w:rsidRPr="002A2BEF" w:rsidRDefault="002A2BEF" w:rsidP="009C1F20">
      <w:pPr>
        <w:pStyle w:val="a3"/>
        <w:spacing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 w:rsidRPr="002A2BEF">
        <w:rPr>
          <w:rFonts w:eastAsia="宋体" w:cs="Times New Roman" w:hint="eastAsia"/>
          <w:b/>
          <w:sz w:val="24"/>
          <w:szCs w:val="20"/>
          <w:lang w:eastAsia="zh-CN"/>
        </w:rPr>
        <w:t>已知的混合物整体实验数据：</w:t>
      </w:r>
    </w:p>
    <w:p w:rsidR="00C833F6" w:rsidRDefault="00C833F6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  <w:lang w:eastAsia="zh-CN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4039"/>
        <w:gridCol w:w="3355"/>
      </w:tblGrid>
      <w:tr w:rsidR="00C833F6" w:rsidTr="002A2BEF">
        <w:trPr>
          <w:trHeight w:val="454"/>
        </w:trPr>
        <w:tc>
          <w:tcPr>
            <w:tcW w:w="403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C833F6" w:rsidRPr="002A2BEF" w:rsidRDefault="002A2BEF" w:rsidP="002A2BEF">
            <w:pPr>
              <w:pStyle w:val="aa"/>
              <w:rPr>
                <w:rFonts w:cs="Times New Roman"/>
                <w:b/>
              </w:rPr>
            </w:pPr>
            <w:r w:rsidRPr="002A2BEF">
              <w:rPr>
                <w:rFonts w:cs="Times New Roman" w:hint="eastAsia"/>
                <w:b/>
              </w:rPr>
              <w:t>混合物整体的急性毒性数据</w:t>
            </w:r>
          </w:p>
        </w:tc>
        <w:tc>
          <w:tcPr>
            <w:tcW w:w="335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  <w:b/>
              </w:rPr>
            </w:pPr>
            <w:r w:rsidRPr="002A2BEF">
              <w:rPr>
                <w:rFonts w:cs="Times New Roman"/>
                <w:b/>
              </w:rPr>
              <w:t>L(E)C</w:t>
            </w:r>
            <w:r w:rsidRPr="002A2BEF">
              <w:rPr>
                <w:rFonts w:cs="Times New Roman"/>
                <w:b/>
                <w:vertAlign w:val="subscript"/>
              </w:rPr>
              <w:t>50</w:t>
            </w:r>
          </w:p>
          <w:p w:rsidR="00C833F6" w:rsidRPr="002A2BEF" w:rsidRDefault="002A2BEF" w:rsidP="002A2BEF">
            <w:pPr>
              <w:pStyle w:val="aa"/>
              <w:rPr>
                <w:rFonts w:cs="Times New Roman"/>
                <w:b/>
              </w:rPr>
            </w:pPr>
            <w:r w:rsidRPr="002A2BEF">
              <w:rPr>
                <w:rFonts w:cs="Times New Roman"/>
                <w:b/>
              </w:rPr>
              <w:t>mg/</w:t>
            </w:r>
            <w:r w:rsidRPr="002A2BEF">
              <w:rPr>
                <w:rFonts w:cs="Times New Roman" w:hint="eastAsia"/>
                <w:b/>
              </w:rPr>
              <w:t>l</w:t>
            </w:r>
          </w:p>
        </w:tc>
      </w:tr>
      <w:tr w:rsidR="002A2BEF" w:rsidTr="002A2BEF">
        <w:trPr>
          <w:trHeight w:val="454"/>
        </w:trPr>
        <w:tc>
          <w:tcPr>
            <w:tcW w:w="403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LC</w:t>
            </w:r>
            <w:r w:rsidRPr="002A2BEF">
              <w:rPr>
                <w:rFonts w:cs="Times New Roman" w:hint="eastAsia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对鱼类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335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pStyle w:val="TableParagraph"/>
              <w:spacing w:before="14"/>
              <w:ind w:left="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A"/>
                <w:w w:val="105"/>
                <w:sz w:val="19"/>
              </w:rPr>
              <w:t>68</w:t>
            </w:r>
          </w:p>
        </w:tc>
      </w:tr>
      <w:tr w:rsidR="002A2BEF" w:rsidTr="002A2BEF">
        <w:trPr>
          <w:trHeight w:val="454"/>
        </w:trPr>
        <w:tc>
          <w:tcPr>
            <w:tcW w:w="4039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对甲壳</w:t>
            </w:r>
            <w:proofErr w:type="gramStart"/>
            <w:r w:rsidRPr="002A2BEF">
              <w:rPr>
                <w:rFonts w:cs="Times New Roman" w:hint="eastAsia"/>
              </w:rPr>
              <w:t>纲</w:t>
            </w:r>
            <w:proofErr w:type="gramEnd"/>
            <w:r w:rsidRPr="002A2BEF">
              <w:rPr>
                <w:rFonts w:cs="Times New Roman" w:hint="eastAsia"/>
              </w:rPr>
              <w:t>动物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335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pStyle w:val="TableParagraph"/>
              <w:spacing w:before="14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A"/>
                <w:sz w:val="19"/>
              </w:rPr>
              <w:t>90</w:t>
            </w:r>
          </w:p>
        </w:tc>
      </w:tr>
      <w:tr w:rsidR="002A2BEF" w:rsidTr="002A2BEF">
        <w:trPr>
          <w:trHeight w:val="454"/>
        </w:trPr>
        <w:tc>
          <w:tcPr>
            <w:tcW w:w="4039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2A2BEF" w:rsidRPr="002A2BEF" w:rsidRDefault="002A2BEF" w:rsidP="002A2BE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ErC</w:t>
            </w:r>
            <w:r w:rsidRPr="002A2BEF">
              <w:rPr>
                <w:rFonts w:cs="Times New Roman"/>
                <w:vertAlign w:val="subscript"/>
              </w:rPr>
              <w:t>50</w:t>
            </w:r>
            <w:r>
              <w:rPr>
                <w:rFonts w:cs="Times New Roman" w:hint="eastAsia"/>
              </w:rPr>
              <w:t>（</w:t>
            </w:r>
            <w:r w:rsidRPr="002A2BEF">
              <w:rPr>
                <w:rFonts w:cs="Times New Roman" w:hint="eastAsia"/>
              </w:rPr>
              <w:t>对藻类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3355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2A2BEF" w:rsidRDefault="002A2BEF" w:rsidP="002A2BEF">
            <w:pPr>
              <w:pStyle w:val="TableParagraph"/>
              <w:spacing w:before="14"/>
              <w:ind w:left="4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C0A0A"/>
                <w:w w:val="105"/>
                <w:sz w:val="19"/>
              </w:rPr>
              <w:t>12.5</w:t>
            </w:r>
          </w:p>
        </w:tc>
      </w:tr>
    </w:tbl>
    <w:p w:rsidR="00C833F6" w:rsidRDefault="00C833F6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3F6" w:rsidRPr="002A2BEF" w:rsidRDefault="00D805F9" w:rsidP="009C1F20">
      <w:pPr>
        <w:pStyle w:val="a3"/>
        <w:spacing w:line="360" w:lineRule="auto"/>
        <w:ind w:left="0"/>
        <w:jc w:val="both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答</w:t>
      </w:r>
      <w:r w:rsidR="002A2BEF" w:rsidRPr="002A2BEF">
        <w:rPr>
          <w:rFonts w:eastAsia="宋体" w:cs="Times New Roman" w:hint="eastAsia"/>
          <w:b/>
          <w:sz w:val="24"/>
          <w:szCs w:val="20"/>
          <w:lang w:eastAsia="zh-CN"/>
        </w:rPr>
        <w:t>：</w:t>
      </w:r>
    </w:p>
    <w:p w:rsidR="002A2BEF" w:rsidRDefault="002A2BEF" w:rsidP="009C1F20">
      <w:pPr>
        <w:pStyle w:val="a3"/>
        <w:spacing w:line="360" w:lineRule="auto"/>
        <w:ind w:left="0"/>
        <w:jc w:val="both"/>
        <w:rPr>
          <w:rFonts w:eastAsia="宋体" w:cs="Times New Roman"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短期（急性）水生危害</w:t>
      </w:r>
      <w:r w:rsidRPr="00B04562">
        <w:rPr>
          <w:rFonts w:eastAsia="宋体" w:cs="Times New Roman"/>
          <w:sz w:val="24"/>
          <w:szCs w:val="20"/>
          <w:lang w:eastAsia="zh-CN"/>
        </w:rPr>
        <w:t>-</w:t>
      </w:r>
      <w:r>
        <w:rPr>
          <w:rFonts w:eastAsia="宋体" w:cs="Times New Roman" w:hint="eastAsia"/>
          <w:sz w:val="24"/>
          <w:szCs w:val="20"/>
          <w:lang w:eastAsia="zh-CN"/>
        </w:rPr>
        <w:t>急性类别</w:t>
      </w:r>
      <w:r>
        <w:rPr>
          <w:rFonts w:eastAsia="宋体" w:cs="Times New Roman" w:hint="eastAsia"/>
          <w:sz w:val="24"/>
          <w:szCs w:val="20"/>
          <w:lang w:eastAsia="zh-CN"/>
        </w:rPr>
        <w:t>3</w:t>
      </w:r>
      <w:r w:rsidRPr="00B04562">
        <w:rPr>
          <w:rFonts w:eastAsia="宋体" w:cs="Times New Roman"/>
          <w:sz w:val="24"/>
          <w:szCs w:val="20"/>
          <w:lang w:eastAsia="zh-CN"/>
        </w:rPr>
        <w:t>，</w:t>
      </w:r>
      <w:r>
        <w:rPr>
          <w:rFonts w:eastAsia="宋体" w:cs="Times New Roman" w:hint="eastAsia"/>
          <w:sz w:val="24"/>
          <w:szCs w:val="20"/>
          <w:lang w:eastAsia="zh-CN"/>
        </w:rPr>
        <w:t>因为</w:t>
      </w:r>
      <w:r w:rsidRPr="00B04562">
        <w:rPr>
          <w:rFonts w:eastAsia="宋体" w:cs="Times New Roman"/>
          <w:sz w:val="24"/>
          <w:szCs w:val="20"/>
          <w:lang w:eastAsia="zh-CN"/>
        </w:rPr>
        <w:t>：</w:t>
      </w:r>
    </w:p>
    <w:p w:rsidR="002A2BEF" w:rsidRDefault="002A2BEF" w:rsidP="002A2BEF">
      <w:pPr>
        <w:pStyle w:val="a3"/>
        <w:spacing w:line="360" w:lineRule="auto"/>
        <w:ind w:left="0" w:firstLineChars="200" w:firstLine="48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已知混合物整体三个营养级的急性毒性数据，均在</w:t>
      </w:r>
      <w:r>
        <w:rPr>
          <w:rFonts w:eastAsia="宋体" w:cs="Times New Roman" w:hint="eastAsia"/>
          <w:sz w:val="24"/>
          <w:szCs w:val="20"/>
          <w:lang w:eastAsia="zh-CN"/>
        </w:rPr>
        <w:t>10-100mg</w:t>
      </w:r>
      <w:r>
        <w:rPr>
          <w:rFonts w:eastAsia="宋体" w:cs="Times New Roman"/>
          <w:sz w:val="24"/>
          <w:szCs w:val="20"/>
          <w:lang w:eastAsia="zh-CN"/>
        </w:rPr>
        <w:t>/</w:t>
      </w:r>
      <w:r>
        <w:rPr>
          <w:rFonts w:eastAsia="宋体" w:cs="Times New Roman" w:hint="eastAsia"/>
          <w:sz w:val="24"/>
          <w:szCs w:val="20"/>
          <w:lang w:eastAsia="zh-CN"/>
        </w:rPr>
        <w:t>l</w:t>
      </w:r>
      <w:r>
        <w:rPr>
          <w:rFonts w:eastAsia="宋体" w:cs="Times New Roman" w:hint="eastAsia"/>
          <w:sz w:val="24"/>
          <w:szCs w:val="20"/>
          <w:lang w:eastAsia="zh-CN"/>
        </w:rPr>
        <w:t>之间。</w:t>
      </w:r>
    </w:p>
    <w:p w:rsidR="002A2BEF" w:rsidRPr="00B04562" w:rsidRDefault="002A2BEF" w:rsidP="009C1F20">
      <w:pPr>
        <w:pStyle w:val="a3"/>
        <w:spacing w:line="360" w:lineRule="auto"/>
        <w:ind w:left="0"/>
        <w:jc w:val="both"/>
        <w:rPr>
          <w:rFonts w:eastAsia="宋体" w:cs="Times New Roman"/>
          <w:sz w:val="24"/>
          <w:szCs w:val="20"/>
          <w:lang w:eastAsia="zh-CN"/>
        </w:rPr>
      </w:pPr>
      <w:r w:rsidRPr="003F0A67">
        <w:rPr>
          <w:rFonts w:eastAsia="宋体"/>
          <w:b/>
          <w:sz w:val="24"/>
          <w:szCs w:val="20"/>
          <w:lang w:eastAsia="zh-CN"/>
        </w:rPr>
        <w:t>长期（慢性）水生危害</w:t>
      </w:r>
      <w:r w:rsidRPr="003F0A67">
        <w:rPr>
          <w:rFonts w:eastAsia="宋体"/>
          <w:b/>
          <w:sz w:val="24"/>
          <w:szCs w:val="20"/>
          <w:lang w:eastAsia="zh-CN"/>
        </w:rPr>
        <w:t>-</w:t>
      </w:r>
      <w:r w:rsidRPr="00B04562">
        <w:rPr>
          <w:rFonts w:eastAsia="宋体" w:cs="Times New Roman"/>
          <w:sz w:val="24"/>
          <w:szCs w:val="20"/>
          <w:lang w:eastAsia="zh-CN"/>
        </w:rPr>
        <w:t>慢性类别</w:t>
      </w:r>
      <w:r>
        <w:rPr>
          <w:rFonts w:eastAsia="宋体" w:cs="Times New Roman" w:hint="eastAsia"/>
          <w:sz w:val="24"/>
          <w:szCs w:val="20"/>
          <w:lang w:eastAsia="zh-CN"/>
        </w:rPr>
        <w:t>2</w:t>
      </w:r>
      <w:r w:rsidRPr="00B04562">
        <w:rPr>
          <w:rFonts w:eastAsia="宋体" w:cs="Times New Roman"/>
          <w:sz w:val="24"/>
          <w:szCs w:val="20"/>
          <w:lang w:eastAsia="zh-CN"/>
        </w:rPr>
        <w:t>，</w:t>
      </w:r>
      <w:r>
        <w:rPr>
          <w:rFonts w:eastAsia="宋体" w:cs="Times New Roman" w:hint="eastAsia"/>
          <w:sz w:val="24"/>
          <w:szCs w:val="20"/>
          <w:lang w:eastAsia="zh-CN"/>
        </w:rPr>
        <w:t>因为</w:t>
      </w:r>
      <w:r w:rsidRPr="00B04562">
        <w:rPr>
          <w:rFonts w:eastAsia="宋体" w:cs="Times New Roman"/>
          <w:sz w:val="24"/>
          <w:szCs w:val="20"/>
          <w:lang w:eastAsia="zh-CN"/>
        </w:rPr>
        <w:t>：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459"/>
      </w:tblGrid>
      <w:tr w:rsidR="002A2BEF" w:rsidTr="003F0A67">
        <w:trPr>
          <w:trHeight w:val="831"/>
          <w:jc w:val="center"/>
        </w:trPr>
        <w:tc>
          <w:tcPr>
            <w:tcW w:w="1805" w:type="dxa"/>
          </w:tcPr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慢性</w:t>
            </w:r>
            <w:r w:rsidRPr="00B04562">
              <w:rPr>
                <w:rFonts w:cs="Times New Roman"/>
                <w:b/>
              </w:rPr>
              <w:t>1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459" w:type="dxa"/>
          </w:tcPr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1×M≥25%</w:t>
            </w:r>
          </w:p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 w:rsidRPr="00B04562">
              <w:rPr>
                <w:rFonts w:cs="Times New Roman"/>
              </w:rPr>
              <w:t>%×</w:t>
            </w:r>
            <w:r>
              <w:rPr>
                <w:rFonts w:cs="Times New Roman"/>
              </w:rPr>
              <w:t>1=</w:t>
            </w:r>
            <w:r>
              <w:rPr>
                <w:rFonts w:cs="Times New Roman" w:hint="eastAsia"/>
              </w:rPr>
              <w:t>5</w:t>
            </w:r>
            <w:r w:rsidRPr="00B04562">
              <w:rPr>
                <w:rFonts w:cs="Times New Roman"/>
              </w:rPr>
              <w:t>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2A2BEF" w:rsidTr="003F0A67">
        <w:trPr>
          <w:jc w:val="center"/>
        </w:trPr>
        <w:tc>
          <w:tcPr>
            <w:tcW w:w="1805" w:type="dxa"/>
          </w:tcPr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慢性</w:t>
            </w:r>
            <w:r w:rsidRPr="00B04562">
              <w:rPr>
                <w:rFonts w:cs="Times New Roman"/>
                <w:b/>
              </w:rPr>
              <w:t>2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459" w:type="dxa"/>
          </w:tcPr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M×10×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慢性类别</w:t>
            </w:r>
            <w:r w:rsidRPr="00B04562">
              <w:rPr>
                <w:rFonts w:cs="Times New Roman"/>
              </w:rPr>
              <w:t>2≥25%</w:t>
            </w:r>
          </w:p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2A2BEF" w:rsidRPr="00B04562" w:rsidRDefault="002A2BEF" w:rsidP="002A2BEF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×10×</w:t>
            </w:r>
            <w:r>
              <w:rPr>
                <w:rFonts w:cs="Times New Roman" w:hint="eastAsia"/>
              </w:rPr>
              <w:t>5</w:t>
            </w:r>
            <w:r w:rsidRPr="00B04562">
              <w:rPr>
                <w:rFonts w:cs="Times New Roman"/>
              </w:rPr>
              <w:t>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+1.</w:t>
            </w:r>
            <w:r>
              <w:rPr>
                <w:rFonts w:cs="Times New Roman" w:hint="eastAsia"/>
              </w:rPr>
              <w:t>5</w:t>
            </w:r>
            <w:r w:rsidRPr="00B04562">
              <w:rPr>
                <w:rFonts w:cs="Times New Roman"/>
              </w:rPr>
              <w:t>%=</w:t>
            </w:r>
            <w:r>
              <w:rPr>
                <w:rFonts w:cs="Times New Roman" w:hint="eastAsia"/>
              </w:rPr>
              <w:t>51.5</w:t>
            </w:r>
            <w:r w:rsidRPr="00B04562">
              <w:rPr>
                <w:rFonts w:cs="Times New Roman"/>
              </w:rPr>
              <w:t>%</w:t>
            </w:r>
            <w:r w:rsidRPr="00B04562">
              <w:rPr>
                <w:rFonts w:cs="Times New Roman"/>
              </w:rPr>
              <w:t>（分类）</w:t>
            </w:r>
          </w:p>
        </w:tc>
      </w:tr>
    </w:tbl>
    <w:p w:rsidR="00C833F6" w:rsidRPr="003F0A67" w:rsidRDefault="00D805F9" w:rsidP="003F0A67">
      <w:pPr>
        <w:pStyle w:val="a3"/>
        <w:spacing w:before="121" w:line="360" w:lineRule="auto"/>
        <w:ind w:left="0"/>
        <w:jc w:val="both"/>
        <w:rPr>
          <w:rFonts w:eastAsia="宋体"/>
          <w:b/>
          <w:sz w:val="24"/>
          <w:szCs w:val="20"/>
          <w:lang w:eastAsia="zh-CN"/>
        </w:rPr>
      </w:pPr>
      <w:r>
        <w:rPr>
          <w:rFonts w:eastAsia="宋体" w:hint="eastAsia"/>
          <w:b/>
          <w:sz w:val="24"/>
          <w:szCs w:val="20"/>
          <w:lang w:eastAsia="zh-CN"/>
        </w:rPr>
        <w:t>逻辑</w:t>
      </w:r>
      <w:r w:rsidR="002A2BEF" w:rsidRPr="003F0A67">
        <w:rPr>
          <w:rFonts w:eastAsia="宋体"/>
          <w:b/>
          <w:sz w:val="24"/>
          <w:szCs w:val="20"/>
          <w:lang w:eastAsia="zh-CN"/>
        </w:rPr>
        <w:t>依据：</w:t>
      </w:r>
    </w:p>
    <w:p w:rsidR="00C833F6" w:rsidRPr="003F0A67" w:rsidRDefault="002A2BEF" w:rsidP="003F0A67">
      <w:pPr>
        <w:pStyle w:val="a3"/>
        <w:spacing w:before="121" w:line="360" w:lineRule="auto"/>
        <w:ind w:left="0"/>
        <w:jc w:val="both"/>
        <w:rPr>
          <w:rFonts w:eastAsia="宋体"/>
          <w:b/>
          <w:sz w:val="24"/>
          <w:szCs w:val="20"/>
          <w:lang w:eastAsia="zh-CN"/>
        </w:rPr>
      </w:pPr>
      <w:r w:rsidRPr="003F0A67">
        <w:rPr>
          <w:rFonts w:eastAsia="宋体" w:hint="eastAsia"/>
          <w:b/>
          <w:sz w:val="24"/>
          <w:szCs w:val="20"/>
          <w:lang w:eastAsia="zh-CN"/>
        </w:rPr>
        <w:lastRenderedPageBreak/>
        <w:t>短期</w:t>
      </w:r>
      <w:r w:rsidRPr="003F0A67">
        <w:rPr>
          <w:rFonts w:eastAsia="宋体"/>
          <w:b/>
          <w:sz w:val="24"/>
          <w:szCs w:val="20"/>
          <w:lang w:eastAsia="zh-CN"/>
        </w:rPr>
        <w:t>（</w:t>
      </w:r>
      <w:r w:rsidRPr="003F0A67">
        <w:rPr>
          <w:rFonts w:eastAsia="宋体" w:hint="eastAsia"/>
          <w:b/>
          <w:sz w:val="24"/>
          <w:szCs w:val="20"/>
          <w:lang w:eastAsia="zh-CN"/>
        </w:rPr>
        <w:t>急性</w:t>
      </w:r>
      <w:r w:rsidRPr="003F0A67">
        <w:rPr>
          <w:rFonts w:eastAsia="宋体"/>
          <w:b/>
          <w:sz w:val="24"/>
          <w:szCs w:val="20"/>
          <w:lang w:eastAsia="zh-CN"/>
        </w:rPr>
        <w:t>）水生危害分类</w:t>
      </w:r>
      <w:r w:rsidRPr="003F0A67">
        <w:rPr>
          <w:rFonts w:eastAsia="宋体" w:hint="eastAsia"/>
          <w:b/>
          <w:sz w:val="24"/>
          <w:szCs w:val="20"/>
          <w:lang w:eastAsia="zh-CN"/>
        </w:rPr>
        <w:t>：</w:t>
      </w:r>
    </w:p>
    <w:p w:rsidR="002A2BEF" w:rsidRPr="002A2BEF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a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2A2BEF">
        <w:rPr>
          <w:rFonts w:eastAsia="宋体" w:cs="Times New Roman" w:hint="eastAsia"/>
          <w:sz w:val="24"/>
          <w:szCs w:val="20"/>
          <w:lang w:eastAsia="zh-CN"/>
        </w:rPr>
        <w:t>有</w:t>
      </w:r>
      <w:r w:rsidR="002A2BEF" w:rsidRPr="00B04562">
        <w:rPr>
          <w:rFonts w:eastAsia="宋体" w:cs="Times New Roman"/>
          <w:sz w:val="24"/>
          <w:szCs w:val="20"/>
          <w:lang w:eastAsia="zh-CN"/>
        </w:rPr>
        <w:t>混合物整体</w:t>
      </w:r>
      <w:r w:rsidR="002A2BEF">
        <w:rPr>
          <w:rFonts w:eastAsia="宋体" w:cs="Times New Roman" w:hint="eastAsia"/>
          <w:sz w:val="24"/>
          <w:szCs w:val="20"/>
          <w:lang w:eastAsia="zh-CN"/>
        </w:rPr>
        <w:t>急性水生</w:t>
      </w:r>
      <w:r w:rsidR="002A2BEF" w:rsidRPr="00B04562">
        <w:rPr>
          <w:rFonts w:eastAsia="宋体" w:cs="Times New Roman"/>
          <w:sz w:val="24"/>
          <w:szCs w:val="20"/>
          <w:lang w:eastAsia="zh-CN"/>
        </w:rPr>
        <w:t>毒性数据，</w:t>
      </w:r>
      <w:r w:rsidR="002A2BEF">
        <w:rPr>
          <w:rFonts w:eastAsia="宋体" w:cs="Times New Roman" w:hint="eastAsia"/>
          <w:sz w:val="24"/>
          <w:szCs w:val="20"/>
          <w:lang w:eastAsia="zh-CN"/>
        </w:rPr>
        <w:t>可以</w:t>
      </w:r>
      <w:r w:rsidR="002A2BEF" w:rsidRPr="00B04562">
        <w:rPr>
          <w:rFonts w:eastAsia="宋体" w:cs="Times New Roman"/>
          <w:sz w:val="24"/>
          <w:szCs w:val="20"/>
          <w:lang w:eastAsia="zh-CN"/>
        </w:rPr>
        <w:t>直接通过标准对混合物进行分类（</w:t>
      </w:r>
      <w:r w:rsidR="002A2BEF" w:rsidRPr="00B04562">
        <w:rPr>
          <w:rFonts w:eastAsia="宋体" w:cs="Times New Roman"/>
          <w:sz w:val="24"/>
          <w:szCs w:val="20"/>
          <w:lang w:eastAsia="zh-CN"/>
        </w:rPr>
        <w:t>4.1.3.3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="002A2BEF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2A2BEF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b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2A2BEF" w:rsidRPr="002A2BEF">
        <w:rPr>
          <w:rFonts w:eastAsia="宋体" w:cs="Times New Roman" w:hint="eastAsia"/>
          <w:sz w:val="24"/>
          <w:szCs w:val="20"/>
          <w:lang w:eastAsia="zh-CN"/>
        </w:rPr>
        <w:t>取用</w:t>
      </w:r>
      <w:r w:rsidR="002A2BEF">
        <w:rPr>
          <w:rFonts w:eastAsia="宋体" w:cs="Times New Roman" w:hint="eastAsia"/>
          <w:sz w:val="24"/>
          <w:szCs w:val="20"/>
          <w:lang w:eastAsia="zh-CN"/>
        </w:rPr>
        <w:t>较高毒性值（来自</w:t>
      </w:r>
      <w:r w:rsidR="002A2BEF" w:rsidRPr="002A2BEF">
        <w:rPr>
          <w:rFonts w:eastAsia="宋体" w:cs="Times New Roman" w:hint="eastAsia"/>
          <w:sz w:val="24"/>
          <w:szCs w:val="20"/>
          <w:lang w:eastAsia="zh-CN"/>
        </w:rPr>
        <w:t>最敏感的测试生物体</w:t>
      </w:r>
      <w:r w:rsidR="002A2BEF">
        <w:rPr>
          <w:rFonts w:eastAsia="宋体" w:cs="Times New Roman" w:hint="eastAsia"/>
          <w:sz w:val="24"/>
          <w:szCs w:val="20"/>
          <w:lang w:eastAsia="zh-CN"/>
        </w:rPr>
        <w:t>）</w:t>
      </w:r>
      <w:r w:rsidR="002A2BEF" w:rsidRPr="002A2BEF">
        <w:rPr>
          <w:rFonts w:eastAsia="宋体" w:cs="Times New Roman" w:hint="eastAsia"/>
          <w:sz w:val="24"/>
          <w:szCs w:val="20"/>
          <w:lang w:eastAsia="zh-CN"/>
        </w:rPr>
        <w:t>的数据。因此，取用藻类</w:t>
      </w:r>
      <w:r w:rsidR="002A2BEF">
        <w:rPr>
          <w:rFonts w:eastAsia="宋体" w:cs="Times New Roman" w:hint="eastAsia"/>
          <w:sz w:val="24"/>
          <w:szCs w:val="20"/>
          <w:lang w:eastAsia="zh-CN"/>
        </w:rPr>
        <w:t>或其他水生植物的</w:t>
      </w:r>
      <w:r w:rsidR="002A2BEF" w:rsidRPr="002A2BEF">
        <w:rPr>
          <w:rFonts w:eastAsia="宋体" w:cs="Times New Roman" w:hint="eastAsia"/>
          <w:sz w:val="24"/>
          <w:szCs w:val="20"/>
          <w:lang w:eastAsia="zh-CN"/>
        </w:rPr>
        <w:t>毒性数据</w:t>
      </w:r>
      <w:r w:rsidR="002A2BEF">
        <w:rPr>
          <w:rFonts w:eastAsia="宋体" w:cs="Times New Roman" w:hint="eastAsia"/>
          <w:sz w:val="24"/>
          <w:szCs w:val="20"/>
          <w:lang w:eastAsia="zh-CN"/>
        </w:rPr>
        <w:t>对混合物进行分类（</w:t>
      </w:r>
      <w:r w:rsidR="002A2BEF">
        <w:rPr>
          <w:rFonts w:eastAsia="宋体" w:cs="Times New Roman" w:hint="eastAsia"/>
          <w:sz w:val="24"/>
          <w:szCs w:val="20"/>
          <w:lang w:eastAsia="zh-CN"/>
        </w:rPr>
        <w:t>4.1.3.3.3</w:t>
      </w:r>
      <w:r w:rsidR="002A2BEF">
        <w:rPr>
          <w:rFonts w:eastAsia="宋体" w:cs="Times New Roman" w:hint="eastAsia"/>
          <w:sz w:val="24"/>
          <w:szCs w:val="20"/>
          <w:lang w:eastAsia="zh-CN"/>
        </w:rPr>
        <w:t>（</w:t>
      </w:r>
      <w:r w:rsidR="002A2BEF">
        <w:rPr>
          <w:rFonts w:eastAsia="宋体" w:cs="Times New Roman" w:hint="eastAsia"/>
          <w:sz w:val="24"/>
          <w:szCs w:val="20"/>
          <w:lang w:eastAsia="zh-CN"/>
        </w:rPr>
        <w:t>a</w:t>
      </w:r>
      <w:r w:rsidR="002A2BEF">
        <w:rPr>
          <w:rFonts w:eastAsia="宋体" w:cs="Times New Roman" w:hint="eastAsia"/>
          <w:sz w:val="24"/>
          <w:szCs w:val="20"/>
          <w:lang w:eastAsia="zh-CN"/>
        </w:rPr>
        <w:t>）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="002A2BEF">
        <w:rPr>
          <w:rFonts w:eastAsia="宋体" w:cs="Times New Roman" w:hint="eastAsia"/>
          <w:sz w:val="24"/>
          <w:szCs w:val="20"/>
          <w:lang w:eastAsia="zh-CN"/>
        </w:rPr>
        <w:t>）。</w:t>
      </w:r>
    </w:p>
    <w:p w:rsidR="002A2BEF" w:rsidRPr="003F0A67" w:rsidRDefault="002A2BEF" w:rsidP="003F0A67">
      <w:pPr>
        <w:pStyle w:val="a3"/>
        <w:spacing w:before="121" w:line="360" w:lineRule="auto"/>
        <w:ind w:left="0"/>
        <w:jc w:val="both"/>
        <w:rPr>
          <w:rFonts w:eastAsia="宋体"/>
          <w:b/>
          <w:sz w:val="24"/>
          <w:szCs w:val="20"/>
          <w:lang w:eastAsia="zh-CN"/>
        </w:rPr>
      </w:pPr>
      <w:r w:rsidRPr="003F0A67">
        <w:rPr>
          <w:rFonts w:eastAsia="宋体" w:hint="eastAsia"/>
          <w:b/>
          <w:sz w:val="24"/>
          <w:szCs w:val="20"/>
          <w:lang w:eastAsia="zh-CN"/>
        </w:rPr>
        <w:t>长期（慢性）水生危害分类：</w:t>
      </w:r>
    </w:p>
    <w:p w:rsidR="00C833F6" w:rsidRPr="00570A08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c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由于没有混合物整体</w:t>
      </w:r>
      <w:r w:rsidR="00570A08">
        <w:rPr>
          <w:rFonts w:eastAsia="宋体" w:cs="Times New Roman" w:hint="eastAsia"/>
          <w:sz w:val="24"/>
          <w:szCs w:val="20"/>
          <w:lang w:eastAsia="zh-CN"/>
        </w:rPr>
        <w:t>慢性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水生毒性数据，无法直接通过标准对混合物进行分类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 xml:space="preserve"> 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（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4.1.3.3</w:t>
      </w:r>
      <w:r w:rsidR="00570A08">
        <w:rPr>
          <w:rFonts w:eastAsia="宋体" w:cs="Times New Roman" w:hint="eastAsia"/>
          <w:sz w:val="24"/>
          <w:szCs w:val="20"/>
          <w:lang w:eastAsia="zh-CN"/>
        </w:rPr>
        <w:t>.4</w:t>
      </w:r>
      <w:r w:rsidR="00570A08">
        <w:rPr>
          <w:rFonts w:eastAsia="宋体" w:cs="Times New Roman" w:hint="eastAsia"/>
          <w:sz w:val="24"/>
          <w:szCs w:val="20"/>
          <w:lang w:eastAsia="zh-CN"/>
        </w:rPr>
        <w:t>（</w:t>
      </w:r>
      <w:r w:rsidR="00570A08">
        <w:rPr>
          <w:rFonts w:eastAsia="宋体" w:cs="Times New Roman" w:hint="eastAsia"/>
          <w:sz w:val="24"/>
          <w:szCs w:val="20"/>
          <w:lang w:eastAsia="zh-CN"/>
        </w:rPr>
        <w:t>a</w:t>
      </w:r>
      <w:r w:rsidR="00570A08">
        <w:rPr>
          <w:rFonts w:eastAsia="宋体" w:cs="Times New Roman" w:hint="eastAsia"/>
          <w:sz w:val="24"/>
          <w:szCs w:val="20"/>
          <w:lang w:eastAsia="zh-CN"/>
        </w:rPr>
        <w:t>）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）；</w:t>
      </w:r>
    </w:p>
    <w:p w:rsidR="002A2BEF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d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由于没有类似混合物的数据，无法通过架桥原则进行分类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 xml:space="preserve"> 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（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4.1.3.4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570A08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e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570A08">
        <w:rPr>
          <w:rFonts w:eastAsia="宋体" w:cs="Times New Roman"/>
          <w:sz w:val="24"/>
          <w:szCs w:val="20"/>
          <w:lang w:eastAsia="zh-CN"/>
        </w:rPr>
        <w:t>混合物的分类按其</w:t>
      </w:r>
      <w:r w:rsidR="00570A08">
        <w:rPr>
          <w:rFonts w:eastAsia="宋体" w:cs="Times New Roman" w:hint="eastAsia"/>
          <w:sz w:val="24"/>
          <w:szCs w:val="20"/>
          <w:lang w:eastAsia="zh-CN"/>
        </w:rPr>
        <w:t>已知长期（慢性）水生毒性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的成分浓度，采用</w:t>
      </w:r>
      <w:r w:rsidR="00217B9B">
        <w:rPr>
          <w:rFonts w:eastAsia="宋体" w:cs="Times New Roman" w:hint="eastAsia"/>
          <w:sz w:val="24"/>
          <w:szCs w:val="20"/>
          <w:lang w:eastAsia="zh-CN"/>
        </w:rPr>
        <w:t>求</w:t>
      </w:r>
      <w:r w:rsidR="00570A08">
        <w:rPr>
          <w:rFonts w:eastAsia="宋体" w:cs="Times New Roman" w:hint="eastAsia"/>
          <w:sz w:val="24"/>
          <w:szCs w:val="20"/>
          <w:lang w:eastAsia="zh-CN"/>
        </w:rPr>
        <w:t>和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法</w:t>
      </w:r>
      <w:r w:rsidR="00570A08">
        <w:rPr>
          <w:rFonts w:eastAsia="宋体" w:cs="Times New Roman" w:hint="eastAsia"/>
          <w:sz w:val="24"/>
          <w:szCs w:val="20"/>
          <w:lang w:eastAsia="zh-CN"/>
        </w:rPr>
        <w:t>计算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。</w:t>
      </w:r>
      <w:r w:rsidR="00570A08">
        <w:rPr>
          <w:rFonts w:eastAsia="宋体" w:cs="Times New Roman" w:hint="eastAsia"/>
          <w:sz w:val="24"/>
          <w:szCs w:val="20"/>
          <w:lang w:eastAsia="zh-CN"/>
        </w:rPr>
        <w:t>根据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慢性成分的百分比</w:t>
      </w:r>
      <w:r w:rsidR="00570A08">
        <w:rPr>
          <w:rFonts w:eastAsia="宋体" w:cs="Times New Roman" w:hint="eastAsia"/>
          <w:sz w:val="24"/>
          <w:szCs w:val="20"/>
          <w:lang w:eastAsia="zh-CN"/>
        </w:rPr>
        <w:t>浓度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，直接用于</w:t>
      </w:r>
      <w:r w:rsidR="00217B9B">
        <w:rPr>
          <w:rFonts w:eastAsia="宋体" w:cs="Times New Roman" w:hint="eastAsia"/>
          <w:sz w:val="24"/>
          <w:szCs w:val="20"/>
          <w:lang w:eastAsia="zh-CN"/>
        </w:rPr>
        <w:t>求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和法（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4.1.3.5.1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）</w:t>
      </w:r>
      <w:r w:rsidR="00570A08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570A08" w:rsidRPr="00570A08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f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没有足够的</w:t>
      </w:r>
      <w:r w:rsidR="00570A08">
        <w:rPr>
          <w:rFonts w:eastAsia="宋体" w:cs="Times New Roman" w:hint="eastAsia"/>
          <w:sz w:val="24"/>
          <w:szCs w:val="20"/>
          <w:lang w:eastAsia="zh-CN"/>
        </w:rPr>
        <w:t>慢性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毒性数据，无法通过加和公式计算（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4.1.3.5.2</w:t>
      </w:r>
      <w:r>
        <w:rPr>
          <w:rFonts w:eastAsia="宋体" w:cs="Times New Roman" w:hint="eastAsia"/>
          <w:sz w:val="24"/>
          <w:szCs w:val="20"/>
          <w:lang w:eastAsia="zh-CN"/>
        </w:rPr>
        <w:t>段</w:t>
      </w:r>
      <w:r w:rsidR="00570A08" w:rsidRPr="00570A08">
        <w:rPr>
          <w:rFonts w:eastAsia="宋体" w:cs="Times New Roman" w:hint="eastAsia"/>
          <w:sz w:val="24"/>
          <w:szCs w:val="20"/>
          <w:lang w:eastAsia="zh-CN"/>
        </w:rPr>
        <w:t>）</w:t>
      </w:r>
      <w:r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C833F6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g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570A08">
        <w:rPr>
          <w:rFonts w:eastAsia="宋体" w:cs="Times New Roman" w:hint="eastAsia"/>
          <w:sz w:val="24"/>
          <w:szCs w:val="20"/>
          <w:lang w:eastAsia="zh-CN"/>
        </w:rPr>
        <w:t>根据标准</w:t>
      </w:r>
      <w:r w:rsidR="00570A08">
        <w:rPr>
          <w:rFonts w:eastAsia="宋体" w:cs="Times New Roman" w:hint="eastAsia"/>
          <w:sz w:val="24"/>
          <w:szCs w:val="20"/>
          <w:lang w:eastAsia="zh-CN"/>
        </w:rPr>
        <w:t>4.4.3.1</w:t>
      </w:r>
      <w:r w:rsidR="00570A08">
        <w:rPr>
          <w:rFonts w:eastAsia="宋体" w:cs="Times New Roman" w:hint="eastAsia"/>
          <w:sz w:val="24"/>
          <w:szCs w:val="20"/>
          <w:lang w:eastAsia="zh-CN"/>
        </w:rPr>
        <w:t>段关于混合物“相关成分”的概念，成分</w:t>
      </w:r>
      <w:r w:rsidR="00570A08">
        <w:rPr>
          <w:rFonts w:eastAsia="宋体" w:cs="Times New Roman" w:hint="eastAsia"/>
          <w:sz w:val="24"/>
          <w:szCs w:val="20"/>
          <w:lang w:eastAsia="zh-CN"/>
        </w:rPr>
        <w:t>1</w:t>
      </w:r>
      <w:r w:rsidR="00570A08">
        <w:rPr>
          <w:rFonts w:eastAsia="宋体" w:cs="Times New Roman" w:hint="eastAsia"/>
          <w:sz w:val="24"/>
          <w:szCs w:val="20"/>
          <w:lang w:eastAsia="zh-CN"/>
        </w:rPr>
        <w:t>、成分</w:t>
      </w:r>
      <w:r w:rsidR="00570A08">
        <w:rPr>
          <w:rFonts w:eastAsia="宋体" w:cs="Times New Roman" w:hint="eastAsia"/>
          <w:sz w:val="24"/>
          <w:szCs w:val="20"/>
          <w:lang w:eastAsia="zh-CN"/>
        </w:rPr>
        <w:t>2</w:t>
      </w:r>
      <w:r w:rsidR="00570A08">
        <w:rPr>
          <w:rFonts w:eastAsia="宋体" w:cs="Times New Roman" w:hint="eastAsia"/>
          <w:sz w:val="24"/>
          <w:szCs w:val="20"/>
          <w:lang w:eastAsia="zh-CN"/>
        </w:rPr>
        <w:t>、成分</w:t>
      </w:r>
      <w:r w:rsidR="00570A08">
        <w:rPr>
          <w:rFonts w:eastAsia="宋体" w:cs="Times New Roman" w:hint="eastAsia"/>
          <w:sz w:val="24"/>
          <w:szCs w:val="20"/>
          <w:lang w:eastAsia="zh-CN"/>
        </w:rPr>
        <w:t>3</w:t>
      </w:r>
      <w:r w:rsidR="00570A08">
        <w:rPr>
          <w:rFonts w:eastAsia="宋体" w:cs="Times New Roman" w:hint="eastAsia"/>
          <w:sz w:val="24"/>
          <w:szCs w:val="20"/>
          <w:lang w:eastAsia="zh-CN"/>
        </w:rPr>
        <w:t>均作为“相关成分”参与计算</w:t>
      </w:r>
      <w:r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570A08" w:rsidRPr="00570A08" w:rsidRDefault="003F0A67" w:rsidP="003F0A67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h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应用标准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4.1.3.5.5.4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段中的</w:t>
      </w:r>
      <w:r w:rsidR="00217B9B">
        <w:rPr>
          <w:rFonts w:eastAsia="宋体" w:cs="Times New Roman" w:hint="eastAsia"/>
          <w:sz w:val="24"/>
          <w:szCs w:val="20"/>
          <w:lang w:eastAsia="zh-CN"/>
        </w:rPr>
        <w:t>求和法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，根据表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4.1.4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的数据</w:t>
      </w:r>
      <w:r w:rsidR="009C1F20">
        <w:rPr>
          <w:rFonts w:eastAsia="宋体" w:cs="Times New Roman" w:hint="eastAsia"/>
          <w:sz w:val="24"/>
          <w:szCs w:val="20"/>
          <w:lang w:eastAsia="zh-CN"/>
        </w:rPr>
        <w:t>限值</w:t>
      </w:r>
      <w:r w:rsidR="00570A08" w:rsidRPr="00B04562">
        <w:rPr>
          <w:rFonts w:eastAsia="宋体" w:cs="Times New Roman"/>
          <w:sz w:val="24"/>
          <w:szCs w:val="20"/>
          <w:lang w:eastAsia="zh-CN"/>
        </w:rPr>
        <w:t>进行分类。</w:t>
      </w:r>
    </w:p>
    <w:p w:rsidR="00C833F6" w:rsidRDefault="00C833F6">
      <w:pPr>
        <w:spacing w:before="1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833F6" w:rsidRDefault="00BD276E">
      <w:pPr>
        <w:spacing w:line="20" w:lineRule="atLeast"/>
        <w:ind w:left="34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1091565" cy="9525"/>
                <wp:effectExtent l="2540" t="3810" r="127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9525"/>
                          <a:chOff x="0" y="0"/>
                          <a:chExt cx="1719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704" cy="2"/>
                            <a:chOff x="7" y="7"/>
                            <a:chExt cx="170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7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704"/>
                                <a:gd name="T2" fmla="+- 0 1711 7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3283747" id="Group 2" o:spid="_x0000_s1026" style="width:85.95pt;height:.75pt;mso-position-horizontal-relative:char;mso-position-vertical-relative:line" coordsize="17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">
                <v:group id="Group 3" o:spid="_x0000_s1027" style="position:absolute;left:7;top:7;width:1704;height:2" coordorigin="7,7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1704;height:2;visibility:visible;mso-wrap-style:square;v-text-anchor:top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" path="m,l1704,e" filled="f" strokecolor="#080303" strokeweight=".72pt">
                    <v:path arrowok="t" o:connecttype="custom" o:connectlocs="0,0;1704,0" o:connectangles="0,0"/>
                  </v:shape>
                </v:group>
                <w10:anchorlock/>
              </v:group>
            </w:pict>
          </mc:Fallback>
        </mc:AlternateContent>
      </w:r>
    </w:p>
    <w:p w:rsidR="00C833F6" w:rsidRDefault="00C833F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833F6" w:rsidRDefault="00C833F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C833F6" w:rsidRPr="00975BCD" w:rsidRDefault="00975BCD" w:rsidP="00477539">
      <w:pPr>
        <w:ind w:left="10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Style w:val="fontstyle01"/>
        </w:rPr>
        <w:t>(Ref. Doc: ST/SG/AC.10/C.4/2012/25, Annex 4, Example 3)</w:t>
      </w:r>
    </w:p>
    <w:sectPr w:rsidR="00C833F6" w:rsidRPr="00975BCD">
      <w:footerReference w:type="default" r:id="rId7"/>
      <w:pgSz w:w="11910" w:h="16840"/>
      <w:pgMar w:top="1300" w:right="1680" w:bottom="1860" w:left="1040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07" w:rsidRDefault="00967C07">
      <w:r>
        <w:separator/>
      </w:r>
    </w:p>
  </w:endnote>
  <w:endnote w:type="continuationSeparator" w:id="0">
    <w:p w:rsidR="00967C07" w:rsidRDefault="0096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F6" w:rsidRDefault="00BD276E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9489440</wp:posOffset>
              </wp:positionV>
              <wp:extent cx="123825" cy="133350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3F6" w:rsidRPr="009C1F20" w:rsidRDefault="00FC6257">
                          <w:pPr>
                            <w:spacing w:before="25"/>
                            <w:ind w:left="54"/>
                            <w:rPr>
                              <w:rFonts w:ascii="Times New Roman" w:eastAsia="Arial" w:hAnsi="Times New Roman" w:cs="Times New Roman"/>
                              <w:sz w:val="14"/>
                              <w:szCs w:val="14"/>
                            </w:rPr>
                          </w:pPr>
                          <w:r w:rsidRPr="009C1F20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9C1F20">
                            <w:rPr>
                              <w:rFonts w:ascii="Times New Roman" w:hAnsi="Times New Roman" w:cs="Times New Roman"/>
                              <w:b/>
                              <w:color w:val="0C0A0A"/>
                              <w:w w:val="130"/>
                              <w:sz w:val="14"/>
                            </w:rPr>
                            <w:instrText xml:space="preserve"> PAGE </w:instrText>
                          </w:r>
                          <w:r w:rsidRPr="009C1F20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4B1D01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C0A0A"/>
                              <w:w w:val="130"/>
                              <w:sz w:val="14"/>
                            </w:rPr>
                            <w:t>2</w:t>
                          </w:r>
                          <w:r w:rsidRPr="009C1F20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47.2pt;width:9.7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3VrA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" filled="f" stroked="f">
              <v:textbox inset="0,0,0,0">
                <w:txbxContent>
                  <w:p w:rsidR="00C833F6" w:rsidRPr="009C1F20" w:rsidRDefault="00FC6257">
                    <w:pPr>
                      <w:spacing w:before="25"/>
                      <w:ind w:left="54"/>
                      <w:rPr>
                        <w:rFonts w:ascii="Times New Roman" w:eastAsia="Arial" w:hAnsi="Times New Roman" w:cs="Times New Roman"/>
                        <w:sz w:val="14"/>
                        <w:szCs w:val="14"/>
                      </w:rPr>
                    </w:pPr>
                    <w:r w:rsidRPr="009C1F20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9C1F20">
                      <w:rPr>
                        <w:rFonts w:ascii="Times New Roman" w:hAnsi="Times New Roman" w:cs="Times New Roman"/>
                        <w:b/>
                        <w:color w:val="0C0A0A"/>
                        <w:w w:val="130"/>
                        <w:sz w:val="14"/>
                      </w:rPr>
                      <w:instrText xml:space="preserve"> PAGE </w:instrText>
                    </w:r>
                    <w:r w:rsidRPr="009C1F20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4B1D01">
                      <w:rPr>
                        <w:rFonts w:ascii="Times New Roman" w:hAnsi="Times New Roman" w:cs="Times New Roman"/>
                        <w:b/>
                        <w:noProof/>
                        <w:color w:val="0C0A0A"/>
                        <w:w w:val="130"/>
                        <w:sz w:val="14"/>
                      </w:rPr>
                      <w:t>2</w:t>
                    </w:r>
                    <w:r w:rsidRPr="009C1F20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07" w:rsidRDefault="00967C07">
      <w:r>
        <w:separator/>
      </w:r>
    </w:p>
  </w:footnote>
  <w:footnote w:type="continuationSeparator" w:id="0">
    <w:p w:rsidR="00967C07" w:rsidRDefault="0096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A49"/>
    <w:multiLevelType w:val="hybridMultilevel"/>
    <w:tmpl w:val="A67A1E26"/>
    <w:lvl w:ilvl="0" w:tplc="0790598A">
      <w:start w:val="1"/>
      <w:numFmt w:val="lowerLetter"/>
      <w:lvlText w:val="(%1)"/>
      <w:lvlJc w:val="left"/>
      <w:pPr>
        <w:ind w:left="1156" w:hanging="567"/>
        <w:jc w:val="right"/>
      </w:pPr>
      <w:rPr>
        <w:rFonts w:ascii="Times New Roman" w:eastAsia="Times New Roman" w:hAnsi="Times New Roman" w:hint="default"/>
        <w:color w:val="1D1C1A"/>
        <w:w w:val="101"/>
        <w:sz w:val="19"/>
        <w:szCs w:val="19"/>
      </w:rPr>
    </w:lvl>
    <w:lvl w:ilvl="1" w:tplc="9356EA9E">
      <w:start w:val="1"/>
      <w:numFmt w:val="bullet"/>
      <w:lvlText w:val="•"/>
      <w:lvlJc w:val="left"/>
      <w:pPr>
        <w:ind w:left="1896" w:hanging="567"/>
      </w:pPr>
      <w:rPr>
        <w:rFonts w:hint="default"/>
      </w:rPr>
    </w:lvl>
    <w:lvl w:ilvl="2" w:tplc="5DCCE318">
      <w:start w:val="1"/>
      <w:numFmt w:val="bullet"/>
      <w:lvlText w:val="•"/>
      <w:lvlJc w:val="left"/>
      <w:pPr>
        <w:ind w:left="2635" w:hanging="567"/>
      </w:pPr>
      <w:rPr>
        <w:rFonts w:hint="default"/>
      </w:rPr>
    </w:lvl>
    <w:lvl w:ilvl="3" w:tplc="8A7EA620">
      <w:start w:val="1"/>
      <w:numFmt w:val="bullet"/>
      <w:lvlText w:val="•"/>
      <w:lvlJc w:val="left"/>
      <w:pPr>
        <w:ind w:left="3374" w:hanging="567"/>
      </w:pPr>
      <w:rPr>
        <w:rFonts w:hint="default"/>
      </w:rPr>
    </w:lvl>
    <w:lvl w:ilvl="4" w:tplc="8D7077BA">
      <w:start w:val="1"/>
      <w:numFmt w:val="bullet"/>
      <w:lvlText w:val="•"/>
      <w:lvlJc w:val="left"/>
      <w:pPr>
        <w:ind w:left="4113" w:hanging="567"/>
      </w:pPr>
      <w:rPr>
        <w:rFonts w:hint="default"/>
      </w:rPr>
    </w:lvl>
    <w:lvl w:ilvl="5" w:tplc="A9DA8482">
      <w:start w:val="1"/>
      <w:numFmt w:val="bullet"/>
      <w:lvlText w:val="•"/>
      <w:lvlJc w:val="left"/>
      <w:pPr>
        <w:ind w:left="4852" w:hanging="567"/>
      </w:pPr>
      <w:rPr>
        <w:rFonts w:hint="default"/>
      </w:rPr>
    </w:lvl>
    <w:lvl w:ilvl="6" w:tplc="0D08561E">
      <w:start w:val="1"/>
      <w:numFmt w:val="bullet"/>
      <w:lvlText w:val="•"/>
      <w:lvlJc w:val="left"/>
      <w:pPr>
        <w:ind w:left="5592" w:hanging="567"/>
      </w:pPr>
      <w:rPr>
        <w:rFonts w:hint="default"/>
      </w:rPr>
    </w:lvl>
    <w:lvl w:ilvl="7" w:tplc="28FEE246">
      <w:start w:val="1"/>
      <w:numFmt w:val="bullet"/>
      <w:lvlText w:val="•"/>
      <w:lvlJc w:val="left"/>
      <w:pPr>
        <w:ind w:left="6331" w:hanging="567"/>
      </w:pPr>
      <w:rPr>
        <w:rFonts w:hint="default"/>
      </w:rPr>
    </w:lvl>
    <w:lvl w:ilvl="8" w:tplc="4EEACA8A">
      <w:start w:val="1"/>
      <w:numFmt w:val="bullet"/>
      <w:lvlText w:val="•"/>
      <w:lvlJc w:val="left"/>
      <w:pPr>
        <w:ind w:left="7070" w:hanging="567"/>
      </w:pPr>
      <w:rPr>
        <w:rFonts w:hint="default"/>
      </w:rPr>
    </w:lvl>
  </w:abstractNum>
  <w:abstractNum w:abstractNumId="1" w15:restartNumberingAfterBreak="0">
    <w:nsid w:val="3BE454DD"/>
    <w:multiLevelType w:val="hybridMultilevel"/>
    <w:tmpl w:val="C16CFAE4"/>
    <w:lvl w:ilvl="0" w:tplc="C5A01F84">
      <w:start w:val="7"/>
      <w:numFmt w:val="lowerLetter"/>
      <w:lvlText w:val="(%1)"/>
      <w:lvlJc w:val="left"/>
      <w:pPr>
        <w:ind w:left="1801" w:hanging="562"/>
      </w:pPr>
      <w:rPr>
        <w:rFonts w:ascii="Times New Roman" w:eastAsia="Times New Roman" w:hAnsi="Times New Roman" w:hint="default"/>
        <w:color w:val="1A1818"/>
        <w:w w:val="101"/>
        <w:sz w:val="19"/>
        <w:szCs w:val="19"/>
      </w:rPr>
    </w:lvl>
    <w:lvl w:ilvl="1" w:tplc="82789A04">
      <w:start w:val="1"/>
      <w:numFmt w:val="bullet"/>
      <w:lvlText w:val="•"/>
      <w:lvlJc w:val="left"/>
      <w:pPr>
        <w:ind w:left="2540" w:hanging="562"/>
      </w:pPr>
      <w:rPr>
        <w:rFonts w:hint="default"/>
      </w:rPr>
    </w:lvl>
    <w:lvl w:ilvl="2" w:tplc="097082A8">
      <w:start w:val="1"/>
      <w:numFmt w:val="bullet"/>
      <w:lvlText w:val="•"/>
      <w:lvlJc w:val="left"/>
      <w:pPr>
        <w:ind w:left="3279" w:hanging="562"/>
      </w:pPr>
      <w:rPr>
        <w:rFonts w:hint="default"/>
      </w:rPr>
    </w:lvl>
    <w:lvl w:ilvl="3" w:tplc="F878BAC2">
      <w:start w:val="1"/>
      <w:numFmt w:val="bullet"/>
      <w:lvlText w:val="•"/>
      <w:lvlJc w:val="left"/>
      <w:pPr>
        <w:ind w:left="4017" w:hanging="562"/>
      </w:pPr>
      <w:rPr>
        <w:rFonts w:hint="default"/>
      </w:rPr>
    </w:lvl>
    <w:lvl w:ilvl="4" w:tplc="2DAC99D6">
      <w:start w:val="1"/>
      <w:numFmt w:val="bullet"/>
      <w:lvlText w:val="•"/>
      <w:lvlJc w:val="left"/>
      <w:pPr>
        <w:ind w:left="4756" w:hanging="562"/>
      </w:pPr>
      <w:rPr>
        <w:rFonts w:hint="default"/>
      </w:rPr>
    </w:lvl>
    <w:lvl w:ilvl="5" w:tplc="0E0C1F0E">
      <w:start w:val="1"/>
      <w:numFmt w:val="bullet"/>
      <w:lvlText w:val="•"/>
      <w:lvlJc w:val="left"/>
      <w:pPr>
        <w:ind w:left="5495" w:hanging="562"/>
      </w:pPr>
      <w:rPr>
        <w:rFonts w:hint="default"/>
      </w:rPr>
    </w:lvl>
    <w:lvl w:ilvl="6" w:tplc="9D624E48">
      <w:start w:val="1"/>
      <w:numFmt w:val="bullet"/>
      <w:lvlText w:val="•"/>
      <w:lvlJc w:val="left"/>
      <w:pPr>
        <w:ind w:left="6233" w:hanging="562"/>
      </w:pPr>
      <w:rPr>
        <w:rFonts w:hint="default"/>
      </w:rPr>
    </w:lvl>
    <w:lvl w:ilvl="7" w:tplc="9858D1CE">
      <w:start w:val="1"/>
      <w:numFmt w:val="bullet"/>
      <w:lvlText w:val="•"/>
      <w:lvlJc w:val="left"/>
      <w:pPr>
        <w:ind w:left="6972" w:hanging="562"/>
      </w:pPr>
      <w:rPr>
        <w:rFonts w:hint="default"/>
      </w:rPr>
    </w:lvl>
    <w:lvl w:ilvl="8" w:tplc="888AA5E8">
      <w:start w:val="1"/>
      <w:numFmt w:val="bullet"/>
      <w:lvlText w:val="•"/>
      <w:lvlJc w:val="left"/>
      <w:pPr>
        <w:ind w:left="7711" w:hanging="56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F6"/>
    <w:rsid w:val="00096A77"/>
    <w:rsid w:val="000D1667"/>
    <w:rsid w:val="001E7652"/>
    <w:rsid w:val="00217B9B"/>
    <w:rsid w:val="002A2BEF"/>
    <w:rsid w:val="002B0331"/>
    <w:rsid w:val="0035271E"/>
    <w:rsid w:val="003F0A67"/>
    <w:rsid w:val="00477539"/>
    <w:rsid w:val="004B1D01"/>
    <w:rsid w:val="00515248"/>
    <w:rsid w:val="00532B50"/>
    <w:rsid w:val="005524DC"/>
    <w:rsid w:val="00570A08"/>
    <w:rsid w:val="005E5771"/>
    <w:rsid w:val="006C6090"/>
    <w:rsid w:val="0083087A"/>
    <w:rsid w:val="00967C07"/>
    <w:rsid w:val="00975BCD"/>
    <w:rsid w:val="009C1F20"/>
    <w:rsid w:val="00A42A4D"/>
    <w:rsid w:val="00BD276E"/>
    <w:rsid w:val="00C833F6"/>
    <w:rsid w:val="00D76696"/>
    <w:rsid w:val="00D805F9"/>
    <w:rsid w:val="00E3043C"/>
    <w:rsid w:val="00EA117B"/>
    <w:rsid w:val="00EF196C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C79815-99FB-4267-B76A-0A7E538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75"/>
      <w:ind w:left="59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41"/>
      <w:ind w:left="1156"/>
    </w:pPr>
    <w:rPr>
      <w:rFonts w:ascii="Times New Roman" w:eastAsia="Times New Roman" w:hAnsi="Times New Roman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C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60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60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6090"/>
    <w:rPr>
      <w:sz w:val="18"/>
      <w:szCs w:val="18"/>
    </w:rPr>
  </w:style>
  <w:style w:type="paragraph" w:customStyle="1" w:styleId="aa">
    <w:name w:val="表格"/>
    <w:basedOn w:val="a3"/>
    <w:link w:val="ab"/>
    <w:uiPriority w:val="1"/>
    <w:qFormat/>
    <w:rsid w:val="006C6090"/>
    <w:pPr>
      <w:spacing w:before="0"/>
      <w:ind w:left="0"/>
      <w:jc w:val="center"/>
    </w:pPr>
    <w:rPr>
      <w:rFonts w:eastAsia="宋体"/>
      <w:bCs/>
      <w:sz w:val="21"/>
      <w:szCs w:val="21"/>
      <w:lang w:eastAsia="zh-CN"/>
    </w:rPr>
  </w:style>
  <w:style w:type="character" w:customStyle="1" w:styleId="ab">
    <w:name w:val="表格 字符"/>
    <w:basedOn w:val="a0"/>
    <w:link w:val="aa"/>
    <w:uiPriority w:val="1"/>
    <w:rsid w:val="006C6090"/>
    <w:rPr>
      <w:rFonts w:ascii="Times New Roman" w:eastAsia="宋体" w:hAnsi="Times New Roman"/>
      <w:bCs/>
      <w:sz w:val="21"/>
      <w:szCs w:val="21"/>
      <w:lang w:eastAsia="zh-CN"/>
    </w:rPr>
  </w:style>
  <w:style w:type="character" w:customStyle="1" w:styleId="a4">
    <w:name w:val="正文文本 字符"/>
    <w:basedOn w:val="a0"/>
    <w:link w:val="a3"/>
    <w:uiPriority w:val="1"/>
    <w:rsid w:val="002A2BEF"/>
    <w:rPr>
      <w:rFonts w:ascii="Times New Roman" w:eastAsia="Times New Roman" w:hAnsi="Times New Roman"/>
      <w:sz w:val="19"/>
      <w:szCs w:val="19"/>
    </w:rPr>
  </w:style>
  <w:style w:type="table" w:styleId="ac">
    <w:name w:val="Table Grid"/>
    <w:basedOn w:val="a1"/>
    <w:uiPriority w:val="59"/>
    <w:rsid w:val="002A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sid w:val="003F0A67"/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A42A4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42A4D"/>
    <w:rPr>
      <w:sz w:val="18"/>
      <w:szCs w:val="18"/>
    </w:rPr>
  </w:style>
  <w:style w:type="character" w:customStyle="1" w:styleId="fontstyle01">
    <w:name w:val="fontstyle01"/>
    <w:basedOn w:val="a0"/>
    <w:rsid w:val="00975BC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刘婉卿</cp:lastModifiedBy>
  <cp:revision>11</cp:revision>
  <dcterms:created xsi:type="dcterms:W3CDTF">2023-06-14T01:11:00Z</dcterms:created>
  <dcterms:modified xsi:type="dcterms:W3CDTF">2023-12-13T02:50:00Z</dcterms:modified>
</cp:coreProperties>
</file>