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center" w:pos="4274"/>
        </w:tabs>
        <w:spacing w:line="360" w:lineRule="auto"/>
        <w:jc w:val="center"/>
        <w:rPr>
          <w:rFonts w:ascii="黑体" w:hAnsi="黑体" w:eastAsia="黑体" w:cs="宋体"/>
          <w:kern w:val="0"/>
          <w:sz w:val="32"/>
          <w:szCs w:val="32"/>
        </w:rPr>
      </w:pPr>
      <w:r>
        <w:rPr>
          <w:rFonts w:hint="eastAsia" w:ascii="黑体" w:hAnsi="黑体" w:eastAsia="黑体" w:cs="宋体"/>
          <w:kern w:val="0"/>
          <w:sz w:val="32"/>
          <w:szCs w:val="32"/>
        </w:rPr>
        <w:t>《机动车儿童乘员用约束系统》</w:t>
      </w:r>
    </w:p>
    <w:p>
      <w:pPr>
        <w:tabs>
          <w:tab w:val="center" w:pos="4274"/>
        </w:tabs>
        <w:spacing w:line="360" w:lineRule="auto"/>
        <w:jc w:val="center"/>
        <w:rPr>
          <w:rFonts w:ascii="黑体" w:hAnsi="黑体" w:eastAsia="黑体" w:cs="宋体"/>
          <w:kern w:val="0"/>
          <w:sz w:val="32"/>
          <w:szCs w:val="32"/>
        </w:rPr>
      </w:pPr>
      <w:r>
        <w:rPr>
          <w:rFonts w:hint="eastAsia" w:ascii="黑体" w:hAnsi="黑体" w:eastAsia="黑体" w:cs="宋体"/>
          <w:kern w:val="0"/>
          <w:sz w:val="32"/>
          <w:szCs w:val="32"/>
          <w:lang w:val="en-US" w:eastAsia="zh-CN"/>
        </w:rPr>
        <w:t>（征求意见稿）</w:t>
      </w:r>
      <w:r>
        <w:rPr>
          <w:rFonts w:hint="eastAsia" w:ascii="黑体" w:hAnsi="黑体" w:eastAsia="黑体" w:cs="宋体"/>
          <w:kern w:val="0"/>
          <w:sz w:val="32"/>
          <w:szCs w:val="32"/>
        </w:rPr>
        <w:t>编制说明</w:t>
      </w:r>
    </w:p>
    <w:p>
      <w:pPr>
        <w:shd w:val="clear" w:color="auto" w:fill="FFFFFF"/>
        <w:spacing w:line="360" w:lineRule="auto"/>
        <w:rPr>
          <w:rFonts w:ascii="黑体" w:hAnsi="黑体" w:eastAsia="黑体" w:cs="宋体"/>
          <w:b/>
          <w:bCs/>
          <w:szCs w:val="21"/>
        </w:rPr>
      </w:pPr>
    </w:p>
    <w:p>
      <w:pPr>
        <w:autoSpaceDE w:val="0"/>
        <w:autoSpaceDN w:val="0"/>
        <w:adjustRightInd w:val="0"/>
        <w:spacing w:line="400" w:lineRule="exact"/>
        <w:ind w:firstLine="480" w:firstLineChars="200"/>
        <w:jc w:val="left"/>
        <w:outlineLvl w:val="0"/>
        <w:rPr>
          <w:rFonts w:hint="eastAsia" w:eastAsia="黑体"/>
          <w:bCs/>
          <w:color w:val="000000"/>
          <w:kern w:val="0"/>
          <w:sz w:val="24"/>
        </w:rPr>
      </w:pPr>
      <w:r>
        <w:rPr>
          <w:rFonts w:hint="eastAsia" w:eastAsia="黑体"/>
          <w:bCs/>
          <w:color w:val="000000"/>
          <w:kern w:val="0"/>
          <w:sz w:val="24"/>
        </w:rPr>
        <w:t>一、工作简况</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一</w:t>
      </w:r>
      <w:r>
        <w:rPr>
          <w:rFonts w:hint="eastAsia"/>
          <w:b/>
          <w:szCs w:val="21"/>
          <w:lang w:eastAsia="zh-CN"/>
        </w:rPr>
        <w:t>）</w:t>
      </w:r>
      <w:r>
        <w:rPr>
          <w:rFonts w:hint="eastAsia"/>
          <w:b/>
          <w:szCs w:val="21"/>
        </w:rPr>
        <w:t>任务来源</w:t>
      </w:r>
    </w:p>
    <w:p>
      <w:pPr>
        <w:spacing w:line="400" w:lineRule="exact"/>
        <w:ind w:firstLine="420" w:firstLineChars="200"/>
        <w:rPr>
          <w:rFonts w:hint="eastAsia" w:ascii="宋体" w:hAnsi="宋体"/>
          <w:szCs w:val="21"/>
        </w:rPr>
      </w:pPr>
      <w:r>
        <w:rPr>
          <w:rFonts w:hint="eastAsia" w:ascii="宋体" w:hAnsi="宋体"/>
          <w:szCs w:val="21"/>
        </w:rPr>
        <w:t>GB 27887-2011 《</w:t>
      </w:r>
      <w:bookmarkStart w:id="0" w:name="OLE_LINK41"/>
      <w:bookmarkStart w:id="1" w:name="OLE_LINK40"/>
      <w:r>
        <w:rPr>
          <w:rFonts w:hint="eastAsia" w:ascii="宋体" w:hAnsi="宋体"/>
          <w:szCs w:val="21"/>
        </w:rPr>
        <w:t>机动车儿童乘员用约束系统</w:t>
      </w:r>
      <w:bookmarkEnd w:id="0"/>
      <w:bookmarkEnd w:id="1"/>
      <w:r>
        <w:rPr>
          <w:rFonts w:hint="eastAsia" w:ascii="宋体" w:hAnsi="宋体"/>
          <w:szCs w:val="21"/>
        </w:rPr>
        <w:t>》于2011年12月30日发布、2012年7月1日实施，标准的发布和实施对规范机动车儿童乘员用约束系统的生产、制造、质量管理以及推动该行业的规范发展起到了重要作用。</w:t>
      </w:r>
    </w:p>
    <w:p>
      <w:pPr>
        <w:spacing w:line="400" w:lineRule="exact"/>
        <w:ind w:firstLine="420" w:firstLineChars="200"/>
        <w:rPr>
          <w:rFonts w:hint="eastAsia" w:ascii="宋体" w:hAnsi="宋体"/>
          <w:szCs w:val="21"/>
        </w:rPr>
      </w:pPr>
      <w:bookmarkStart w:id="2" w:name="OLE_LINK316"/>
      <w:bookmarkStart w:id="3" w:name="OLE_LINK317"/>
      <w:r>
        <w:rPr>
          <w:rFonts w:hint="eastAsia" w:ascii="宋体" w:hAnsi="宋体"/>
          <w:szCs w:val="21"/>
        </w:rPr>
        <w:t>GB 27887-2011标准为首次制定，并参考了</w:t>
      </w:r>
      <w:r>
        <w:rPr>
          <w:rFonts w:hint="eastAsia" w:ascii="宋体" w:hAnsi="宋体"/>
          <w:szCs w:val="21"/>
          <w:lang w:val="en-US" w:eastAsia="zh-CN"/>
        </w:rPr>
        <w:t>联合国法规</w:t>
      </w:r>
      <w:r>
        <w:rPr>
          <w:rFonts w:hint="eastAsia" w:ascii="宋体" w:hAnsi="宋体"/>
          <w:szCs w:val="21"/>
          <w:lang w:eastAsia="zh-CN"/>
        </w:rPr>
        <w:t>UN</w:t>
      </w:r>
      <w:r>
        <w:rPr>
          <w:rFonts w:hint="eastAsia" w:ascii="宋体" w:hAnsi="宋体"/>
          <w:szCs w:val="21"/>
        </w:rPr>
        <w:t xml:space="preserve"> R44的技术内容，以保持与国际的协调一致。标准实施后内置式儿童约束系统要求与整车</w:t>
      </w:r>
      <w:r>
        <w:rPr>
          <w:rFonts w:hint="eastAsia" w:ascii="宋体" w:hAnsi="宋体"/>
          <w:szCs w:val="21"/>
          <w:lang w:val="en-US" w:eastAsia="zh-CN"/>
        </w:rPr>
        <w:t>准入</w:t>
      </w:r>
      <w:r>
        <w:rPr>
          <w:rFonts w:hint="eastAsia" w:ascii="宋体" w:hAnsi="宋体"/>
          <w:szCs w:val="21"/>
        </w:rPr>
        <w:t>一起进行强检试验，其它类型儿童约束系统</w:t>
      </w:r>
      <w:r>
        <w:rPr>
          <w:rFonts w:hint="eastAsia" w:ascii="宋体" w:hAnsi="宋体"/>
          <w:szCs w:val="21"/>
          <w:lang w:val="en-US" w:eastAsia="zh-CN"/>
        </w:rPr>
        <w:t>通过</w:t>
      </w:r>
      <w:r>
        <w:rPr>
          <w:rFonts w:hint="eastAsia" w:ascii="宋体" w:hAnsi="宋体"/>
          <w:szCs w:val="21"/>
        </w:rPr>
        <w:t>3C</w:t>
      </w:r>
      <w:r>
        <w:rPr>
          <w:rFonts w:hint="eastAsia" w:ascii="宋体" w:hAnsi="宋体"/>
          <w:szCs w:val="21"/>
          <w:lang w:val="en-US" w:eastAsia="zh-CN"/>
        </w:rPr>
        <w:t>产品</w:t>
      </w:r>
      <w:r>
        <w:rPr>
          <w:rFonts w:hint="eastAsia" w:ascii="宋体" w:hAnsi="宋体"/>
          <w:szCs w:val="21"/>
        </w:rPr>
        <w:t>强制认证得以全面实施。</w:t>
      </w:r>
      <w:bookmarkStart w:id="4" w:name="OLE_LINK297"/>
      <w:bookmarkStart w:id="5" w:name="OLE_LINK296"/>
      <w:bookmarkStart w:id="6" w:name="OLE_LINK295"/>
      <w:r>
        <w:rPr>
          <w:rFonts w:hint="eastAsia" w:ascii="宋体" w:hAnsi="宋体"/>
          <w:szCs w:val="21"/>
        </w:rPr>
        <w:t>自GB 27887-2011发布至今，</w:t>
      </w:r>
      <w:r>
        <w:rPr>
          <w:rFonts w:hint="eastAsia" w:ascii="宋体" w:hAnsi="宋体"/>
          <w:szCs w:val="21"/>
          <w:lang w:val="en-US" w:eastAsia="zh-CN"/>
        </w:rPr>
        <w:t>所参考的</w:t>
      </w:r>
      <w:r>
        <w:rPr>
          <w:rFonts w:hint="eastAsia" w:ascii="宋体" w:hAnsi="宋体"/>
          <w:szCs w:val="21"/>
          <w:lang w:eastAsia="zh-CN"/>
        </w:rPr>
        <w:t>UN</w:t>
      </w:r>
      <w:r>
        <w:rPr>
          <w:rFonts w:hint="eastAsia" w:ascii="宋体" w:hAnsi="宋体"/>
          <w:szCs w:val="21"/>
        </w:rPr>
        <w:t>法规经过多次修改，部分内容进行了更新和修正，并且根据产品和技术的发展，将儿童约束系统产品的基本分类、分组均进行了重新划分，</w:t>
      </w:r>
      <w:r>
        <w:rPr>
          <w:rFonts w:hint="eastAsia" w:ascii="宋体" w:hAnsi="宋体"/>
          <w:szCs w:val="21"/>
          <w:lang w:val="en-US" w:eastAsia="zh-CN"/>
        </w:rPr>
        <w:t>并增加新的要求</w:t>
      </w:r>
      <w:r>
        <w:rPr>
          <w:rFonts w:hint="eastAsia" w:ascii="宋体" w:hAnsi="宋体"/>
          <w:szCs w:val="21"/>
        </w:rPr>
        <w:t>。我国是车用儿童约束系统生产制造大国，为国外品牌的代加工产品也非常多，因此国际法规的协调一致成为产品和企业发展的重要内容。为了便于中国产品的国际化生产，以及正确引导产品的发展，提高产品技术要求，积极响应行业需求，</w:t>
      </w:r>
      <w:r>
        <w:rPr>
          <w:rFonts w:hint="eastAsia" w:ascii="宋体" w:hAnsi="宋体"/>
          <w:szCs w:val="21"/>
          <w:lang w:val="en-US" w:eastAsia="zh-CN"/>
        </w:rPr>
        <w:t>工业和信息化部委托</w:t>
      </w:r>
      <w:r>
        <w:rPr>
          <w:rFonts w:hint="eastAsia" w:ascii="宋体" w:hAnsi="宋体"/>
          <w:szCs w:val="21"/>
        </w:rPr>
        <w:t>全国汽标委开展该标准修订的前期研究工作，并启动项目申报流程。</w:t>
      </w:r>
      <w:bookmarkEnd w:id="4"/>
      <w:bookmarkEnd w:id="5"/>
      <w:bookmarkEnd w:id="6"/>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2020年，国家标准化管理委员会批准GB 27887-2011标准修订立项申请，以</w:t>
      </w:r>
      <w:r>
        <w:rPr>
          <w:rFonts w:hint="eastAsia" w:ascii="宋体" w:hAnsi="宋体"/>
          <w:szCs w:val="21"/>
        </w:rPr>
        <w:t>国标委发【2020】54</w:t>
      </w:r>
      <w:r>
        <w:rPr>
          <w:rFonts w:hint="eastAsia" w:ascii="宋体" w:hAnsi="宋体"/>
          <w:szCs w:val="21"/>
          <w:lang w:val="en-US" w:eastAsia="zh-CN"/>
        </w:rPr>
        <w:t>号文批准立项，立项号为</w:t>
      </w:r>
      <w:r>
        <w:rPr>
          <w:rFonts w:hint="eastAsia" w:ascii="宋体" w:hAnsi="宋体"/>
          <w:szCs w:val="21"/>
        </w:rPr>
        <w:fldChar w:fldCharType="begin"/>
      </w:r>
      <w:r>
        <w:rPr>
          <w:rFonts w:hint="eastAsia" w:ascii="宋体" w:hAnsi="宋体"/>
          <w:szCs w:val="21"/>
        </w:rPr>
        <w:instrText xml:space="preserve"> HYPERLINK "http://std.samr.gov.cn/gb/search/gbDetailed?id=B7A90A74A1F9F4B6E05397BE0A0A555B" \t "_blank" </w:instrText>
      </w:r>
      <w:r>
        <w:rPr>
          <w:rFonts w:hint="eastAsia" w:ascii="宋体" w:hAnsi="宋体"/>
          <w:szCs w:val="21"/>
        </w:rPr>
        <w:fldChar w:fldCharType="separate"/>
      </w:r>
      <w:r>
        <w:rPr>
          <w:rFonts w:hint="eastAsia" w:ascii="宋体" w:hAnsi="宋体"/>
          <w:szCs w:val="21"/>
        </w:rPr>
        <w:t>20205238-Q-339</w:t>
      </w:r>
      <w:r>
        <w:rPr>
          <w:rFonts w:hint="eastAsia" w:ascii="宋体" w:hAnsi="宋体"/>
          <w:szCs w:val="21"/>
        </w:rPr>
        <w:fldChar w:fldCharType="end"/>
      </w:r>
      <w:r>
        <w:rPr>
          <w:rFonts w:hint="eastAsia" w:ascii="宋体" w:hAnsi="宋体"/>
          <w:szCs w:val="21"/>
          <w:lang w:eastAsia="zh-CN"/>
        </w:rPr>
        <w:t>。</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二</w:t>
      </w:r>
      <w:r>
        <w:rPr>
          <w:rFonts w:hint="eastAsia"/>
          <w:b/>
          <w:szCs w:val="21"/>
          <w:lang w:eastAsia="zh-CN"/>
        </w:rPr>
        <w:t>）</w:t>
      </w:r>
      <w:r>
        <w:rPr>
          <w:rFonts w:hint="eastAsia"/>
          <w:b/>
          <w:szCs w:val="21"/>
        </w:rPr>
        <w:t>主要工作过程</w:t>
      </w:r>
    </w:p>
    <w:bookmarkEnd w:id="2"/>
    <w:bookmarkEnd w:id="3"/>
    <w:p>
      <w:pPr>
        <w:numPr>
          <w:ilvl w:val="2"/>
          <w:numId w:val="7"/>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lang w:val="en-US" w:eastAsia="zh-CN"/>
        </w:rPr>
        <w:t>标准预研</w:t>
      </w:r>
      <w:r>
        <w:rPr>
          <w:rFonts w:hint="eastAsia" w:ascii="黑体" w:hAnsi="黑体" w:eastAsia="黑体"/>
          <w:bCs/>
          <w:szCs w:val="21"/>
        </w:rPr>
        <w:tab/>
      </w:r>
    </w:p>
    <w:p>
      <w:pPr>
        <w:spacing w:line="400" w:lineRule="exact"/>
        <w:ind w:firstLine="420" w:firstLineChars="200"/>
        <w:rPr>
          <w:rFonts w:hint="eastAsia" w:ascii="宋体" w:hAnsi="宋体"/>
          <w:szCs w:val="21"/>
        </w:rPr>
      </w:pPr>
      <w:r>
        <w:rPr>
          <w:rFonts w:hint="eastAsia" w:ascii="宋体" w:hAnsi="宋体"/>
          <w:szCs w:val="21"/>
        </w:rPr>
        <w:t>2016年1月至12月，标准牵头单位搜集各单位及机构关于GB 27887-2011标准实施的反馈意见，翻译整理</w:t>
      </w:r>
      <w:r>
        <w:rPr>
          <w:rFonts w:hint="eastAsia" w:ascii="宋体" w:hAnsi="宋体"/>
          <w:szCs w:val="21"/>
          <w:lang w:eastAsia="zh-CN"/>
        </w:rPr>
        <w:t>UN</w:t>
      </w:r>
      <w:r>
        <w:rPr>
          <w:rFonts w:hint="eastAsia" w:ascii="宋体" w:hAnsi="宋体"/>
          <w:szCs w:val="21"/>
        </w:rPr>
        <w:t xml:space="preserve"> R129法规</w:t>
      </w:r>
      <w:r>
        <w:rPr>
          <w:rFonts w:hint="eastAsia" w:ascii="宋体" w:hAnsi="宋体"/>
          <w:szCs w:val="21"/>
          <w:lang w:val="en-US" w:eastAsia="zh-CN"/>
        </w:rPr>
        <w:t>第一、二阶段</w:t>
      </w:r>
      <w:r>
        <w:rPr>
          <w:rFonts w:hint="eastAsia" w:ascii="宋体" w:hAnsi="宋体"/>
          <w:szCs w:val="21"/>
        </w:rPr>
        <w:t>内容</w:t>
      </w:r>
      <w:r>
        <w:rPr>
          <w:rFonts w:hint="eastAsia" w:ascii="宋体" w:hAnsi="宋体"/>
          <w:szCs w:val="21"/>
          <w:lang w:eastAsia="zh-CN"/>
        </w:rPr>
        <w:t>，</w:t>
      </w:r>
      <w:r>
        <w:rPr>
          <w:rFonts w:hint="eastAsia" w:ascii="宋体" w:hAnsi="宋体"/>
          <w:szCs w:val="21"/>
          <w:lang w:val="en-US" w:eastAsia="zh-CN"/>
        </w:rPr>
        <w:t>并进行UN R129法规与UN R44法规的对比分析工作</w:t>
      </w:r>
      <w:r>
        <w:rPr>
          <w:rFonts w:hint="eastAsia" w:ascii="宋体" w:hAnsi="宋体"/>
          <w:szCs w:val="21"/>
        </w:rPr>
        <w:t>。</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2016年，</w:t>
      </w:r>
      <w:r>
        <w:rPr>
          <w:rFonts w:hint="eastAsia" w:ascii="宋体" w:hAnsi="宋体"/>
          <w:szCs w:val="21"/>
        </w:rPr>
        <w:t>为开展</w:t>
      </w:r>
      <w:r>
        <w:rPr>
          <w:rFonts w:hint="eastAsia" w:ascii="宋体" w:hAnsi="宋体"/>
          <w:szCs w:val="21"/>
          <w:lang w:val="en-US" w:eastAsia="zh-CN"/>
        </w:rPr>
        <w:t>标准新增</w:t>
      </w:r>
      <w:r>
        <w:rPr>
          <w:rFonts w:hint="eastAsia" w:ascii="宋体" w:hAnsi="宋体"/>
          <w:szCs w:val="21"/>
        </w:rPr>
        <w:t>侧碰试验</w:t>
      </w:r>
      <w:r>
        <w:rPr>
          <w:rFonts w:hint="eastAsia" w:ascii="宋体" w:hAnsi="宋体"/>
          <w:szCs w:val="21"/>
          <w:lang w:val="en-US" w:eastAsia="zh-CN"/>
        </w:rPr>
        <w:t>能力评估</w:t>
      </w:r>
      <w:r>
        <w:rPr>
          <w:rFonts w:hint="eastAsia" w:ascii="宋体" w:hAnsi="宋体"/>
          <w:szCs w:val="21"/>
        </w:rPr>
        <w:t>，</w:t>
      </w:r>
      <w:r>
        <w:rPr>
          <w:rFonts w:hint="eastAsia" w:ascii="宋体" w:hAnsi="宋体"/>
          <w:szCs w:val="21"/>
          <w:lang w:val="en-US" w:eastAsia="zh-CN"/>
        </w:rPr>
        <w:t>标准牵头单位</w:t>
      </w:r>
      <w:r>
        <w:rPr>
          <w:rFonts w:hint="eastAsia" w:ascii="宋体" w:hAnsi="宋体"/>
          <w:szCs w:val="21"/>
        </w:rPr>
        <w:t>进行了 P、Q假人试验比对、侧碰试验条件准备、侧碰试验方法验证等技术</w:t>
      </w:r>
      <w:r>
        <w:rPr>
          <w:rFonts w:hint="eastAsia" w:ascii="宋体" w:hAnsi="宋体"/>
          <w:szCs w:val="21"/>
          <w:lang w:val="en-US" w:eastAsia="zh-CN"/>
        </w:rPr>
        <w:t>准备</w:t>
      </w:r>
      <w:r>
        <w:rPr>
          <w:rFonts w:hint="eastAsia" w:ascii="宋体" w:hAnsi="宋体"/>
          <w:szCs w:val="21"/>
        </w:rPr>
        <w:t>工作</w:t>
      </w:r>
      <w:r>
        <w:rPr>
          <w:rFonts w:hint="eastAsia" w:ascii="宋体" w:hAnsi="宋体"/>
          <w:szCs w:val="21"/>
          <w:lang w:eastAsia="zh-CN"/>
        </w:rPr>
        <w:t>，</w:t>
      </w:r>
      <w:r>
        <w:rPr>
          <w:rFonts w:hint="eastAsia" w:ascii="宋体" w:hAnsi="宋体"/>
          <w:szCs w:val="21"/>
          <w:lang w:val="en-US" w:eastAsia="zh-CN"/>
        </w:rPr>
        <w:t>初步形成新标准完整测试能力。</w:t>
      </w:r>
    </w:p>
    <w:p>
      <w:pPr>
        <w:spacing w:line="400" w:lineRule="exact"/>
        <w:ind w:firstLine="420" w:firstLineChars="200"/>
        <w:rPr>
          <w:rFonts w:hint="eastAsia" w:ascii="宋体" w:hAnsi="宋体"/>
          <w:szCs w:val="21"/>
        </w:rPr>
      </w:pPr>
      <w:r>
        <w:rPr>
          <w:rFonts w:hint="eastAsia" w:ascii="宋体" w:hAnsi="宋体"/>
          <w:szCs w:val="21"/>
        </w:rPr>
        <w:t>2016年12月，全国汽车标准化技术委员会车用儿童座椅标准工作组召集主要的儿童座椅生产企业和</w:t>
      </w:r>
      <w:r>
        <w:rPr>
          <w:rFonts w:hint="eastAsia" w:ascii="宋体" w:hAnsi="宋体"/>
          <w:szCs w:val="21"/>
          <w:lang w:val="en-US" w:eastAsia="zh-CN"/>
        </w:rPr>
        <w:t>整车企业、检测机构等</w:t>
      </w:r>
      <w:r>
        <w:rPr>
          <w:rFonts w:hint="eastAsia" w:ascii="宋体" w:hAnsi="宋体"/>
          <w:szCs w:val="21"/>
        </w:rPr>
        <w:t>相关单位就GB 27887-2011标准实施问题进行讨论，如支撑腿的到位提醒、</w:t>
      </w:r>
      <w:bookmarkStart w:id="7" w:name="_Hlk515268337"/>
      <w:r>
        <w:rPr>
          <w:rFonts w:hint="eastAsia" w:ascii="宋体" w:hAnsi="宋体"/>
          <w:szCs w:val="21"/>
        </w:rPr>
        <w:t>有关燃烧特性的要求</w:t>
      </w:r>
      <w:bookmarkEnd w:id="7"/>
      <w:r>
        <w:rPr>
          <w:rFonts w:hint="eastAsia" w:ascii="宋体" w:hAnsi="宋体"/>
          <w:szCs w:val="21"/>
        </w:rPr>
        <w:t>、靠背和座椅用聚氨酯泡沫特性的要求、翻转测试的加载要求等</w:t>
      </w:r>
      <w:r>
        <w:rPr>
          <w:rFonts w:hint="eastAsia" w:ascii="宋体" w:hAnsi="宋体"/>
          <w:szCs w:val="21"/>
          <w:lang w:eastAsia="zh-CN"/>
        </w:rPr>
        <w:t>，</w:t>
      </w:r>
      <w:r>
        <w:rPr>
          <w:rFonts w:hint="eastAsia" w:ascii="宋体" w:hAnsi="宋体"/>
          <w:szCs w:val="21"/>
        </w:rPr>
        <w:t>并就</w:t>
      </w:r>
      <w:r>
        <w:rPr>
          <w:rFonts w:hint="eastAsia" w:ascii="宋体" w:hAnsi="宋体"/>
          <w:szCs w:val="21"/>
          <w:lang w:val="en-US" w:eastAsia="zh-CN"/>
        </w:rPr>
        <w:t>P、Q假人的试验对比、</w:t>
      </w:r>
      <w:r>
        <w:rPr>
          <w:rFonts w:hint="eastAsia" w:ascii="宋体" w:hAnsi="宋体"/>
          <w:szCs w:val="21"/>
        </w:rPr>
        <w:t>侧面碰撞试验方法的研究情况进行交流。</w:t>
      </w:r>
    </w:p>
    <w:p>
      <w:pPr>
        <w:spacing w:line="400" w:lineRule="exact"/>
        <w:ind w:firstLine="420" w:firstLineChars="200"/>
        <w:rPr>
          <w:rFonts w:hint="eastAsia" w:ascii="宋体" w:hAnsi="宋体"/>
          <w:szCs w:val="21"/>
          <w:lang w:val="en-US" w:eastAsia="zh-CN"/>
        </w:rPr>
      </w:pPr>
      <w:r>
        <w:rPr>
          <w:rFonts w:hint="eastAsia" w:ascii="宋体" w:hAnsi="宋体"/>
          <w:szCs w:val="21"/>
        </w:rPr>
        <w:t>2017年7月，工作组会议上各单位重点对初步形成的修订草案（只针对</w:t>
      </w:r>
      <w:r>
        <w:rPr>
          <w:rFonts w:hint="eastAsia" w:ascii="宋体" w:hAnsi="宋体"/>
          <w:szCs w:val="21"/>
          <w:lang w:eastAsia="zh-CN"/>
        </w:rPr>
        <w:t>UN</w:t>
      </w:r>
      <w:r>
        <w:rPr>
          <w:rFonts w:hint="eastAsia" w:ascii="宋体" w:hAnsi="宋体"/>
          <w:szCs w:val="21"/>
        </w:rPr>
        <w:t xml:space="preserve"> R129第二阶段的内容）进行了讨论，有些细节仍需进一步找寻法规制定背景的资料以便于正确理解法规内容。</w:t>
      </w:r>
      <w:r>
        <w:rPr>
          <w:rFonts w:hint="eastAsia" w:ascii="宋体" w:hAnsi="宋体"/>
          <w:szCs w:val="21"/>
          <w:lang w:val="en-US" w:eastAsia="zh-CN"/>
        </w:rPr>
        <w:t>本次会上还讨论了</w:t>
      </w:r>
      <w:r>
        <w:rPr>
          <w:rFonts w:hint="eastAsia" w:ascii="宋体" w:hAnsi="宋体"/>
          <w:szCs w:val="21"/>
        </w:rPr>
        <w:t>儿童假人伤害机理</w:t>
      </w:r>
      <w:r>
        <w:rPr>
          <w:rFonts w:hint="eastAsia" w:ascii="宋体" w:hAnsi="宋体"/>
          <w:szCs w:val="21"/>
          <w:lang w:val="en-US" w:eastAsia="zh-CN"/>
        </w:rPr>
        <w:t>方面的初步研究</w:t>
      </w:r>
      <w:r>
        <w:rPr>
          <w:rFonts w:hint="eastAsia" w:ascii="宋体" w:hAnsi="宋体"/>
          <w:szCs w:val="21"/>
        </w:rPr>
        <w:t>，</w:t>
      </w:r>
      <w:r>
        <w:rPr>
          <w:rFonts w:hint="eastAsia" w:ascii="宋体" w:hAnsi="宋体"/>
          <w:szCs w:val="21"/>
          <w:lang w:val="en-US" w:eastAsia="zh-CN"/>
        </w:rPr>
        <w:t>为新标准</w:t>
      </w:r>
      <w:r>
        <w:rPr>
          <w:rFonts w:hint="eastAsia" w:ascii="宋体" w:hAnsi="宋体"/>
          <w:szCs w:val="21"/>
        </w:rPr>
        <w:t>使用Q假人进行试验</w:t>
      </w:r>
      <w:r>
        <w:rPr>
          <w:rFonts w:hint="eastAsia" w:ascii="宋体" w:hAnsi="宋体"/>
          <w:szCs w:val="21"/>
          <w:lang w:val="en-US" w:eastAsia="zh-CN"/>
        </w:rPr>
        <w:t>并提出</w:t>
      </w:r>
      <w:r>
        <w:rPr>
          <w:rFonts w:hint="eastAsia" w:ascii="宋体" w:hAnsi="宋体"/>
          <w:szCs w:val="21"/>
        </w:rPr>
        <w:t>合理的指标限值</w:t>
      </w:r>
      <w:r>
        <w:rPr>
          <w:rFonts w:hint="eastAsia" w:ascii="宋体" w:hAnsi="宋体"/>
          <w:szCs w:val="21"/>
          <w:lang w:val="en-US" w:eastAsia="zh-CN"/>
        </w:rPr>
        <w:t>提供基础。</w:t>
      </w:r>
    </w:p>
    <w:p>
      <w:pPr>
        <w:spacing w:line="400" w:lineRule="exact"/>
        <w:ind w:firstLine="420" w:firstLineChars="200"/>
        <w:rPr>
          <w:rFonts w:hint="eastAsia" w:ascii="宋体" w:hAnsi="宋体"/>
          <w:szCs w:val="21"/>
        </w:rPr>
      </w:pPr>
      <w:r>
        <w:rPr>
          <w:rFonts w:hint="eastAsia" w:ascii="宋体" w:hAnsi="宋体"/>
          <w:szCs w:val="21"/>
        </w:rPr>
        <w:t>2017年2月至6月，标准牵头单位将修订草案的附录部分进行了整理，形成完整的标准修订立项草案。</w:t>
      </w:r>
    </w:p>
    <w:p>
      <w:pPr>
        <w:spacing w:line="400" w:lineRule="exact"/>
        <w:ind w:firstLine="420" w:firstLineChars="200"/>
        <w:rPr>
          <w:rFonts w:hint="eastAsia" w:ascii="宋体" w:hAnsi="宋体"/>
          <w:szCs w:val="21"/>
          <w:lang w:val="en-US" w:eastAsia="zh-CN"/>
        </w:rPr>
      </w:pPr>
      <w:r>
        <w:rPr>
          <w:rFonts w:hint="eastAsia" w:ascii="宋体" w:hAnsi="宋体"/>
          <w:szCs w:val="21"/>
        </w:rPr>
        <w:t>2017年7月提交</w:t>
      </w:r>
      <w:bookmarkStart w:id="8" w:name="OLE_LINK11"/>
      <w:r>
        <w:rPr>
          <w:rFonts w:hint="eastAsia" w:ascii="宋体" w:hAnsi="宋体"/>
          <w:szCs w:val="21"/>
        </w:rPr>
        <w:t>全国汽标委车身分标</w:t>
      </w:r>
      <w:bookmarkEnd w:id="8"/>
      <w:r>
        <w:rPr>
          <w:rFonts w:hint="eastAsia" w:ascii="宋体" w:hAnsi="宋体"/>
          <w:szCs w:val="21"/>
          <w:lang w:eastAsia="zh-CN"/>
        </w:rPr>
        <w:t>委</w:t>
      </w:r>
      <w:r>
        <w:rPr>
          <w:rFonts w:hint="eastAsia" w:ascii="宋体" w:hAnsi="宋体"/>
          <w:szCs w:val="21"/>
        </w:rPr>
        <w:t>进行立项申请程序</w:t>
      </w:r>
      <w:r>
        <w:rPr>
          <w:rFonts w:hint="eastAsia" w:ascii="宋体" w:hAnsi="宋体"/>
          <w:szCs w:val="21"/>
          <w:lang w:eastAsia="zh-CN"/>
        </w:rPr>
        <w:t>，但因行业急需</w:t>
      </w:r>
      <w:bookmarkStart w:id="9" w:name="OLE_LINK10"/>
      <w:r>
        <w:rPr>
          <w:rFonts w:hint="eastAsia" w:ascii="宋体" w:hAnsi="宋体"/>
          <w:szCs w:val="21"/>
          <w:lang w:val="en-US" w:eastAsia="zh-CN"/>
        </w:rPr>
        <w:t>GB 27887-2011第1号修改单</w:t>
      </w:r>
      <w:bookmarkEnd w:id="9"/>
      <w:r>
        <w:rPr>
          <w:rFonts w:hint="eastAsia" w:ascii="宋体" w:hAnsi="宋体"/>
          <w:szCs w:val="21"/>
          <w:lang w:val="en-US" w:eastAsia="zh-CN"/>
        </w:rPr>
        <w:t>内容已在流程中，故修订申请未能提交成功。</w:t>
      </w:r>
    </w:p>
    <w:p>
      <w:pPr>
        <w:spacing w:line="400" w:lineRule="exact"/>
        <w:ind w:firstLine="420" w:firstLineChars="200"/>
        <w:rPr>
          <w:rFonts w:hint="eastAsia" w:ascii="宋体" w:hAnsi="宋体"/>
          <w:szCs w:val="21"/>
        </w:rPr>
      </w:pPr>
      <w:r>
        <w:rPr>
          <w:rFonts w:hint="eastAsia" w:ascii="宋体" w:hAnsi="宋体"/>
          <w:szCs w:val="21"/>
        </w:rPr>
        <w:t>2018年1月，</w:t>
      </w:r>
      <w:r>
        <w:rPr>
          <w:rFonts w:hint="eastAsia" w:ascii="宋体" w:hAnsi="宋体"/>
          <w:szCs w:val="21"/>
        </w:rPr>
        <w:t>牵头起草单位已将</w:t>
      </w:r>
      <w:r>
        <w:rPr>
          <w:rFonts w:hint="eastAsia" w:ascii="宋体" w:hAnsi="宋体"/>
          <w:szCs w:val="21"/>
          <w:lang w:eastAsia="zh-CN"/>
        </w:rPr>
        <w:t>UN</w:t>
      </w:r>
      <w:r>
        <w:rPr>
          <w:rFonts w:hint="eastAsia" w:ascii="宋体" w:hAnsi="宋体"/>
          <w:szCs w:val="21"/>
        </w:rPr>
        <w:t xml:space="preserve"> R129法规</w:t>
      </w:r>
      <w:r>
        <w:rPr>
          <w:rFonts w:hint="eastAsia" w:ascii="宋体" w:hAnsi="宋体"/>
          <w:szCs w:val="21"/>
          <w:lang w:val="en-US" w:eastAsia="zh-CN"/>
        </w:rPr>
        <w:t>新更新的</w:t>
      </w:r>
      <w:r>
        <w:rPr>
          <w:rFonts w:hint="eastAsia" w:ascii="宋体" w:hAnsi="宋体"/>
          <w:szCs w:val="21"/>
        </w:rPr>
        <w:t>第三阶段的内容</w:t>
      </w:r>
      <w:r>
        <w:rPr>
          <w:rFonts w:hint="eastAsia" w:ascii="宋体" w:hAnsi="宋体"/>
          <w:szCs w:val="21"/>
          <w:lang w:val="en-US" w:eastAsia="zh-CN"/>
        </w:rPr>
        <w:t>融</w:t>
      </w:r>
      <w:r>
        <w:rPr>
          <w:rFonts w:hint="eastAsia" w:ascii="宋体" w:hAnsi="宋体"/>
          <w:szCs w:val="21"/>
        </w:rPr>
        <w:t>合进标准草案，</w:t>
      </w:r>
      <w:r>
        <w:rPr>
          <w:rFonts w:hint="eastAsia" w:ascii="宋体" w:hAnsi="宋体"/>
          <w:szCs w:val="21"/>
          <w:lang w:val="en-US" w:eastAsia="zh-CN"/>
        </w:rPr>
        <w:t>在</w:t>
      </w:r>
      <w:r>
        <w:rPr>
          <w:rFonts w:hint="eastAsia" w:ascii="宋体" w:hAnsi="宋体"/>
          <w:szCs w:val="21"/>
        </w:rPr>
        <w:t>工作组会议上，各参与单位重点对标准草案正文的新增内容进行了讨论。</w:t>
      </w:r>
    </w:p>
    <w:p>
      <w:pPr>
        <w:spacing w:line="400" w:lineRule="exact"/>
        <w:ind w:firstLine="420" w:firstLineChars="200"/>
        <w:rPr>
          <w:rFonts w:hint="default" w:cs="宋体" w:asciiTheme="minorEastAsia" w:hAnsiTheme="minorEastAsia" w:eastAsiaTheme="minorEastAsia"/>
          <w:bCs/>
          <w:szCs w:val="21"/>
          <w:lang w:val="en-US" w:eastAsia="zh-CN"/>
        </w:rPr>
      </w:pPr>
      <w:r>
        <w:rPr>
          <w:rFonts w:hint="eastAsia" w:ascii="宋体" w:hAnsi="宋体"/>
          <w:szCs w:val="21"/>
          <w:lang w:val="en-US" w:eastAsia="zh-CN"/>
        </w:rPr>
        <w:t>2018年1月至2020年3月，标准起草组共在三次工作组会议上对本文件草案分部分进行详细讨论，持续完善草案内容。同时跟踪UN法规的修正案，进行了多次文本完善，并开展相关试验验证，尤其是新增加的侧面碰撞试验，对多个产品进行验证试验，为标准提供支撑。</w:t>
      </w:r>
    </w:p>
    <w:p>
      <w:pPr>
        <w:numPr>
          <w:ilvl w:val="2"/>
          <w:numId w:val="7"/>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标准立项</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2020年3月，修改完善的标准修订立顶材料提交全国汽标委</w:t>
      </w:r>
      <w:r>
        <w:rPr>
          <w:rFonts w:hint="eastAsia" w:ascii="宋体" w:hAnsi="宋体"/>
          <w:szCs w:val="21"/>
          <w:lang w:val="en-US" w:eastAsia="zh-CN"/>
        </w:rPr>
        <w:t>按规定程序进行立项申请。</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2020年12月24日，国标委以“国标委发【2020】54</w:t>
      </w:r>
      <w:r>
        <w:rPr>
          <w:rFonts w:hint="eastAsia" w:ascii="宋体" w:hAnsi="宋体"/>
          <w:szCs w:val="21"/>
          <w:lang w:val="en-US" w:eastAsia="zh-CN"/>
        </w:rPr>
        <w:t>号”文批准立项，立项号为</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"http://std.samr.gov.cn/gb/search/gbDetailed?id=B7A90A74A1F9F4B6E05397BE0A0A555B" \t "_blank" </w:instrText>
      </w:r>
      <w:r>
        <w:rPr>
          <w:rFonts w:hint="eastAsia" w:ascii="宋体" w:hAnsi="宋体"/>
          <w:szCs w:val="21"/>
          <w:lang w:val="en-US" w:eastAsia="zh-CN"/>
        </w:rPr>
        <w:fldChar w:fldCharType="separate"/>
      </w:r>
      <w:r>
        <w:rPr>
          <w:rFonts w:hint="eastAsia" w:ascii="宋体" w:hAnsi="宋体"/>
          <w:szCs w:val="21"/>
          <w:lang w:val="en-US" w:eastAsia="zh-CN"/>
        </w:rPr>
        <w:t>20205238-Q-339</w:t>
      </w:r>
      <w:r>
        <w:rPr>
          <w:rFonts w:hint="eastAsia" w:ascii="宋体" w:hAnsi="宋体"/>
          <w:szCs w:val="21"/>
          <w:lang w:val="en-US" w:eastAsia="zh-CN"/>
        </w:rPr>
        <w:fldChar w:fldCharType="end"/>
      </w:r>
      <w:r>
        <w:rPr>
          <w:rFonts w:hint="eastAsia" w:ascii="宋体" w:hAnsi="宋体"/>
          <w:szCs w:val="21"/>
          <w:lang w:val="en-US" w:eastAsia="zh-CN"/>
        </w:rPr>
        <w:t>。</w:t>
      </w:r>
    </w:p>
    <w:p>
      <w:pPr>
        <w:numPr>
          <w:ilvl w:val="2"/>
          <w:numId w:val="7"/>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标准编制</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2020年11月，</w:t>
      </w:r>
      <w:r>
        <w:rPr>
          <w:rFonts w:hint="eastAsia" w:ascii="宋体" w:hAnsi="宋体"/>
          <w:szCs w:val="21"/>
        </w:rPr>
        <w:t>标准牵头单位</w:t>
      </w:r>
      <w:r>
        <w:rPr>
          <w:rFonts w:hint="eastAsia" w:ascii="宋体" w:hAnsi="宋体"/>
          <w:szCs w:val="21"/>
        </w:rPr>
        <w:t>将</w:t>
      </w:r>
      <w:r>
        <w:rPr>
          <w:rFonts w:hint="eastAsia" w:ascii="宋体" w:hAnsi="宋体"/>
          <w:szCs w:val="21"/>
          <w:lang w:eastAsia="zh-CN"/>
        </w:rPr>
        <w:t>UN</w:t>
      </w:r>
      <w:r>
        <w:rPr>
          <w:rFonts w:hint="eastAsia" w:ascii="宋体" w:hAnsi="宋体"/>
          <w:szCs w:val="21"/>
        </w:rPr>
        <w:t xml:space="preserve"> R129法规</w:t>
      </w:r>
      <w:r>
        <w:rPr>
          <w:rFonts w:hint="eastAsia" w:ascii="宋体" w:hAnsi="宋体"/>
          <w:szCs w:val="21"/>
          <w:lang w:val="en-US" w:eastAsia="zh-CN"/>
        </w:rPr>
        <w:t>最新完成的</w:t>
      </w:r>
      <w:r>
        <w:rPr>
          <w:rFonts w:hint="eastAsia" w:ascii="宋体" w:hAnsi="宋体"/>
          <w:szCs w:val="21"/>
        </w:rPr>
        <w:t>第</w:t>
      </w:r>
      <w:r>
        <w:rPr>
          <w:rFonts w:hint="eastAsia" w:ascii="宋体" w:hAnsi="宋体"/>
          <w:szCs w:val="21"/>
          <w:lang w:val="en-US" w:eastAsia="zh-CN"/>
        </w:rPr>
        <w:t>四</w:t>
      </w:r>
      <w:r>
        <w:rPr>
          <w:rFonts w:hint="eastAsia" w:ascii="宋体" w:hAnsi="宋体"/>
          <w:szCs w:val="21"/>
        </w:rPr>
        <w:t>阶段的内容</w:t>
      </w:r>
      <w:r>
        <w:rPr>
          <w:rFonts w:hint="eastAsia" w:ascii="宋体" w:hAnsi="宋体"/>
          <w:szCs w:val="21"/>
          <w:lang w:val="en-US" w:eastAsia="zh-CN"/>
        </w:rPr>
        <w:t>增加</w:t>
      </w:r>
      <w:r>
        <w:rPr>
          <w:rFonts w:hint="eastAsia" w:ascii="宋体" w:hAnsi="宋体"/>
          <w:szCs w:val="21"/>
        </w:rPr>
        <w:t>进标准草案</w:t>
      </w:r>
      <w:r>
        <w:rPr>
          <w:rFonts w:hint="eastAsia" w:ascii="宋体" w:hAnsi="宋体"/>
          <w:szCs w:val="21"/>
          <w:lang w:eastAsia="zh-CN"/>
        </w:rPr>
        <w:t>，</w:t>
      </w:r>
      <w:r>
        <w:rPr>
          <w:rFonts w:hint="eastAsia" w:ascii="宋体" w:hAnsi="宋体"/>
          <w:szCs w:val="21"/>
          <w:lang w:val="en-US" w:eastAsia="zh-CN"/>
        </w:rPr>
        <w:t>至此，形成对应UN R129号法规全部内容，并在工作组会议上，对四阶段有关增高垫的内容进行了讨论和修改。本次会议上提出是否可在UN R129基础上增加规范性附录“Q系列假人标定程序”，以规范试验操作程序，有助于各试验室统一操作保证结果一致程度，该项工作由中汽研（天津）汽车检验中心有限公司承担</w:t>
      </w:r>
      <w:r>
        <w:rPr>
          <w:rFonts w:hint="eastAsia" w:ascii="宋体" w:hAnsi="宋体"/>
          <w:szCs w:val="21"/>
          <w:lang w:val="en-US" w:eastAsia="zh-CN"/>
        </w:rPr>
        <w:t>。</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2021年1月至2021年6月，标准牵头单位对标准草案注重细节和编写规范进行再次修改完善，并同期对所有验证试验结果进行汇总和整理。</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2021年6月，再次召开工作组会议，集中对标准征求意见初稿内容进行确认。重点对标准中标识和说明书两章进行了文字表述的完善，对新增加的附录“Q系列假人标定程序”的主要内容进行了讨论并达成一致意见。</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2021年7月至10月，标准牵头单位组织相关标准、试验人员，对标准文本进行逐条确认，同时与UN R129法规进行对照。为便于理解和使用，对条款描述和部分章条结构进行了调整，形成完善的征求意见初稿，同时发工作组成员单位确认一致。</w:t>
      </w:r>
    </w:p>
    <w:p>
      <w:pPr>
        <w:spacing w:line="400" w:lineRule="exact"/>
        <w:ind w:firstLine="420" w:firstLineChars="200"/>
        <w:rPr>
          <w:rFonts w:hint="eastAsia" w:ascii="宋体" w:hAnsi="宋体"/>
          <w:szCs w:val="21"/>
        </w:rPr>
      </w:pPr>
      <w:r>
        <w:rPr>
          <w:rFonts w:hint="eastAsia" w:ascii="宋体" w:hAnsi="宋体"/>
          <w:szCs w:val="21"/>
        </w:rPr>
        <w:t>2021年12月31日，标准</w:t>
      </w:r>
      <w:r>
        <w:rPr>
          <w:rFonts w:hint="eastAsia" w:ascii="宋体" w:hAnsi="宋体"/>
          <w:szCs w:val="21"/>
          <w:lang w:val="en-US" w:eastAsia="zh-CN"/>
        </w:rPr>
        <w:t>牵头单位</w:t>
      </w:r>
      <w:r>
        <w:rPr>
          <w:rFonts w:hint="eastAsia" w:ascii="宋体" w:hAnsi="宋体"/>
          <w:szCs w:val="21"/>
        </w:rPr>
        <w:t xml:space="preserve">与GB 14166 和GB </w:t>
      </w:r>
      <w:r>
        <w:rPr>
          <w:rFonts w:hint="eastAsia" w:ascii="宋体" w:hAnsi="宋体"/>
          <w:szCs w:val="21"/>
          <w:lang w:eastAsia="zh-CN"/>
        </w:rPr>
        <w:t>1</w:t>
      </w:r>
      <w:r>
        <w:rPr>
          <w:rFonts w:hint="eastAsia" w:ascii="宋体" w:hAnsi="宋体"/>
          <w:szCs w:val="21"/>
          <w:lang w:val="en-US" w:eastAsia="zh-CN"/>
        </w:rPr>
        <w:t>4167</w:t>
      </w:r>
      <w:r>
        <w:rPr>
          <w:rFonts w:hint="eastAsia" w:ascii="宋体" w:hAnsi="宋体"/>
          <w:szCs w:val="21"/>
        </w:rPr>
        <w:t>标准起草</w:t>
      </w:r>
      <w:r>
        <w:rPr>
          <w:rFonts w:hint="eastAsia" w:ascii="宋体" w:hAnsi="宋体"/>
          <w:szCs w:val="21"/>
          <w:lang w:val="en-US" w:eastAsia="zh-CN"/>
        </w:rPr>
        <w:t>牵头单位及分标委秘书处</w:t>
      </w:r>
      <w:r>
        <w:rPr>
          <w:rFonts w:hint="eastAsia" w:ascii="宋体" w:hAnsi="宋体"/>
          <w:szCs w:val="21"/>
        </w:rPr>
        <w:t>以网络会议的形式</w:t>
      </w:r>
      <w:r>
        <w:rPr>
          <w:rFonts w:hint="eastAsia" w:ascii="宋体" w:hAnsi="宋体"/>
          <w:szCs w:val="21"/>
          <w:lang w:eastAsia="zh-CN"/>
        </w:rPr>
        <w:t>召开</w:t>
      </w:r>
      <w:r>
        <w:rPr>
          <w:rFonts w:hint="eastAsia" w:ascii="宋体" w:hAnsi="宋体"/>
          <w:szCs w:val="21"/>
        </w:rPr>
        <w:t>了标准协调会，与会人员对上述三项标准在起草过程中存在的问题进行了深入详尽的研讨，并形成了以下意见：</w:t>
      </w:r>
    </w:p>
    <w:p>
      <w:pPr>
        <w:spacing w:line="400" w:lineRule="exact"/>
        <w:ind w:firstLine="420" w:firstLineChars="200"/>
        <w:rPr>
          <w:rFonts w:hint="eastAsia" w:ascii="宋体" w:hAnsi="宋体"/>
          <w:szCs w:val="21"/>
        </w:rPr>
      </w:pPr>
      <w:r>
        <w:rPr>
          <w:rFonts w:hint="eastAsia" w:ascii="宋体" w:hAnsi="宋体"/>
          <w:szCs w:val="21"/>
        </w:rPr>
        <w:t>1）对于三项标准中ISOFIX、ISOFIX位置等儿童座椅相关术语和定义，原则上以GB 27887为基准（参照UN R129的最新版本）。GB 14166和GB 14167中儿童座椅相关术语与GB 27887协调一致；</w:t>
      </w:r>
    </w:p>
    <w:p>
      <w:pPr>
        <w:spacing w:line="400" w:lineRule="exact"/>
        <w:ind w:firstLine="420" w:firstLineChars="200"/>
        <w:rPr>
          <w:rFonts w:hint="eastAsia" w:ascii="宋体" w:hAnsi="宋体"/>
          <w:szCs w:val="21"/>
        </w:rPr>
      </w:pPr>
      <w:r>
        <w:rPr>
          <w:rFonts w:hint="eastAsia" w:ascii="宋体" w:hAnsi="宋体"/>
          <w:szCs w:val="21"/>
        </w:rPr>
        <w:t>2）充分关注针对三项标准修订后可能对整车（含在用车）和儿童座椅产品造成的影响，确保标准的科学性和先进性；</w:t>
      </w:r>
    </w:p>
    <w:p>
      <w:pPr>
        <w:spacing w:line="400" w:lineRule="exact"/>
        <w:ind w:firstLine="420" w:firstLineChars="200"/>
        <w:rPr>
          <w:rFonts w:hint="eastAsia" w:ascii="宋体" w:hAnsi="宋体"/>
          <w:szCs w:val="21"/>
        </w:rPr>
      </w:pPr>
      <w:r>
        <w:rPr>
          <w:rFonts w:hint="eastAsia" w:ascii="宋体" w:hAnsi="宋体"/>
          <w:szCs w:val="21"/>
        </w:rPr>
        <w:t>3）各工作组完善标准草案文本后，相互交换并审校文本的必要部分，以便保证标准间名词术语及其相关技术要求的协调一致。</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2022年1月，召开标准工作组会议，对前期标准修改的内容进行了说明，各成员单位于2022年1月至2月28日期间，对标准文本研提意见。</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2022年3月，标准牵头单位将工作组成员反馈的意见进行集中处理，讨论采纳工作组成员的部分意见，并将结果进行反馈，与各成员达成一致。</w:t>
      </w:r>
    </w:p>
    <w:p>
      <w:pPr>
        <w:numPr>
          <w:ilvl w:val="2"/>
          <w:numId w:val="7"/>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标准征求意见</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2021年4月，将修改完成的标准征求意见稿提交全国汽标委和工信部审核。</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三</w:t>
      </w:r>
      <w:r>
        <w:rPr>
          <w:rFonts w:hint="eastAsia"/>
          <w:b/>
          <w:szCs w:val="21"/>
          <w:lang w:eastAsia="zh-CN"/>
        </w:rPr>
        <w:t>）</w:t>
      </w:r>
      <w:r>
        <w:rPr>
          <w:rFonts w:hint="eastAsia"/>
          <w:b/>
          <w:szCs w:val="21"/>
        </w:rPr>
        <w:t>主要参加单位和工作组成员</w:t>
      </w:r>
    </w:p>
    <w:p>
      <w:pPr>
        <w:spacing w:line="400" w:lineRule="exact"/>
        <w:ind w:firstLine="420" w:firstLineChars="200"/>
        <w:rPr>
          <w:rFonts w:hint="eastAsia" w:ascii="宋体" w:hAnsi="宋体"/>
          <w:szCs w:val="21"/>
        </w:rPr>
      </w:pPr>
      <w:r>
        <w:rPr>
          <w:rFonts w:hint="eastAsia" w:ascii="宋体" w:hAnsi="宋体"/>
          <w:szCs w:val="21"/>
        </w:rPr>
        <w:t>本次标准修订由中国汽车技术研究中心有限公司主持修改，其它的工作组成员单位包括</w:t>
      </w:r>
      <w:bookmarkStart w:id="10" w:name="OLE_LINK293"/>
      <w:bookmarkStart w:id="11" w:name="OLE_LINK294"/>
      <w:r>
        <w:rPr>
          <w:rFonts w:hint="eastAsia" w:ascii="宋体" w:hAnsi="宋体"/>
          <w:szCs w:val="21"/>
          <w:lang w:val="en-US" w:eastAsia="zh-CN"/>
        </w:rPr>
        <w:t>中汽研（天津）汽车检验中心有限公司</w:t>
      </w:r>
      <w:r>
        <w:rPr>
          <w:rFonts w:hint="eastAsia" w:ascii="宋体" w:hAnsi="宋体"/>
          <w:szCs w:val="21"/>
        </w:rPr>
        <w:t>、好</w:t>
      </w:r>
      <w:r>
        <w:rPr>
          <w:rFonts w:hint="eastAsia" w:ascii="宋体" w:hAnsi="宋体"/>
          <w:szCs w:val="21"/>
        </w:rPr>
        <w:t>孩子儿童用品有限公司、麦克英孚（宁波）婴童用品有限公司</w:t>
      </w:r>
      <w:bookmarkEnd w:id="10"/>
      <w:bookmarkEnd w:id="11"/>
      <w:r>
        <w:rPr>
          <w:rFonts w:hint="eastAsia" w:ascii="宋体" w:hAnsi="宋体"/>
          <w:szCs w:val="21"/>
        </w:rPr>
        <w:t>、明门（中国）幼童用品有限公司、</w:t>
      </w:r>
      <w:r>
        <w:rPr>
          <w:rFonts w:hint="eastAsia" w:ascii="宋体" w:hAnsi="宋体"/>
          <w:szCs w:val="21"/>
          <w:lang w:val="en-US" w:eastAsia="zh-CN"/>
        </w:rPr>
        <w:t>亿科测试认证有限公司、中汽研汽车零部件检验中心（宁波）有限公司</w:t>
      </w:r>
      <w:r>
        <w:rPr>
          <w:rFonts w:hint="eastAsia" w:ascii="宋体" w:hAnsi="宋体"/>
          <w:szCs w:val="21"/>
        </w:rPr>
        <w:t>、汕头市宏高汽车用品制造有限公司、宁波环球娃娃婴童用品股份有限公司</w:t>
      </w:r>
      <w:r>
        <w:rPr>
          <w:rFonts w:hint="eastAsia" w:ascii="宋体" w:hAnsi="宋体"/>
          <w:szCs w:val="21"/>
          <w:lang w:val="en-US" w:eastAsia="zh-CN"/>
        </w:rPr>
        <w:t>、</w:t>
      </w:r>
      <w:r>
        <w:rPr>
          <w:rFonts w:hint="eastAsia" w:ascii="宋体" w:hAnsi="宋体"/>
          <w:szCs w:val="21"/>
        </w:rPr>
        <w:t>长春富维安道拓汽车饰件系统有限公司、泛亚汽车技术中心有限公司、上汽大众汽车有限公司、</w:t>
      </w:r>
      <w:r>
        <w:rPr>
          <w:rFonts w:hint="eastAsia" w:ascii="宋体" w:hAnsi="宋体"/>
          <w:szCs w:val="21"/>
          <w:lang w:val="en-US" w:eastAsia="zh-CN"/>
        </w:rPr>
        <w:t>一汽-大众汽车有限公司、</w:t>
      </w:r>
      <w:r>
        <w:rPr>
          <w:rFonts w:hint="eastAsia" w:ascii="宋体" w:hAnsi="宋体"/>
          <w:szCs w:val="21"/>
          <w:lang w:val="pl-PL"/>
        </w:rPr>
        <w:t>大众汽车（中国）投资有限公司</w:t>
      </w:r>
      <w:r>
        <w:rPr>
          <w:rFonts w:hint="eastAsia" w:ascii="宋体" w:hAnsi="宋体"/>
          <w:szCs w:val="21"/>
          <w:lang w:val="pl-PL" w:eastAsia="zh-CN"/>
        </w:rPr>
        <w:t>、</w:t>
      </w:r>
      <w:r>
        <w:rPr>
          <w:rFonts w:hint="eastAsia" w:ascii="宋体" w:hAnsi="宋体"/>
          <w:szCs w:val="21"/>
        </w:rPr>
        <w:t>宝马（中国）服务有限公司、</w:t>
      </w:r>
      <w:r>
        <w:rPr>
          <w:rFonts w:hint="eastAsia" w:ascii="宋体" w:hAnsi="宋体"/>
          <w:szCs w:val="21"/>
          <w:lang w:val="pl-PL"/>
        </w:rPr>
        <w:t>沃尔沃汽车（亚太）投资控股有限公司</w:t>
      </w:r>
      <w:r>
        <w:rPr>
          <w:rFonts w:hint="eastAsia" w:ascii="宋体" w:hAnsi="宋体"/>
          <w:szCs w:val="21"/>
          <w:lang w:val="pl-PL" w:eastAsia="zh-CN"/>
        </w:rPr>
        <w:t>、</w:t>
      </w:r>
      <w:r>
        <w:rPr>
          <w:rFonts w:hint="eastAsia" w:ascii="宋体" w:hAnsi="宋体"/>
          <w:szCs w:val="21"/>
          <w:lang w:val="pl-PL"/>
        </w:rPr>
        <w:t>重庆长安汽车股份有限公司</w:t>
      </w:r>
      <w:r>
        <w:rPr>
          <w:rFonts w:hint="eastAsia" w:ascii="宋体" w:hAnsi="宋体"/>
          <w:szCs w:val="21"/>
          <w:lang w:val="pl-PL" w:eastAsia="zh-CN"/>
        </w:rPr>
        <w:t>、</w:t>
      </w:r>
      <w:r>
        <w:rPr>
          <w:rFonts w:hint="eastAsia" w:ascii="宋体" w:hAnsi="宋体"/>
          <w:szCs w:val="21"/>
          <w:lang w:val="pl-PL"/>
        </w:rPr>
        <w:t>中国第一汽车股份有限公司</w:t>
      </w:r>
      <w:r>
        <w:rPr>
          <w:rFonts w:hint="eastAsia" w:ascii="宋体" w:hAnsi="宋体"/>
          <w:szCs w:val="21"/>
          <w:lang w:val="pl-PL" w:eastAsia="zh-CN"/>
        </w:rPr>
        <w:t>、</w:t>
      </w:r>
      <w:r>
        <w:rPr>
          <w:rFonts w:hint="eastAsia" w:ascii="宋体" w:hAnsi="宋体"/>
          <w:szCs w:val="21"/>
        </w:rPr>
        <w:t>浙江感恩科技股份有限公司、中山市乐瑞婴童用品有限公司</w:t>
      </w:r>
      <w:r>
        <w:rPr>
          <w:rFonts w:hint="eastAsia" w:ascii="宋体" w:hAnsi="宋体"/>
          <w:szCs w:val="21"/>
          <w:lang w:eastAsia="zh-CN"/>
        </w:rPr>
        <w:t>、</w:t>
      </w:r>
      <w:r>
        <w:rPr>
          <w:rFonts w:hint="eastAsia" w:ascii="宋体" w:hAnsi="宋体"/>
          <w:szCs w:val="21"/>
        </w:rPr>
        <w:t>戴姆勒大中华区投资有限公司、宁波惠尔顿婴童安全科技股份有限公司、</w:t>
      </w:r>
      <w:bookmarkStart w:id="12" w:name="OLE_LINK69"/>
      <w:bookmarkStart w:id="13" w:name="OLE_LINK50"/>
      <w:r>
        <w:rPr>
          <w:rFonts w:hint="eastAsia" w:ascii="宋体" w:hAnsi="宋体"/>
          <w:szCs w:val="21"/>
        </w:rPr>
        <w:t>郑州鸿贝婴童用品有限公司</w:t>
      </w:r>
      <w:bookmarkEnd w:id="12"/>
      <w:bookmarkEnd w:id="13"/>
      <w:r>
        <w:rPr>
          <w:rFonts w:hint="eastAsia" w:ascii="宋体" w:hAnsi="宋体"/>
          <w:szCs w:val="21"/>
        </w:rPr>
        <w:t>、</w:t>
      </w:r>
      <w:r>
        <w:rPr>
          <w:rFonts w:hint="eastAsia" w:ascii="宋体" w:hAnsi="宋体"/>
          <w:szCs w:val="21"/>
          <w:lang w:val="en-US" w:eastAsia="zh-CN"/>
        </w:rPr>
        <w:t>欧颂德婴童用品（湖北）有限公司、</w:t>
      </w:r>
      <w:r>
        <w:rPr>
          <w:rFonts w:hint="eastAsia" w:ascii="宋体" w:hAnsi="宋体"/>
          <w:szCs w:val="21"/>
        </w:rPr>
        <w:t>江苏幸运宝贝安全装置制造有限公司等单位。</w:t>
      </w:r>
    </w:p>
    <w:p>
      <w:pPr>
        <w:autoSpaceDE w:val="0"/>
        <w:autoSpaceDN w:val="0"/>
        <w:adjustRightInd w:val="0"/>
        <w:spacing w:line="400" w:lineRule="exact"/>
        <w:ind w:firstLine="480" w:firstLineChars="200"/>
        <w:jc w:val="left"/>
        <w:outlineLvl w:val="0"/>
        <w:rPr>
          <w:rFonts w:hint="eastAsia" w:eastAsia="黑体"/>
          <w:bCs/>
          <w:color w:val="000000"/>
          <w:kern w:val="0"/>
          <w:sz w:val="24"/>
        </w:rPr>
      </w:pPr>
      <w:r>
        <w:rPr>
          <w:rFonts w:hint="eastAsia" w:eastAsia="黑体"/>
          <w:bCs/>
          <w:color w:val="000000"/>
          <w:kern w:val="0"/>
          <w:sz w:val="24"/>
        </w:rPr>
        <w:t>二、标准编制原则</w:t>
      </w:r>
      <w:r>
        <w:rPr>
          <w:rFonts w:hint="default" w:eastAsia="黑体"/>
          <w:bCs/>
          <w:color w:val="000000"/>
          <w:kern w:val="0"/>
          <w:sz w:val="24"/>
          <w:lang w:eastAsia="zh-CN"/>
        </w:rPr>
        <w:t>、强制性国家标准主要技术要求的依据及理由</w:t>
      </w:r>
    </w:p>
    <w:p>
      <w:pPr>
        <w:autoSpaceDE w:val="0"/>
        <w:autoSpaceDN w:val="0"/>
        <w:adjustRightInd w:val="0"/>
        <w:spacing w:line="400" w:lineRule="exact"/>
        <w:ind w:firstLine="422" w:firstLineChars="200"/>
        <w:jc w:val="left"/>
        <w:outlineLvl w:val="0"/>
        <w:rPr>
          <w:rFonts w:hint="eastAsia"/>
          <w:b/>
          <w:szCs w:val="21"/>
          <w:lang w:val="en-US" w:eastAsia="zh-CN"/>
        </w:rPr>
      </w:pPr>
      <w:bookmarkStart w:id="14" w:name="OLE_LINK318"/>
      <w:bookmarkStart w:id="15" w:name="OLE_LINK319"/>
      <w:r>
        <w:rPr>
          <w:rFonts w:hint="eastAsia"/>
          <w:b/>
          <w:szCs w:val="21"/>
          <w:lang w:val="en-US" w:eastAsia="zh-CN"/>
        </w:rPr>
        <w:t>（一）编制原则</w:t>
      </w:r>
    </w:p>
    <w:p>
      <w:pPr>
        <w:spacing w:line="400" w:lineRule="exact"/>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跟随国际上的产品和技术发展趋势</w:t>
      </w:r>
      <w:r>
        <w:rPr>
          <w:rFonts w:hint="eastAsia" w:ascii="宋体" w:hAnsi="宋体"/>
          <w:szCs w:val="21"/>
          <w:lang w:val="en-US" w:eastAsia="zh-CN"/>
        </w:rPr>
        <w:t>对儿童约束系统产品重新定义分类，</w:t>
      </w:r>
      <w:r>
        <w:rPr>
          <w:rFonts w:hint="eastAsia" w:ascii="宋体" w:hAnsi="宋体"/>
          <w:szCs w:val="21"/>
        </w:rPr>
        <w:t>调整儿童约束系统分类，覆盖整体式、非整体式、安全带固定、ISOFIX固定所有</w:t>
      </w:r>
      <w:r>
        <w:rPr>
          <w:rFonts w:hint="eastAsia" w:ascii="宋体" w:hAnsi="宋体"/>
          <w:szCs w:val="21"/>
          <w:lang w:val="en-US" w:eastAsia="zh-CN"/>
        </w:rPr>
        <w:t>型</w:t>
      </w:r>
      <w:r>
        <w:rPr>
          <w:rFonts w:hint="eastAsia" w:ascii="宋体" w:hAnsi="宋体"/>
          <w:szCs w:val="21"/>
        </w:rPr>
        <w:t>式的产品，增加侧碰试验要求，变更试验用假人，完善测试指标；</w:t>
      </w:r>
    </w:p>
    <w:p>
      <w:pPr>
        <w:spacing w:line="400" w:lineRule="exact"/>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充分解决GB 27887-2011版实施过程中的</w:t>
      </w:r>
      <w:r>
        <w:rPr>
          <w:rFonts w:hint="eastAsia" w:ascii="宋体" w:hAnsi="宋体"/>
          <w:szCs w:val="21"/>
          <w:lang w:val="en-US" w:eastAsia="zh-CN"/>
        </w:rPr>
        <w:t>发现的标准描述不清晰、内容不明确等</w:t>
      </w:r>
      <w:r>
        <w:rPr>
          <w:rFonts w:hint="eastAsia" w:ascii="宋体" w:hAnsi="宋体"/>
          <w:szCs w:val="21"/>
        </w:rPr>
        <w:t>问题；</w:t>
      </w:r>
    </w:p>
    <w:p>
      <w:pPr>
        <w:spacing w:line="400" w:lineRule="exact"/>
        <w:ind w:firstLine="420" w:firstLineChars="200"/>
        <w:rPr>
          <w:rFonts w:hint="eastAsia" w:ascii="宋体" w:hAnsi="宋体"/>
          <w:szCs w:val="21"/>
          <w:lang w:eastAsia="zh-CN"/>
        </w:rPr>
      </w:pPr>
      <w:r>
        <w:rPr>
          <w:rFonts w:hint="eastAsia" w:ascii="宋体" w:hAnsi="宋体"/>
          <w:szCs w:val="21"/>
          <w:lang w:val="en-US" w:eastAsia="zh-CN"/>
        </w:rPr>
        <w:t>3.</w:t>
      </w:r>
      <w:r>
        <w:rPr>
          <w:rFonts w:hint="eastAsia" w:ascii="宋体" w:hAnsi="宋体"/>
          <w:szCs w:val="21"/>
        </w:rPr>
        <w:t>标准要利于操作，便于执行</w:t>
      </w:r>
      <w:r>
        <w:rPr>
          <w:rFonts w:hint="eastAsia" w:ascii="宋体" w:hAnsi="宋体"/>
          <w:szCs w:val="21"/>
          <w:lang w:eastAsia="zh-CN"/>
        </w:rPr>
        <w:t>；</w:t>
      </w:r>
    </w:p>
    <w:p>
      <w:pPr>
        <w:spacing w:line="400" w:lineRule="exact"/>
        <w:ind w:firstLine="420" w:firstLineChars="200"/>
        <w:rPr>
          <w:rFonts w:hint="eastAsia" w:ascii="宋体" w:hAnsi="宋体"/>
          <w:szCs w:val="21"/>
        </w:rPr>
      </w:pPr>
      <w:r>
        <w:rPr>
          <w:rFonts w:hint="eastAsia" w:ascii="宋体" w:hAnsi="宋体"/>
          <w:szCs w:val="21"/>
          <w:lang w:val="en-US" w:eastAsia="zh-CN"/>
        </w:rPr>
        <w:t>4.标准与国际接轨，便于中国产品走出去。</w:t>
      </w:r>
    </w:p>
    <w:p>
      <w:pPr>
        <w:autoSpaceDE w:val="0"/>
        <w:autoSpaceDN w:val="0"/>
        <w:adjustRightInd w:val="0"/>
        <w:spacing w:line="400" w:lineRule="exact"/>
        <w:ind w:firstLine="422" w:firstLineChars="200"/>
        <w:jc w:val="left"/>
        <w:outlineLvl w:val="0"/>
        <w:rPr>
          <w:rFonts w:hint="default"/>
          <w:b/>
          <w:szCs w:val="21"/>
          <w:lang w:val="en-US" w:eastAsia="zh-CN"/>
        </w:rPr>
      </w:pPr>
      <w:r>
        <w:rPr>
          <w:rFonts w:hint="eastAsia"/>
          <w:b/>
          <w:szCs w:val="21"/>
          <w:lang w:val="en-US" w:eastAsia="zh-CN"/>
        </w:rPr>
        <w:t>（二）</w:t>
      </w:r>
      <w:r>
        <w:rPr>
          <w:rFonts w:hint="eastAsia"/>
          <w:b/>
          <w:szCs w:val="21"/>
        </w:rPr>
        <w:t>主</w:t>
      </w:r>
      <w:r>
        <w:rPr>
          <w:rFonts w:hint="eastAsia"/>
          <w:b/>
          <w:szCs w:val="21"/>
          <w:lang w:val="en-US" w:eastAsia="zh-CN"/>
        </w:rPr>
        <w:t>要技术要求的依据及理由</w:t>
      </w:r>
    </w:p>
    <w:p>
      <w:pPr>
        <w:numPr>
          <w:ilvl w:val="2"/>
          <w:numId w:val="8"/>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关于儿童约束系统的分组</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本标准更改了原标准中按照体重进行分组的方式，而采用身高规范产品适用区间。原标准采用体重进行分组，有部分体重在不同组别有重叠，经验表明，这样会导致父母给孩子过早地使用下一组别儿童约束系统，从而导致错误使用。</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本标准采用了新的分组方法，即按孩子的身高进行分组，这样，可以根据孩子的体型大小来选择合适的儿童约束系统。因为父母通常更清楚地知道孩子的身高，而不是体重，因此，按孩子的身高进行分类，使父母更容易选择正确的儿童约束系统，这样为孩子选择合适的座椅提供了简单的指导。</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因此，本标准按照儿童身高对应不同儿童约束系统产品提出相应的要求，不再使用原标准的“0组”、“0+组”、“</w:t>
      </w:r>
      <w:r>
        <w:rPr>
          <w:rFonts w:hint="eastAsia" w:ascii="宋体" w:hAnsi="宋体"/>
          <w:szCs w:val="21"/>
          <w:lang w:val="en-US" w:eastAsia="zh-CN"/>
        </w:rPr>
        <w:fldChar w:fldCharType="begin"/>
      </w:r>
      <w:r>
        <w:rPr>
          <w:rFonts w:hint="eastAsia" w:ascii="宋体" w:hAnsi="宋体"/>
          <w:szCs w:val="21"/>
          <w:lang w:val="en-US" w:eastAsia="zh-CN"/>
        </w:rPr>
        <w:instrText xml:space="preserve"> = 1 \* ROMAN \* MERGEFORMAT </w:instrText>
      </w:r>
      <w:r>
        <w:rPr>
          <w:rFonts w:hint="eastAsia" w:ascii="宋体" w:hAnsi="宋体"/>
          <w:szCs w:val="21"/>
          <w:lang w:val="en-US" w:eastAsia="zh-CN"/>
        </w:rPr>
        <w:fldChar w:fldCharType="separate"/>
      </w:r>
      <w:r>
        <w:rPr>
          <w:rFonts w:hint="eastAsia" w:ascii="宋体" w:hAnsi="宋体"/>
          <w:szCs w:val="21"/>
        </w:rPr>
        <w:t>I</w:t>
      </w:r>
      <w:r>
        <w:rPr>
          <w:rFonts w:hint="eastAsia" w:ascii="宋体" w:hAnsi="宋体"/>
          <w:szCs w:val="21"/>
          <w:lang w:val="en-US" w:eastAsia="zh-CN"/>
        </w:rPr>
        <w:fldChar w:fldCharType="end"/>
      </w:r>
      <w:r>
        <w:rPr>
          <w:rFonts w:hint="eastAsia" w:ascii="宋体" w:hAnsi="宋体"/>
          <w:szCs w:val="21"/>
          <w:lang w:val="en-US" w:eastAsia="zh-CN"/>
        </w:rPr>
        <w:t>组”、“</w:t>
      </w:r>
      <w:r>
        <w:rPr>
          <w:rFonts w:hint="eastAsia" w:ascii="宋体" w:hAnsi="宋体"/>
          <w:szCs w:val="21"/>
          <w:lang w:val="en-US" w:eastAsia="zh-CN"/>
        </w:rPr>
        <w:fldChar w:fldCharType="begin"/>
      </w:r>
      <w:r>
        <w:rPr>
          <w:rFonts w:hint="eastAsia" w:ascii="宋体" w:hAnsi="宋体"/>
          <w:szCs w:val="21"/>
          <w:lang w:val="en-US" w:eastAsia="zh-CN"/>
        </w:rPr>
        <w:instrText xml:space="preserve"> = 2 \* ROMAN \* MERGEFORMAT </w:instrText>
      </w:r>
      <w:r>
        <w:rPr>
          <w:rFonts w:hint="eastAsia" w:ascii="宋体" w:hAnsi="宋体"/>
          <w:szCs w:val="21"/>
          <w:lang w:val="en-US" w:eastAsia="zh-CN"/>
        </w:rPr>
        <w:fldChar w:fldCharType="separate"/>
      </w:r>
      <w:r>
        <w:rPr>
          <w:rFonts w:hint="eastAsia" w:ascii="宋体" w:hAnsi="宋体"/>
          <w:szCs w:val="21"/>
        </w:rPr>
        <w:t>II</w:t>
      </w:r>
      <w:r>
        <w:rPr>
          <w:rFonts w:hint="eastAsia" w:ascii="宋体" w:hAnsi="宋体"/>
          <w:szCs w:val="21"/>
          <w:lang w:val="en-US" w:eastAsia="zh-CN"/>
        </w:rPr>
        <w:fldChar w:fldCharType="end"/>
      </w:r>
      <w:r>
        <w:rPr>
          <w:rFonts w:hint="eastAsia" w:ascii="宋体" w:hAnsi="宋体"/>
          <w:szCs w:val="21"/>
          <w:lang w:val="en-US" w:eastAsia="zh-CN"/>
        </w:rPr>
        <w:t>组”、“</w:t>
      </w:r>
      <w:r>
        <w:rPr>
          <w:rFonts w:hint="eastAsia" w:ascii="宋体" w:hAnsi="宋体"/>
          <w:szCs w:val="21"/>
          <w:lang w:val="en-US" w:eastAsia="zh-CN"/>
        </w:rPr>
        <w:fldChar w:fldCharType="begin"/>
      </w:r>
      <w:r>
        <w:rPr>
          <w:rFonts w:hint="eastAsia" w:ascii="宋体" w:hAnsi="宋体"/>
          <w:szCs w:val="21"/>
          <w:lang w:val="en-US" w:eastAsia="zh-CN"/>
        </w:rPr>
        <w:instrText xml:space="preserve"> = 3 \* ROMAN \* MERGEFORMAT </w:instrText>
      </w:r>
      <w:r>
        <w:rPr>
          <w:rFonts w:hint="eastAsia" w:ascii="宋体" w:hAnsi="宋体"/>
          <w:szCs w:val="21"/>
          <w:lang w:val="en-US" w:eastAsia="zh-CN"/>
        </w:rPr>
        <w:fldChar w:fldCharType="separate"/>
      </w:r>
      <w:r>
        <w:rPr>
          <w:rFonts w:hint="eastAsia" w:ascii="宋体" w:hAnsi="宋体"/>
          <w:szCs w:val="21"/>
        </w:rPr>
        <w:t>III</w:t>
      </w:r>
      <w:r>
        <w:rPr>
          <w:rFonts w:hint="eastAsia" w:ascii="宋体" w:hAnsi="宋体"/>
          <w:szCs w:val="21"/>
          <w:lang w:val="en-US" w:eastAsia="zh-CN"/>
        </w:rPr>
        <w:fldChar w:fldCharType="end"/>
      </w:r>
      <w:r>
        <w:rPr>
          <w:rFonts w:hint="eastAsia" w:ascii="宋体" w:hAnsi="宋体"/>
          <w:szCs w:val="21"/>
          <w:lang w:val="en-US" w:eastAsia="zh-CN"/>
        </w:rPr>
        <w:t>组”的用法。</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由儿童约束系统</w:t>
      </w:r>
      <w:r>
        <w:rPr>
          <w:rFonts w:hint="default" w:ascii="宋体" w:hAnsi="宋体"/>
          <w:szCs w:val="21"/>
          <w:lang w:val="en-US" w:eastAsia="zh-CN"/>
        </w:rPr>
        <w:t>制造商</w:t>
      </w:r>
      <w:r>
        <w:rPr>
          <w:rFonts w:hint="eastAsia" w:ascii="宋体" w:hAnsi="宋体"/>
          <w:szCs w:val="21"/>
          <w:lang w:val="en-US" w:eastAsia="zh-CN"/>
        </w:rPr>
        <w:t>来</w:t>
      </w:r>
      <w:r>
        <w:rPr>
          <w:rFonts w:hint="default" w:ascii="宋体" w:hAnsi="宋体"/>
          <w:szCs w:val="21"/>
          <w:lang w:val="en-US" w:eastAsia="zh-CN"/>
        </w:rPr>
        <w:t>确定</w:t>
      </w:r>
      <w:r>
        <w:rPr>
          <w:rFonts w:hint="eastAsia" w:ascii="宋体" w:hAnsi="宋体"/>
          <w:szCs w:val="21"/>
          <w:lang w:val="en-US" w:eastAsia="zh-CN"/>
        </w:rPr>
        <w:t>产品适合的儿童身高范围</w:t>
      </w:r>
      <w:r>
        <w:rPr>
          <w:rFonts w:hint="default" w:ascii="宋体" w:hAnsi="宋体"/>
          <w:szCs w:val="21"/>
          <w:lang w:val="en-US" w:eastAsia="zh-CN"/>
        </w:rPr>
        <w:t>，并在</w:t>
      </w:r>
      <w:r>
        <w:rPr>
          <w:rFonts w:hint="eastAsia" w:ascii="宋体" w:hAnsi="宋体"/>
          <w:szCs w:val="21"/>
          <w:lang w:val="en-US" w:eastAsia="zh-CN"/>
        </w:rPr>
        <w:t>产品上明确标示</w:t>
      </w:r>
      <w:r>
        <w:rPr>
          <w:rFonts w:hint="default" w:ascii="宋体" w:hAnsi="宋体"/>
          <w:szCs w:val="21"/>
          <w:lang w:val="en-US" w:eastAsia="zh-CN"/>
        </w:rPr>
        <w:t>出</w:t>
      </w:r>
      <w:r>
        <w:rPr>
          <w:rFonts w:hint="eastAsia" w:ascii="宋体" w:hAnsi="宋体"/>
          <w:szCs w:val="21"/>
          <w:lang w:val="en-US" w:eastAsia="zh-CN"/>
        </w:rPr>
        <w:t>来</w:t>
      </w:r>
      <w:r>
        <w:rPr>
          <w:rFonts w:hint="default" w:ascii="宋体" w:hAnsi="宋体"/>
          <w:szCs w:val="21"/>
          <w:lang w:val="en-US" w:eastAsia="zh-CN"/>
        </w:rPr>
        <w:t>。</w:t>
      </w:r>
      <w:r>
        <w:rPr>
          <w:rFonts w:hint="eastAsia" w:ascii="宋体" w:hAnsi="宋体"/>
          <w:szCs w:val="21"/>
          <w:lang w:val="en-US" w:eastAsia="zh-CN"/>
        </w:rPr>
        <w:t>按本标准，儿童约束系统</w:t>
      </w:r>
      <w:r>
        <w:rPr>
          <w:rFonts w:hint="default" w:ascii="宋体" w:hAnsi="宋体"/>
          <w:szCs w:val="21"/>
          <w:lang w:val="en-US" w:eastAsia="zh-CN"/>
        </w:rPr>
        <w:t>的内部尺寸</w:t>
      </w:r>
      <w:r>
        <w:rPr>
          <w:rFonts w:hint="eastAsia" w:ascii="宋体" w:hAnsi="宋体"/>
          <w:szCs w:val="21"/>
          <w:lang w:val="en-US" w:eastAsia="zh-CN"/>
        </w:rPr>
        <w:t>需要</w:t>
      </w:r>
      <w:r>
        <w:rPr>
          <w:rFonts w:hint="default" w:ascii="宋体" w:hAnsi="宋体"/>
          <w:szCs w:val="21"/>
          <w:lang w:val="en-US" w:eastAsia="zh-CN"/>
        </w:rPr>
        <w:t>在</w:t>
      </w:r>
      <w:r>
        <w:rPr>
          <w:rFonts w:hint="eastAsia" w:ascii="宋体" w:hAnsi="宋体"/>
          <w:szCs w:val="21"/>
          <w:lang w:val="en-US" w:eastAsia="zh-CN"/>
        </w:rPr>
        <w:t>规定的检具</w:t>
      </w:r>
      <w:r>
        <w:rPr>
          <w:rFonts w:hint="default" w:ascii="宋体" w:hAnsi="宋体"/>
          <w:szCs w:val="21"/>
          <w:lang w:val="en-US" w:eastAsia="zh-CN"/>
        </w:rPr>
        <w:t>内进行检查，确保在</w:t>
      </w:r>
      <w:r>
        <w:rPr>
          <w:rFonts w:hint="eastAsia" w:ascii="宋体" w:hAnsi="宋体"/>
          <w:szCs w:val="21"/>
          <w:lang w:val="en-US" w:eastAsia="zh-CN"/>
        </w:rPr>
        <w:t>产品全部</w:t>
      </w:r>
      <w:r>
        <w:rPr>
          <w:rFonts w:hint="default" w:ascii="宋体" w:hAnsi="宋体"/>
          <w:szCs w:val="21"/>
          <w:lang w:val="en-US" w:eastAsia="zh-CN"/>
        </w:rPr>
        <w:t>指定</w:t>
      </w:r>
      <w:r>
        <w:rPr>
          <w:rFonts w:hint="eastAsia" w:ascii="宋体" w:hAnsi="宋体"/>
          <w:szCs w:val="21"/>
          <w:lang w:val="en-US" w:eastAsia="zh-CN"/>
        </w:rPr>
        <w:t>身高</w:t>
      </w:r>
      <w:r>
        <w:rPr>
          <w:rFonts w:hint="default" w:ascii="宋体" w:hAnsi="宋体"/>
          <w:szCs w:val="21"/>
          <w:lang w:val="en-US" w:eastAsia="zh-CN"/>
        </w:rPr>
        <w:t>尺寸范围内的可用性。除了尺寸范围外，还</w:t>
      </w:r>
      <w:r>
        <w:rPr>
          <w:rFonts w:hint="eastAsia" w:ascii="宋体" w:hAnsi="宋体"/>
          <w:szCs w:val="21"/>
          <w:lang w:val="en-US" w:eastAsia="zh-CN"/>
        </w:rPr>
        <w:t>规定</w:t>
      </w:r>
      <w:r>
        <w:rPr>
          <w:rFonts w:hint="default" w:ascii="宋体" w:hAnsi="宋体"/>
          <w:szCs w:val="21"/>
          <w:lang w:val="en-US" w:eastAsia="zh-CN"/>
        </w:rPr>
        <w:t>了可以使用</w:t>
      </w:r>
      <w:r>
        <w:rPr>
          <w:rFonts w:hint="eastAsia" w:ascii="宋体" w:hAnsi="宋体"/>
          <w:szCs w:val="21"/>
          <w:lang w:val="en-US" w:eastAsia="zh-CN"/>
        </w:rPr>
        <w:t>儿童约束系统的</w:t>
      </w:r>
      <w:r>
        <w:rPr>
          <w:rFonts w:hint="default" w:ascii="宋体" w:hAnsi="宋体"/>
          <w:szCs w:val="21"/>
          <w:lang w:val="en-US" w:eastAsia="zh-CN"/>
        </w:rPr>
        <w:t>最大重量。这样，就可以确保所有与安全相关的部件，以及车辆</w:t>
      </w:r>
      <w:r>
        <w:rPr>
          <w:rFonts w:hint="eastAsia" w:ascii="宋体" w:hAnsi="宋体"/>
          <w:szCs w:val="21"/>
          <w:lang w:val="en-US" w:eastAsia="zh-CN"/>
        </w:rPr>
        <w:t>相关</w:t>
      </w:r>
      <w:r>
        <w:rPr>
          <w:rFonts w:hint="default" w:ascii="宋体" w:hAnsi="宋体"/>
          <w:szCs w:val="21"/>
          <w:lang w:val="en-US" w:eastAsia="zh-CN"/>
        </w:rPr>
        <w:t>部件，都能</w:t>
      </w:r>
      <w:r>
        <w:rPr>
          <w:rFonts w:hint="eastAsia" w:ascii="宋体" w:hAnsi="宋体"/>
          <w:szCs w:val="21"/>
          <w:lang w:val="en-US" w:eastAsia="zh-CN"/>
        </w:rPr>
        <w:t>保证应有的安全性</w:t>
      </w:r>
      <w:r>
        <w:rPr>
          <w:rFonts w:hint="default" w:ascii="宋体" w:hAnsi="宋体"/>
          <w:szCs w:val="21"/>
          <w:lang w:val="en-US" w:eastAsia="zh-CN"/>
        </w:rPr>
        <w:t>。</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标准中对于按照身高使用的相关规定如下：</w:t>
      </w:r>
    </w:p>
    <w:p>
      <w:pPr>
        <w:spacing w:line="400" w:lineRule="exact"/>
        <w:ind w:firstLine="420" w:firstLineChars="200"/>
        <w:rPr>
          <w:rFonts w:hint="eastAsia" w:ascii="宋体" w:hAnsi="宋体"/>
          <w:szCs w:val="21"/>
          <w:lang w:val="en-US" w:eastAsia="zh-CN"/>
        </w:rPr>
      </w:pPr>
      <w:r>
        <w:rPr>
          <w:rFonts w:hint="eastAsia" w:ascii="宋体" w:hAnsi="宋体"/>
          <w:szCs w:val="21"/>
        </w:rPr>
        <mc:AlternateContent>
          <mc:Choice Requires="wps">
            <w:drawing>
              <wp:anchor distT="0" distB="0" distL="114935" distR="114935" simplePos="0" relativeHeight="251660288" behindDoc="0" locked="0" layoutInCell="1" allowOverlap="1">
                <wp:simplePos x="0" y="0"/>
                <wp:positionH relativeFrom="column">
                  <wp:posOffset>174625</wp:posOffset>
                </wp:positionH>
                <wp:positionV relativeFrom="paragraph">
                  <wp:posOffset>200025</wp:posOffset>
                </wp:positionV>
                <wp:extent cx="5402580" cy="3689350"/>
                <wp:effectExtent l="5080" t="4445" r="15240" b="14605"/>
                <wp:wrapNone/>
                <wp:docPr id="7" name="文本框 7"/>
                <wp:cNvGraphicFramePr/>
                <a:graphic xmlns:a="http://schemas.openxmlformats.org/drawingml/2006/main">
                  <a:graphicData uri="http://schemas.microsoft.com/office/word/2010/wordprocessingShape">
                    <wps:wsp>
                      <wps:cNvSpPr txBox="1"/>
                      <wps:spPr>
                        <a:xfrm>
                          <a:off x="1207770" y="7396480"/>
                          <a:ext cx="5402580" cy="3689350"/>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5.75pt;height:290.5pt;width:425.4pt;z-index:251660288;mso-width-relative:page;mso-height-relative:page;" filled="f" stroked="t" coordsize="21600,21600" o:gfxdata="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vg&#10;ArLZAAAACQEAAA8AAAAAAAAAAQAgAAAAIgAAAGRycy9kb3ducmV2LnhtbFBLAQIUABQAAAAIAIdO&#10;4kDxW+LyWwIAAJsEAAAOAAAAAAAAAAEAIAAAACgBAABkcnMvZTJvRG9jLnhtbFBLBQYAAAAABgAG&#10;AFkBAAD1BQAAAAA=&#10;">
                <v:fill on="f" focussize="0,0"/>
                <v:stroke weight="0.25pt" color="#000000 [3204]" joinstyle="round"/>
                <v:imagedata o:title=""/>
                <o:lock v:ext="edit" aspectratio="f"/>
                <v:textbox>
                  <w:txbxContent>
                    <w:p/>
                  </w:txbxContent>
                </v:textbox>
              </v:shape>
            </w:pict>
          </mc:Fallback>
        </mc:AlternateContent>
      </w:r>
    </w:p>
    <w:p>
      <w:pPr>
        <w:pStyle w:val="42"/>
        <w:widowControl/>
        <w:numPr>
          <w:ilvl w:val="-1"/>
          <w:numId w:val="0"/>
        </w:numPr>
        <w:snapToGrid w:val="0"/>
        <w:spacing w:before="0" w:beforeLines="0" w:beforeAutospacing="0" w:after="0" w:afterLines="0" w:afterAutospacing="0" w:line="360" w:lineRule="auto"/>
        <w:ind w:left="0" w:right="0" w:firstLine="420" w:firstLineChars="200"/>
        <w:rPr>
          <w:rFonts w:hint="eastAsia" w:ascii="宋体" w:hAnsi="Times New Roman" w:eastAsia="宋体" w:cs="宋体"/>
          <w:sz w:val="21"/>
          <w:szCs w:val="21"/>
          <w:lang w:val="en-US"/>
        </w:rPr>
      </w:pPr>
      <w:r>
        <w:rPr>
          <w:rFonts w:hint="eastAsia" w:ascii="黑体" w:hAnsi="黑体" w:eastAsia="黑体" w:cs="黑体"/>
          <w:szCs w:val="21"/>
          <w:lang w:val="en-US" w:eastAsia="zh-CN"/>
        </w:rPr>
        <w:t>4.1.2.6</w:t>
      </w:r>
      <w:r>
        <w:rPr>
          <w:rFonts w:hint="eastAsia" w:ascii="宋体" w:eastAsia="宋体" w:cs="宋体"/>
          <w:sz w:val="21"/>
          <w:szCs w:val="21"/>
          <w:lang w:val="en-US" w:eastAsia="zh-CN"/>
        </w:rPr>
        <w:t xml:space="preserve"> </w:t>
      </w:r>
      <w:r>
        <w:rPr>
          <w:rFonts w:hint="eastAsia" w:ascii="宋体" w:hAnsi="Times New Roman" w:eastAsia="宋体" w:cs="宋体"/>
          <w:sz w:val="21"/>
          <w:szCs w:val="21"/>
          <w:lang w:eastAsia="zh-CN"/>
        </w:rPr>
        <w:t>年龄不超过</w:t>
      </w:r>
      <w:r>
        <w:rPr>
          <w:rFonts w:hint="eastAsia" w:ascii="宋体" w:hAnsi="Times New Roman" w:eastAsia="宋体" w:cs="宋体"/>
          <w:sz w:val="21"/>
          <w:szCs w:val="21"/>
          <w:lang w:val="en-US"/>
        </w:rPr>
        <w:t>15</w:t>
      </w:r>
      <w:r>
        <w:rPr>
          <w:rFonts w:hint="eastAsia" w:ascii="宋体" w:hAnsi="Times New Roman" w:eastAsia="宋体" w:cs="宋体"/>
          <w:sz w:val="21"/>
          <w:szCs w:val="21"/>
          <w:lang w:eastAsia="zh-CN"/>
        </w:rPr>
        <w:t>个月的儿童应使用侧向或后向安装的儿童约束系统。即：</w:t>
      </w:r>
    </w:p>
    <w:p>
      <w:pPr>
        <w:pStyle w:val="9"/>
        <w:widowControl/>
        <w:snapToGrid w:val="0"/>
        <w:spacing w:beforeLines="0" w:afterLines="0" w:line="360" w:lineRule="auto"/>
        <w:ind w:left="0" w:firstLine="424" w:firstLineChars="202"/>
        <w:rPr>
          <w:rFonts w:hAnsi="宋体"/>
          <w:sz w:val="21"/>
          <w:szCs w:val="21"/>
          <w:lang w:val="en-US"/>
        </w:rPr>
      </w:pPr>
      <w:r>
        <w:rPr>
          <w:sz w:val="21"/>
          <w:szCs w:val="21"/>
          <w:lang w:val="en-US"/>
        </w:rPr>
        <w:t>a</w:t>
      </w:r>
      <w:r>
        <w:rPr>
          <w:sz w:val="21"/>
          <w:szCs w:val="21"/>
          <w:lang w:eastAsia="zh-CN"/>
        </w:rPr>
        <w:t>）</w:t>
      </w:r>
      <w:r>
        <w:rPr>
          <w:rFonts w:hAnsi="宋体"/>
          <w:sz w:val="21"/>
          <w:szCs w:val="21"/>
          <w:lang w:eastAsia="zh-CN"/>
        </w:rPr>
        <w:t>适用年龄范围达到</w:t>
      </w:r>
      <w:r>
        <w:rPr>
          <w:rFonts w:hAnsi="宋体"/>
          <w:sz w:val="21"/>
          <w:szCs w:val="21"/>
          <w:lang w:val="en-US"/>
        </w:rPr>
        <w:t>15</w:t>
      </w:r>
      <w:r>
        <w:rPr>
          <w:rFonts w:hAnsi="宋体"/>
          <w:sz w:val="21"/>
          <w:szCs w:val="21"/>
          <w:lang w:eastAsia="zh-CN"/>
        </w:rPr>
        <w:t>个月的后向安装儿童约束系统，适用身高范围的上限应不低于</w:t>
      </w:r>
      <w:r>
        <w:rPr>
          <w:rFonts w:hAnsi="宋体"/>
          <w:sz w:val="21"/>
          <w:szCs w:val="21"/>
          <w:lang w:val="en-US"/>
        </w:rPr>
        <w:t>83cm</w:t>
      </w:r>
      <w:r>
        <w:rPr>
          <w:rFonts w:hAnsi="宋体"/>
          <w:sz w:val="21"/>
          <w:szCs w:val="21"/>
          <w:lang w:eastAsia="zh-CN"/>
        </w:rPr>
        <w:t>；</w:t>
      </w:r>
    </w:p>
    <w:p>
      <w:pPr>
        <w:pStyle w:val="9"/>
        <w:widowControl/>
        <w:snapToGrid w:val="0"/>
        <w:spacing w:beforeLines="0" w:afterLines="0" w:line="360" w:lineRule="auto"/>
        <w:ind w:left="0" w:firstLine="424" w:firstLineChars="202"/>
        <w:rPr>
          <w:lang w:val="en-US"/>
        </w:rPr>
      </w:pPr>
      <w:r>
        <w:rPr>
          <w:sz w:val="21"/>
          <w:szCs w:val="21"/>
          <w:lang w:val="en-US"/>
        </w:rPr>
        <w:t>b</w:t>
      </w:r>
      <w:r>
        <w:rPr>
          <w:sz w:val="21"/>
          <w:szCs w:val="21"/>
          <w:lang w:eastAsia="zh-CN"/>
        </w:rPr>
        <w:t>）</w:t>
      </w:r>
      <w:r>
        <w:rPr>
          <w:rFonts w:hAnsi="宋体"/>
          <w:sz w:val="21"/>
          <w:szCs w:val="21"/>
          <w:lang w:eastAsia="zh-CN"/>
        </w:rPr>
        <w:t>前向安装的儿童约束系</w:t>
      </w:r>
      <w:r>
        <w:rPr>
          <w:rFonts w:hAnsi="宋体"/>
          <w:lang w:eastAsia="zh-CN"/>
        </w:rPr>
        <w:t>统，适用身高范围的下限应不低于</w:t>
      </w:r>
      <w:r>
        <w:rPr>
          <w:rFonts w:hAnsi="宋体"/>
          <w:lang w:val="en-US"/>
        </w:rPr>
        <w:t>76cm</w:t>
      </w:r>
      <w:r>
        <w:rPr>
          <w:rFonts w:hAnsi="宋体"/>
          <w:lang w:eastAsia="zh-CN"/>
        </w:rPr>
        <w:t>；</w:t>
      </w:r>
    </w:p>
    <w:p>
      <w:pPr>
        <w:keepNext w:val="0"/>
        <w:keepLines w:val="0"/>
        <w:widowControl w:val="0"/>
        <w:suppressLineNumbers w:val="0"/>
        <w:snapToGrid w:val="0"/>
        <w:spacing w:before="0" w:beforeLines="0" w:beforeAutospacing="0" w:after="0" w:afterLines="0" w:afterAutospacing="0" w:line="360" w:lineRule="auto"/>
        <w:ind w:left="0" w:right="0" w:firstLine="420" w:firstLineChars="200"/>
        <w:jc w:val="both"/>
        <w:rPr>
          <w:rFonts w:hint="eastAsia" w:ascii="宋体" w:hAnsi="宋体" w:eastAsia="宋体" w:cs="宋体"/>
          <w:kern w:val="0"/>
          <w:sz w:val="21"/>
          <w:szCs w:val="20"/>
          <w:lang w:val="en-US" w:eastAsia="zh-CN" w:bidi="ar"/>
        </w:rPr>
      </w:pPr>
      <w:r>
        <w:rPr>
          <w:rFonts w:hint="default" w:ascii="Times New Roman" w:hAnsi="Times New Roman" w:eastAsia="宋体" w:cs="Times New Roman"/>
          <w:kern w:val="2"/>
          <w:sz w:val="21"/>
          <w:szCs w:val="24"/>
          <w:lang w:val="en-US" w:eastAsia="zh-CN" w:bidi="ar"/>
        </w:rPr>
        <w:t>c</w:t>
      </w:r>
      <w:r>
        <w:rPr>
          <w:rFonts w:hint="eastAsia" w:ascii="Times New Roman" w:hAnsi="Times New Roman" w:eastAsia="宋体" w:cs="宋体"/>
          <w:kern w:val="2"/>
          <w:sz w:val="21"/>
          <w:szCs w:val="24"/>
          <w:lang w:val="en-US" w:eastAsia="zh-CN" w:bidi="ar"/>
        </w:rPr>
        <w:t>）</w:t>
      </w:r>
      <w:r>
        <w:rPr>
          <w:rFonts w:hint="eastAsia" w:ascii="宋体" w:hAnsi="宋体" w:eastAsia="宋体" w:cs="宋体"/>
          <w:kern w:val="0"/>
          <w:sz w:val="21"/>
          <w:szCs w:val="20"/>
          <w:lang w:val="en-US" w:eastAsia="zh-CN" w:bidi="ar"/>
        </w:rPr>
        <w:t>前后转换安装的儿童约束系统，后向安装时适用身高范围的上限应不低于83cm。</w:t>
      </w:r>
    </w:p>
    <w:p>
      <w:pPr>
        <w:keepNext w:val="0"/>
        <w:keepLines w:val="0"/>
        <w:widowControl w:val="0"/>
        <w:suppressLineNumbers w:val="0"/>
        <w:snapToGrid w:val="0"/>
        <w:spacing w:before="0" w:beforeLines="0" w:beforeAutospacing="0" w:after="0" w:afterLines="0" w:afterAutospacing="0" w:line="360" w:lineRule="auto"/>
        <w:ind w:left="0" w:right="0" w:firstLine="420" w:firstLineChars="200"/>
        <w:jc w:val="both"/>
        <w:rPr>
          <w:rFonts w:hint="eastAsia" w:ascii="宋体" w:hAnsi="宋体" w:cs="Times New Roman"/>
          <w:kern w:val="2"/>
          <w:sz w:val="21"/>
          <w:szCs w:val="20"/>
          <w:lang w:val="en-US" w:eastAsia="zh-CN" w:bidi="ar"/>
        </w:rPr>
      </w:pPr>
      <w:r>
        <w:rPr>
          <w:rFonts w:hint="eastAsia" w:ascii="黑体" w:hAnsi="黑体" w:eastAsia="黑体" w:cs="黑体"/>
          <w:kern w:val="0"/>
          <w:sz w:val="21"/>
          <w:szCs w:val="20"/>
          <w:lang w:val="en-US" w:eastAsia="zh-CN" w:bidi="ar"/>
        </w:rPr>
        <w:t xml:space="preserve">4.1.2.7 </w:t>
      </w:r>
      <w:r>
        <w:rPr>
          <w:rFonts w:hint="eastAsia" w:ascii="宋体" w:hAnsi="宋体" w:eastAsia="宋体" w:cs="Times New Roman"/>
          <w:kern w:val="2"/>
          <w:sz w:val="21"/>
          <w:szCs w:val="20"/>
          <w:lang w:val="en-US" w:eastAsia="zh-CN" w:bidi="ar"/>
        </w:rPr>
        <w:t>婴儿提篮所适用儿童身高不得超过87cm</w:t>
      </w:r>
      <w:r>
        <w:rPr>
          <w:rFonts w:hint="eastAsia" w:ascii="宋体" w:hAnsi="宋体" w:cs="Times New Roman"/>
          <w:kern w:val="2"/>
          <w:sz w:val="21"/>
          <w:szCs w:val="20"/>
          <w:lang w:val="en-US" w:eastAsia="zh-CN" w:bidi="ar"/>
        </w:rPr>
        <w:t>。</w:t>
      </w:r>
    </w:p>
    <w:p>
      <w:pPr>
        <w:pStyle w:val="13"/>
        <w:keepNext w:val="0"/>
        <w:keepLines w:val="0"/>
        <w:widowControl/>
        <w:numPr>
          <w:ilvl w:val="-1"/>
          <w:numId w:val="0"/>
        </w:numPr>
        <w:suppressLineNumbers w:val="0"/>
        <w:snapToGrid w:val="0"/>
        <w:spacing w:before="0" w:beforeLines="0" w:beforeAutospacing="0" w:after="0" w:afterLines="0" w:afterAutospacing="0" w:line="360" w:lineRule="auto"/>
        <w:ind w:left="0" w:right="0" w:firstLine="420" w:firstLineChars="200"/>
        <w:jc w:val="left"/>
        <w:outlineLvl w:val="4"/>
        <w:rPr>
          <w:rFonts w:hint="eastAsia" w:ascii="宋体" w:hAnsi="宋体" w:eastAsia="宋体" w:cs="宋体"/>
          <w:lang w:val="en-US"/>
        </w:rPr>
      </w:pPr>
      <w:r>
        <w:rPr>
          <w:rFonts w:hint="eastAsia" w:ascii="黑体" w:hAnsi="黑体" w:eastAsia="黑体" w:cs="黑体"/>
          <w:kern w:val="0"/>
          <w:sz w:val="21"/>
          <w:szCs w:val="21"/>
          <w:lang w:val="en-US" w:eastAsia="zh-CN" w:bidi="ar"/>
        </w:rPr>
        <w:t xml:space="preserve">4.1.3.3 </w:t>
      </w:r>
      <w:r>
        <w:rPr>
          <w:rFonts w:hint="eastAsia" w:ascii="宋体" w:hAnsi="宋体" w:eastAsia="宋体" w:cs="宋体"/>
          <w:kern w:val="0"/>
          <w:sz w:val="21"/>
          <w:szCs w:val="21"/>
          <w:lang w:val="en-US" w:eastAsia="zh-CN" w:bidi="ar"/>
        </w:rPr>
        <w:t>非整体式儿童约束系统应满足以下要求：</w:t>
      </w:r>
    </w:p>
    <w:p>
      <w:pPr>
        <w:pStyle w:val="13"/>
        <w:keepNext w:val="0"/>
        <w:keepLines w:val="0"/>
        <w:widowControl w:val="0"/>
        <w:suppressLineNumbers w:val="0"/>
        <w:tabs>
          <w:tab w:val="right" w:leader="dot" w:pos="9241"/>
        </w:tabs>
        <w:snapToGrid w:val="0"/>
        <w:spacing w:before="0" w:beforeLines="0" w:beforeAutospacing="0" w:after="0" w:afterLines="0" w:afterAutospacing="0" w:line="360" w:lineRule="auto"/>
        <w:ind w:left="0" w:right="0" w:firstLine="420" w:firstLineChars="200"/>
        <w:jc w:val="left"/>
        <w:rPr>
          <w:rFonts w:hAnsi="宋体"/>
          <w:lang w:val="en-US"/>
        </w:rPr>
      </w:pPr>
      <w:r>
        <w:rPr>
          <w:rFonts w:hint="eastAsia" w:ascii="宋体" w:hAnsi="宋体" w:eastAsia="宋体" w:cs="Times New Roman"/>
          <w:kern w:val="2"/>
          <w:sz w:val="21"/>
          <w:szCs w:val="21"/>
          <w:lang w:val="en-US" w:eastAsia="zh-CN" w:bidi="ar"/>
        </w:rPr>
        <w:t>a）适用儿童身高范围的下限不应低于100cm；</w:t>
      </w:r>
    </w:p>
    <w:p>
      <w:pPr>
        <w:pStyle w:val="13"/>
        <w:keepNext w:val="0"/>
        <w:keepLines w:val="0"/>
        <w:widowControl w:val="0"/>
        <w:suppressLineNumbers w:val="0"/>
        <w:tabs>
          <w:tab w:val="right" w:leader="dot" w:pos="9241"/>
        </w:tabs>
        <w:snapToGrid w:val="0"/>
        <w:spacing w:before="0" w:beforeLines="0" w:beforeAutospacing="0" w:after="0" w:afterLines="0" w:afterAutospacing="0" w:line="360" w:lineRule="auto"/>
        <w:ind w:left="0" w:right="0" w:firstLine="424" w:firstLineChars="202"/>
        <w:jc w:val="left"/>
        <w:rPr>
          <w:rFonts w:hAnsi="宋体"/>
          <w:lang w:val="en-US"/>
        </w:rPr>
      </w:pPr>
      <w:r>
        <w:rPr>
          <w:rFonts w:hint="eastAsia" w:ascii="宋体" w:hAnsi="宋体" w:eastAsia="宋体" w:cs="Times New Roman"/>
          <w:kern w:val="2"/>
          <w:sz w:val="21"/>
          <w:szCs w:val="21"/>
          <w:lang w:val="en-US" w:eastAsia="zh-CN" w:bidi="ar"/>
        </w:rPr>
        <w:t>b）适用儿童身高范围的上限应大于105cm；</w:t>
      </w:r>
    </w:p>
    <w:p>
      <w:pPr>
        <w:pStyle w:val="13"/>
        <w:keepNext w:val="0"/>
        <w:keepLines w:val="0"/>
        <w:widowControl w:val="0"/>
        <w:suppressLineNumbers w:val="0"/>
        <w:tabs>
          <w:tab w:val="right" w:leader="dot" w:pos="9241"/>
        </w:tabs>
        <w:snapToGrid w:val="0"/>
        <w:spacing w:before="0" w:beforeLines="0" w:beforeAutospacing="0" w:after="0" w:afterLines="0" w:afterAutospacing="0" w:line="360" w:lineRule="auto"/>
        <w:ind w:left="0" w:right="0" w:firstLine="424" w:firstLineChars="202"/>
        <w:jc w:val="left"/>
        <w:rPr>
          <w:rFonts w:hAnsi="宋体"/>
          <w:lang w:val="en-US"/>
        </w:rPr>
      </w:pPr>
      <w:r>
        <w:rPr>
          <w:rFonts w:hint="eastAsia" w:ascii="宋体" w:hAnsi="宋体" w:eastAsia="宋体" w:cs="Times New Roman"/>
          <w:kern w:val="2"/>
          <w:sz w:val="21"/>
          <w:szCs w:val="21"/>
          <w:lang w:val="en-US" w:eastAsia="zh-CN" w:bidi="ar"/>
        </w:rPr>
        <w:t>c）适用儿童身高不超过135cm的儿童约束系统应符合</w:t>
      </w:r>
      <w:bookmarkStart w:id="16" w:name="OLE_LINK374"/>
      <w:r>
        <w:rPr>
          <w:rFonts w:hint="eastAsia" w:ascii="宋体" w:hAnsi="宋体" w:eastAsia="宋体" w:cs="Times New Roman"/>
          <w:kern w:val="2"/>
          <w:sz w:val="21"/>
          <w:szCs w:val="21"/>
          <w:lang w:val="en-US" w:eastAsia="zh-CN" w:bidi="ar"/>
        </w:rPr>
        <w:t>5.1.</w:t>
      </w:r>
      <w:bookmarkEnd w:id="16"/>
      <w:r>
        <w:rPr>
          <w:rFonts w:hint="eastAsia" w:ascii="宋体" w:hAnsi="宋体" w:eastAsia="宋体" w:cs="Times New Roman"/>
          <w:kern w:val="2"/>
          <w:sz w:val="21"/>
          <w:szCs w:val="21"/>
          <w:lang w:val="en-US" w:eastAsia="zh-CN" w:bidi="ar"/>
        </w:rPr>
        <w:t>4.5规定的侧面碰撞保护要求；</w:t>
      </w:r>
    </w:p>
    <w:p>
      <w:pPr>
        <w:keepNext w:val="0"/>
        <w:keepLines w:val="0"/>
        <w:widowControl/>
        <w:suppressLineNumbers w:val="0"/>
        <w:snapToGrid w:val="0"/>
        <w:spacing w:beforeLines="0" w:afterLines="0" w:line="360" w:lineRule="auto"/>
        <w:ind w:left="420" w:leftChars="200" w:firstLine="0" w:firstLineChars="0"/>
        <w:jc w:val="left"/>
        <w:rPr>
          <w:rFonts w:hint="eastAsia" w:hAnsi="宋体" w:cs="Times New Roman"/>
          <w:color w:val="auto"/>
          <w:kern w:val="2"/>
          <w:sz w:val="21"/>
          <w:szCs w:val="24"/>
          <w:lang w:val="en-US" w:eastAsia="zh-CN" w:bidi="ar"/>
        </w:rPr>
      </w:pPr>
      <w:r>
        <w:rPr>
          <w:rFonts w:hint="eastAsia" w:ascii="宋体" w:hAnsi="宋体" w:eastAsia="宋体" w:cs="宋体"/>
          <w:kern w:val="2"/>
          <w:sz w:val="21"/>
          <w:szCs w:val="24"/>
          <w:lang w:val="en-US" w:eastAsia="zh-CN" w:bidi="ar"/>
        </w:rPr>
        <w:t>d）</w:t>
      </w:r>
      <w:r>
        <w:rPr>
          <w:rFonts w:hint="eastAsia" w:ascii="Times New Roman" w:hAnsi="宋体" w:eastAsia="宋体" w:cs="Times New Roman"/>
          <w:kern w:val="2"/>
          <w:sz w:val="21"/>
          <w:szCs w:val="24"/>
          <w:lang w:val="en-US" w:eastAsia="zh-CN" w:bidi="ar"/>
        </w:rPr>
        <w:t>儿童约束系统适用儿童的身高范围不应间断，例如：增高椅适用的身高范围不应是“</w:t>
      </w:r>
      <w:r>
        <w:rPr>
          <w:rFonts w:hint="default" w:ascii="Times New Roman" w:hAnsi="宋体" w:eastAsia="宋体" w:cs="Times New Roman"/>
          <w:color w:val="auto"/>
          <w:kern w:val="2"/>
          <w:sz w:val="21"/>
          <w:szCs w:val="24"/>
          <w:lang w:val="en-US" w:eastAsia="zh-CN" w:bidi="ar"/>
        </w:rPr>
        <w:t>100cm</w:t>
      </w:r>
      <w:r>
        <w:rPr>
          <w:rFonts w:hint="eastAsia" w:ascii="Times New Roman" w:hAnsi="宋体" w:eastAsia="宋体" w:cs="Times New Roman"/>
          <w:color w:val="auto"/>
          <w:kern w:val="2"/>
          <w:sz w:val="21"/>
          <w:szCs w:val="24"/>
          <w:lang w:val="en-US" w:eastAsia="zh-CN" w:bidi="ar"/>
        </w:rPr>
        <w:t>～</w:t>
      </w:r>
      <w:r>
        <w:rPr>
          <w:rFonts w:hint="default" w:ascii="Times New Roman" w:hAnsi="宋体" w:eastAsia="宋体" w:cs="Times New Roman"/>
          <w:color w:val="auto"/>
          <w:kern w:val="2"/>
          <w:sz w:val="21"/>
          <w:szCs w:val="24"/>
          <w:lang w:val="en-US" w:eastAsia="zh-CN" w:bidi="ar"/>
        </w:rPr>
        <w:t>130cm</w:t>
      </w:r>
      <w:r>
        <w:rPr>
          <w:rFonts w:hint="eastAsia" w:ascii="Times New Roman" w:hAnsi="宋体" w:eastAsia="宋体" w:cs="Times New Roman"/>
          <w:color w:val="auto"/>
          <w:kern w:val="2"/>
          <w:sz w:val="21"/>
          <w:szCs w:val="24"/>
          <w:lang w:val="en-US" w:eastAsia="zh-CN" w:bidi="ar"/>
        </w:rPr>
        <w:t>和</w:t>
      </w:r>
      <w:r>
        <w:rPr>
          <w:rFonts w:hint="default" w:ascii="Times New Roman" w:hAnsi="宋体" w:eastAsia="宋体" w:cs="Times New Roman"/>
          <w:color w:val="auto"/>
          <w:kern w:val="2"/>
          <w:sz w:val="21"/>
          <w:szCs w:val="24"/>
          <w:lang w:val="en-US" w:eastAsia="zh-CN" w:bidi="ar"/>
        </w:rPr>
        <w:t>140cm</w:t>
      </w:r>
      <w:r>
        <w:rPr>
          <w:rFonts w:hint="eastAsia" w:ascii="Times New Roman" w:hAnsi="宋体" w:eastAsia="宋体" w:cs="Times New Roman"/>
          <w:color w:val="auto"/>
          <w:kern w:val="2"/>
          <w:sz w:val="21"/>
          <w:szCs w:val="24"/>
          <w:lang w:val="en-US" w:eastAsia="zh-CN" w:bidi="ar"/>
        </w:rPr>
        <w:t>～</w:t>
      </w:r>
      <w:r>
        <w:rPr>
          <w:rFonts w:hint="default" w:ascii="Times New Roman" w:hAnsi="宋体" w:eastAsia="宋体" w:cs="Times New Roman"/>
          <w:color w:val="auto"/>
          <w:kern w:val="2"/>
          <w:sz w:val="21"/>
          <w:szCs w:val="24"/>
          <w:lang w:val="en-US" w:eastAsia="zh-CN" w:bidi="ar"/>
        </w:rPr>
        <w:t>150cm</w:t>
      </w:r>
      <w:r>
        <w:rPr>
          <w:rFonts w:hint="eastAsia" w:ascii="Times New Roman" w:hAnsi="宋体" w:eastAsia="宋体" w:cs="Times New Roman"/>
          <w:color w:val="auto"/>
          <w:kern w:val="2"/>
          <w:sz w:val="21"/>
          <w:szCs w:val="24"/>
          <w:lang w:val="en-US" w:eastAsia="zh-CN" w:bidi="ar"/>
        </w:rPr>
        <w:t>”</w:t>
      </w:r>
      <w:r>
        <w:rPr>
          <w:rFonts w:hint="eastAsia" w:hAnsi="宋体" w:cs="Times New Roman"/>
          <w:color w:val="auto"/>
          <w:kern w:val="2"/>
          <w:sz w:val="21"/>
          <w:szCs w:val="24"/>
          <w:lang w:val="en-US" w:eastAsia="zh-CN" w:bidi="ar"/>
        </w:rPr>
        <w:t>。</w:t>
      </w:r>
    </w:p>
    <w:p>
      <w:pPr>
        <w:keepNext w:val="0"/>
        <w:keepLines w:val="0"/>
        <w:widowControl/>
        <w:suppressLineNumbers w:val="0"/>
        <w:snapToGrid w:val="0"/>
        <w:spacing w:beforeLines="0" w:afterLines="0" w:line="360" w:lineRule="auto"/>
        <w:ind w:firstLine="420" w:firstLineChars="200"/>
        <w:jc w:val="left"/>
        <w:rPr>
          <w:rFonts w:hint="eastAsia" w:ascii="宋体" w:hAnsi="宋体" w:cs="宋体"/>
          <w:color w:val="auto"/>
          <w:kern w:val="2"/>
          <w:sz w:val="21"/>
          <w:szCs w:val="24"/>
          <w:highlight w:val="none"/>
          <w:lang w:val="en-US" w:eastAsia="zh-CN" w:bidi="ar"/>
        </w:rPr>
      </w:pPr>
      <w:r>
        <w:rPr>
          <w:rFonts w:hint="eastAsia" w:ascii="黑体" w:hAnsi="黑体" w:eastAsia="黑体" w:cs="黑体"/>
          <w:color w:val="auto"/>
          <w:kern w:val="2"/>
          <w:sz w:val="21"/>
          <w:szCs w:val="24"/>
          <w:highlight w:val="none"/>
          <w:lang w:val="en-US" w:eastAsia="zh-CN" w:bidi="ar"/>
        </w:rPr>
        <w:t xml:space="preserve">4.1.4 </w:t>
      </w:r>
      <w:r>
        <w:rPr>
          <w:rFonts w:hint="eastAsia" w:ascii="宋体" w:hAnsi="宋体" w:eastAsia="宋体" w:cs="宋体"/>
          <w:color w:val="auto"/>
          <w:kern w:val="2"/>
          <w:sz w:val="21"/>
          <w:szCs w:val="24"/>
          <w:highlight w:val="none"/>
          <w:lang w:val="en-US" w:eastAsia="zh-CN" w:bidi="ar"/>
        </w:rPr>
        <w:t>增高垫不应适用于身高小于125cm的儿童</w:t>
      </w:r>
      <w:r>
        <w:rPr>
          <w:rFonts w:hint="eastAsia" w:ascii="宋体" w:hAnsi="宋体" w:cs="宋体"/>
          <w:color w:val="auto"/>
          <w:kern w:val="2"/>
          <w:sz w:val="21"/>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Lines="0" w:after="0" w:afterLines="0" w:line="360" w:lineRule="auto"/>
        <w:ind w:firstLine="400" w:firstLineChars="200"/>
        <w:jc w:val="left"/>
        <w:textAlignment w:val="auto"/>
        <w:rPr>
          <w:rFonts w:hint="eastAsia" w:ascii="Arial Narrow" w:hAnsi="Arial Narrow" w:eastAsia="MyriadPro-Regular" w:cs="Arial Narrow"/>
          <w:color w:val="auto"/>
          <w:kern w:val="0"/>
          <w:sz w:val="20"/>
          <w:szCs w:val="20"/>
          <w:highlight w:val="none"/>
          <w:lang w:val="en-US" w:eastAsia="zh-CN" w:bidi="ar"/>
        </w:rPr>
      </w:pPr>
      <w:r>
        <w:rPr>
          <w:rFonts w:hint="eastAsia" w:ascii="Arial Narrow" w:hAnsi="Arial Narrow" w:eastAsia="MyriadPro-Regular" w:cs="Arial Narrow"/>
          <w:color w:val="auto"/>
          <w:kern w:val="0"/>
          <w:sz w:val="20"/>
          <w:szCs w:val="20"/>
          <w:highlight w:val="none"/>
          <w:lang w:val="en-US" w:eastAsia="zh-CN" w:bidi="ar"/>
        </w:rPr>
        <w:t>标准中对于重量的相关规定如下：</w:t>
      </w:r>
    </w:p>
    <w:p>
      <w:pPr>
        <w:keepNext w:val="0"/>
        <w:keepLines w:val="0"/>
        <w:pageBreakBefore w:val="0"/>
        <w:widowControl/>
        <w:suppressLineNumbers w:val="0"/>
        <w:kinsoku/>
        <w:wordWrap/>
        <w:overflowPunct/>
        <w:topLinePunct w:val="0"/>
        <w:autoSpaceDE/>
        <w:autoSpaceDN/>
        <w:bidi w:val="0"/>
        <w:adjustRightInd/>
        <w:snapToGrid w:val="0"/>
        <w:spacing w:before="0" w:beforeLines="0" w:after="0" w:afterLines="0" w:line="360" w:lineRule="auto"/>
        <w:ind w:firstLine="400" w:firstLineChars="200"/>
        <w:jc w:val="left"/>
        <w:textAlignment w:val="auto"/>
        <w:rPr>
          <w:rFonts w:hint="eastAsia" w:ascii="宋体" w:hAnsi="宋体" w:cs="Times New Roman"/>
          <w:color w:val="auto"/>
          <w:kern w:val="2"/>
          <w:sz w:val="21"/>
          <w:szCs w:val="24"/>
          <w:lang w:val="en-US" w:eastAsia="zh-CN" w:bidi="ar"/>
        </w:rPr>
      </w:pPr>
      <w:r>
        <w:rPr>
          <w:rFonts w:hint="eastAsia" w:ascii="黑体" w:hAnsi="黑体" w:eastAsia="黑体" w:cs="黑体"/>
          <w:color w:val="auto"/>
          <w:kern w:val="0"/>
          <w:sz w:val="20"/>
          <w:szCs w:val="20"/>
          <w:highlight w:val="none"/>
          <w:lang w:val="en-US" w:eastAsia="zh-CN" w:bidi="ar"/>
        </w:rPr>
        <w:t xml:space="preserve">4.3.2.4 </w:t>
      </w:r>
      <w:r>
        <w:rPr>
          <w:rFonts w:hint="eastAsia" w:ascii="宋体" w:hAnsi="宋体" w:eastAsia="宋体" w:cs="Times New Roman"/>
          <w:color w:val="auto"/>
          <w:kern w:val="2"/>
          <w:sz w:val="21"/>
          <w:szCs w:val="24"/>
          <w:highlight w:val="none"/>
          <w:lang w:val="en-US" w:eastAsia="zh-CN" w:bidi="ar"/>
        </w:rPr>
        <w:t>包含所搭</w:t>
      </w:r>
      <w:r>
        <w:rPr>
          <w:rFonts w:hint="eastAsia" w:ascii="宋体" w:hAnsi="宋体" w:eastAsia="宋体" w:cs="Times New Roman"/>
          <w:color w:val="auto"/>
          <w:kern w:val="2"/>
          <w:sz w:val="21"/>
          <w:szCs w:val="24"/>
          <w:lang w:val="en-US" w:eastAsia="zh-CN" w:bidi="ar"/>
        </w:rPr>
        <w:t>乘最大假人质量的整体式i-Size儿童约束系统的质量不应超过33kg</w:t>
      </w:r>
      <w:r>
        <w:rPr>
          <w:rFonts w:hint="eastAsia" w:ascii="宋体" w:hAnsi="宋体" w:cs="Times New Roman"/>
          <w:color w:val="auto"/>
          <w:kern w:val="2"/>
          <w:sz w:val="21"/>
          <w:szCs w:val="24"/>
          <w:lang w:val="en-US" w:eastAsia="zh-CN" w:bidi="ar"/>
        </w:rPr>
        <w:t>。</w:t>
      </w:r>
    </w:p>
    <w:p>
      <w:pPr>
        <w:numPr>
          <w:numId w:val="0"/>
        </w:numPr>
        <w:tabs>
          <w:tab w:val="left" w:pos="720"/>
        </w:tabs>
        <w:spacing w:line="240" w:lineRule="auto"/>
        <w:ind w:left="420" w:leftChars="0"/>
        <w:rPr>
          <w:rFonts w:hint="default" w:ascii="黑体" w:hAnsi="黑体" w:eastAsia="黑体"/>
          <w:bCs/>
          <w:szCs w:val="21"/>
          <w:lang w:val="en-US" w:eastAsia="zh-CN"/>
        </w:rPr>
      </w:pPr>
    </w:p>
    <w:p>
      <w:pPr>
        <w:numPr>
          <w:ilvl w:val="2"/>
          <w:numId w:val="8"/>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关于“i-Size”儿童约束系统</w:t>
      </w:r>
    </w:p>
    <w:p>
      <w:pPr>
        <w:spacing w:line="400" w:lineRule="exact"/>
        <w:ind w:firstLine="420" w:firstLineChars="200"/>
        <w:rPr>
          <w:rFonts w:hint="eastAsia" w:ascii="宋体" w:hAnsi="宋体"/>
          <w:szCs w:val="21"/>
        </w:rPr>
      </w:pPr>
      <w:r>
        <w:rPr>
          <w:rFonts w:hint="eastAsia" w:ascii="宋体" w:hAnsi="宋体"/>
          <w:szCs w:val="21"/>
          <w:lang w:val="en-US" w:eastAsia="zh-CN"/>
        </w:rPr>
        <w:t>本标准中</w:t>
      </w:r>
      <w:r>
        <w:rPr>
          <w:rFonts w:hint="eastAsia" w:ascii="宋体" w:hAnsi="宋体"/>
          <w:szCs w:val="21"/>
        </w:rPr>
        <w:t>引入</w:t>
      </w:r>
      <w:r>
        <w:rPr>
          <w:rFonts w:hint="eastAsia" w:ascii="宋体" w:hAnsi="宋体"/>
          <w:szCs w:val="21"/>
          <w:lang w:val="en-US" w:eastAsia="zh-CN"/>
        </w:rPr>
        <w:t>了“</w:t>
      </w:r>
      <w:r>
        <w:rPr>
          <w:rFonts w:hint="eastAsia" w:ascii="宋体" w:hAnsi="宋体"/>
          <w:szCs w:val="21"/>
        </w:rPr>
        <w:t>i-</w:t>
      </w:r>
      <w:r>
        <w:rPr>
          <w:rFonts w:hint="eastAsia" w:ascii="宋体" w:hAnsi="宋体"/>
          <w:szCs w:val="21"/>
          <w:lang w:val="en-US" w:eastAsia="zh-CN"/>
        </w:rPr>
        <w:t>S</w:t>
      </w:r>
      <w:r>
        <w:rPr>
          <w:rFonts w:hint="eastAsia" w:ascii="宋体" w:hAnsi="宋体"/>
          <w:szCs w:val="21"/>
        </w:rPr>
        <w:t>ize</w:t>
      </w:r>
      <w:r>
        <w:rPr>
          <w:rFonts w:hint="eastAsia" w:ascii="宋体" w:hAnsi="宋体"/>
          <w:szCs w:val="21"/>
          <w:lang w:eastAsia="zh-CN"/>
        </w:rPr>
        <w:t>”</w:t>
      </w:r>
      <w:r>
        <w:rPr>
          <w:rFonts w:hint="eastAsia" w:ascii="宋体" w:hAnsi="宋体"/>
          <w:szCs w:val="21"/>
        </w:rPr>
        <w:t>概念，</w:t>
      </w:r>
      <w:r>
        <w:rPr>
          <w:rFonts w:hint="eastAsia" w:ascii="宋体" w:hAnsi="宋体"/>
          <w:szCs w:val="21"/>
          <w:lang w:val="en-US" w:eastAsia="zh-CN"/>
        </w:rPr>
        <w:t>主要目的是创建一个可以“即插即用”的通用ISOFIX儿童约束系统。标准取消了原GB 27887-2011中的半通用类，将</w:t>
      </w:r>
      <w:r>
        <w:rPr>
          <w:rFonts w:hint="eastAsia" w:ascii="宋体" w:hAnsi="宋体"/>
          <w:szCs w:val="21"/>
        </w:rPr>
        <w:t>支撑腿纳入通用类，提高了儿童</w:t>
      </w:r>
      <w:r>
        <w:rPr>
          <w:rFonts w:hint="eastAsia" w:ascii="宋体" w:hAnsi="宋体"/>
          <w:szCs w:val="21"/>
          <w:lang w:val="en-US" w:eastAsia="zh-CN"/>
        </w:rPr>
        <w:t>约束系统</w:t>
      </w:r>
      <w:r>
        <w:rPr>
          <w:rFonts w:hint="eastAsia" w:ascii="宋体" w:hAnsi="宋体"/>
          <w:szCs w:val="21"/>
        </w:rPr>
        <w:t>的使用便利性和通用性</w:t>
      </w:r>
      <w:r>
        <w:rPr>
          <w:rFonts w:hint="eastAsia" w:ascii="宋体" w:hAnsi="宋体"/>
          <w:szCs w:val="21"/>
          <w:lang w:eastAsia="zh-CN"/>
        </w:rPr>
        <w:t>，</w:t>
      </w:r>
      <w:r>
        <w:rPr>
          <w:rFonts w:hint="eastAsia" w:ascii="宋体" w:hAnsi="宋体"/>
          <w:szCs w:val="21"/>
          <w:lang w:val="en-US" w:eastAsia="zh-CN"/>
        </w:rPr>
        <w:t>使</w:t>
      </w:r>
      <w:r>
        <w:rPr>
          <w:rFonts w:hint="eastAsia" w:ascii="宋体" w:hAnsi="宋体"/>
          <w:szCs w:val="21"/>
        </w:rPr>
        <w:t>儿童</w:t>
      </w:r>
      <w:r>
        <w:rPr>
          <w:rFonts w:hint="eastAsia" w:ascii="宋体" w:hAnsi="宋体"/>
          <w:szCs w:val="21"/>
          <w:lang w:val="en-US" w:eastAsia="zh-CN"/>
        </w:rPr>
        <w:t>约束系统误用的风险最小化</w:t>
      </w:r>
      <w:r>
        <w:rPr>
          <w:rFonts w:hint="eastAsia" w:ascii="宋体" w:hAnsi="宋体"/>
          <w:szCs w:val="21"/>
        </w:rPr>
        <w:t>。</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“i-Size”</w:t>
      </w:r>
      <w:r>
        <w:rPr>
          <w:rFonts w:hint="eastAsia" w:ascii="宋体" w:hAnsi="宋体"/>
          <w:szCs w:val="21"/>
        </w:rPr>
        <w:t>儿童</w:t>
      </w:r>
      <w:r>
        <w:rPr>
          <w:rFonts w:hint="eastAsia" w:ascii="宋体" w:hAnsi="宋体"/>
          <w:szCs w:val="21"/>
          <w:lang w:val="en-US" w:eastAsia="zh-CN"/>
        </w:rPr>
        <w:t>约束系统</w:t>
      </w:r>
      <w:r>
        <w:rPr>
          <w:rFonts w:hint="default" w:ascii="宋体" w:hAnsi="宋体"/>
          <w:szCs w:val="21"/>
          <w:lang w:val="en-US" w:eastAsia="zh-CN"/>
        </w:rPr>
        <w:t>是一种通用的ISOFIX系统，使用ISOFIX</w:t>
      </w:r>
      <w:r>
        <w:rPr>
          <w:rFonts w:hint="eastAsia" w:ascii="宋体" w:hAnsi="宋体"/>
          <w:szCs w:val="21"/>
          <w:lang w:val="en-US" w:eastAsia="zh-CN"/>
        </w:rPr>
        <w:t>固定装置</w:t>
      </w:r>
      <w:r>
        <w:rPr>
          <w:rFonts w:hint="default" w:ascii="宋体" w:hAnsi="宋体"/>
          <w:szCs w:val="21"/>
          <w:lang w:val="en-US" w:eastAsia="zh-CN"/>
        </w:rPr>
        <w:t>连接在车辆上。</w:t>
      </w:r>
      <w:r>
        <w:rPr>
          <w:rFonts w:hint="eastAsia" w:ascii="宋体" w:hAnsi="宋体"/>
          <w:szCs w:val="21"/>
          <w:lang w:val="en-US" w:eastAsia="zh-CN"/>
        </w:rPr>
        <w:t>具体是指标准中的“整体式通用ISOFIX儿童约束系统（i-Size）”和“非整体式带靠背通用儿童约束系统（i-Size booster seat）”。</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本标准中的“i-Size”产品与车辆中相应的““i-Size”车辆座椅位置相匹配。</w:t>
      </w:r>
      <w:r>
        <w:rPr>
          <w:rFonts w:hint="default" w:ascii="宋体" w:hAnsi="宋体"/>
          <w:szCs w:val="21"/>
          <w:lang w:val="en-US" w:eastAsia="zh-CN"/>
        </w:rPr>
        <w:t>所有</w:t>
      </w:r>
      <w:r>
        <w:rPr>
          <w:rFonts w:hint="eastAsia" w:ascii="宋体" w:hAnsi="宋体"/>
          <w:szCs w:val="21"/>
          <w:lang w:val="en-US" w:eastAsia="zh-CN"/>
        </w:rPr>
        <w:t>“i-Size”</w:t>
      </w:r>
      <w:r>
        <w:rPr>
          <w:rFonts w:hint="eastAsia" w:ascii="宋体" w:hAnsi="宋体"/>
          <w:szCs w:val="21"/>
        </w:rPr>
        <w:t>儿童</w:t>
      </w:r>
      <w:r>
        <w:rPr>
          <w:rFonts w:hint="eastAsia" w:ascii="宋体" w:hAnsi="宋体"/>
          <w:szCs w:val="21"/>
          <w:lang w:val="en-US" w:eastAsia="zh-CN"/>
        </w:rPr>
        <w:t>约束系统</w:t>
      </w:r>
      <w:r>
        <w:rPr>
          <w:rFonts w:hint="default" w:ascii="宋体" w:hAnsi="宋体"/>
          <w:szCs w:val="21"/>
          <w:lang w:val="en-US" w:eastAsia="zh-CN"/>
        </w:rPr>
        <w:t>均可用于</w:t>
      </w:r>
      <w:r>
        <w:rPr>
          <w:rFonts w:hint="eastAsia" w:ascii="宋体" w:hAnsi="宋体"/>
          <w:szCs w:val="21"/>
          <w:lang w:val="en-US" w:eastAsia="zh-CN"/>
        </w:rPr>
        <w:t>车辆上</w:t>
      </w:r>
      <w:r>
        <w:rPr>
          <w:rFonts w:hint="default" w:ascii="宋体" w:hAnsi="宋体"/>
          <w:szCs w:val="21"/>
          <w:lang w:val="en-US" w:eastAsia="zh-CN"/>
        </w:rPr>
        <w:t>任</w:t>
      </w:r>
      <w:r>
        <w:rPr>
          <w:rFonts w:hint="eastAsia" w:ascii="宋体" w:hAnsi="宋体"/>
          <w:szCs w:val="21"/>
          <w:lang w:val="en-US" w:eastAsia="zh-CN"/>
        </w:rPr>
        <w:t>何符合GB 14166和GB 14167要求的“i-Size”</w:t>
      </w:r>
      <w:r>
        <w:rPr>
          <w:rFonts w:hint="default" w:ascii="宋体" w:hAnsi="宋体"/>
          <w:szCs w:val="21"/>
          <w:lang w:val="en-US" w:eastAsia="zh-CN"/>
        </w:rPr>
        <w:t>座椅</w:t>
      </w:r>
      <w:r>
        <w:rPr>
          <w:rFonts w:hint="eastAsia" w:ascii="宋体" w:hAnsi="宋体"/>
          <w:szCs w:val="21"/>
          <w:lang w:val="en-US" w:eastAsia="zh-CN"/>
        </w:rPr>
        <w:t>位置</w:t>
      </w:r>
      <w:r>
        <w:rPr>
          <w:rFonts w:hint="default" w:ascii="宋体" w:hAnsi="宋体"/>
          <w:szCs w:val="21"/>
          <w:lang w:val="en-US" w:eastAsia="zh-CN"/>
        </w:rPr>
        <w:t>。</w:t>
      </w:r>
      <w:r>
        <w:rPr>
          <w:rFonts w:hint="eastAsia" w:ascii="宋体" w:hAnsi="宋体"/>
          <w:szCs w:val="21"/>
          <w:lang w:val="en-US" w:eastAsia="zh-CN"/>
        </w:rPr>
        <w:t>上拉带</w:t>
      </w:r>
      <w:r>
        <w:rPr>
          <w:rFonts w:hint="default" w:ascii="宋体" w:hAnsi="宋体"/>
          <w:szCs w:val="21"/>
          <w:lang w:val="en-US" w:eastAsia="zh-CN"/>
        </w:rPr>
        <w:t>或支撑腿都可以作为</w:t>
      </w:r>
      <w:r>
        <w:rPr>
          <w:rFonts w:hint="eastAsia" w:ascii="宋体" w:hAnsi="宋体"/>
          <w:szCs w:val="21"/>
          <w:lang w:val="en-US" w:eastAsia="zh-CN"/>
        </w:rPr>
        <w:t>防翻转装置</w:t>
      </w:r>
      <w:r>
        <w:rPr>
          <w:rFonts w:hint="default" w:ascii="宋体" w:hAnsi="宋体"/>
          <w:szCs w:val="21"/>
          <w:lang w:val="en-US" w:eastAsia="zh-CN"/>
        </w:rPr>
        <w:t>。</w:t>
      </w:r>
      <w:r>
        <w:rPr>
          <w:rFonts w:hint="eastAsia" w:ascii="宋体" w:hAnsi="宋体"/>
          <w:szCs w:val="21"/>
          <w:lang w:val="en-US" w:eastAsia="zh-CN"/>
        </w:rPr>
        <w:t>这样，</w:t>
      </w:r>
      <w:r>
        <w:rPr>
          <w:rFonts w:hint="default" w:ascii="宋体" w:hAnsi="宋体"/>
          <w:szCs w:val="21"/>
          <w:lang w:val="en-US" w:eastAsia="zh-CN"/>
        </w:rPr>
        <w:t>将不再需要车辆</w:t>
      </w:r>
      <w:r>
        <w:rPr>
          <w:rFonts w:hint="eastAsia" w:ascii="宋体" w:hAnsi="宋体"/>
          <w:szCs w:val="21"/>
          <w:lang w:val="en-US" w:eastAsia="zh-CN"/>
        </w:rPr>
        <w:t>适</w:t>
      </w:r>
      <w:r>
        <w:rPr>
          <w:rFonts w:hint="default" w:ascii="宋体" w:hAnsi="宋体"/>
          <w:szCs w:val="21"/>
          <w:lang w:val="en-US" w:eastAsia="zh-CN"/>
        </w:rPr>
        <w:t>配清单</w:t>
      </w:r>
      <w:r>
        <w:rPr>
          <w:rFonts w:hint="eastAsia" w:ascii="宋体" w:hAnsi="宋体"/>
          <w:szCs w:val="21"/>
          <w:lang w:val="en-US" w:eastAsia="zh-CN"/>
        </w:rPr>
        <w:t>，</w:t>
      </w:r>
      <w:r>
        <w:rPr>
          <w:rFonts w:hint="default" w:ascii="宋体" w:hAnsi="宋体"/>
          <w:szCs w:val="21"/>
          <w:lang w:val="en-US" w:eastAsia="zh-CN"/>
        </w:rPr>
        <w:t>车</w:t>
      </w:r>
      <w:r>
        <w:rPr>
          <w:rFonts w:hint="eastAsia" w:ascii="宋体" w:hAnsi="宋体"/>
          <w:szCs w:val="21"/>
          <w:lang w:val="en-US" w:eastAsia="zh-CN"/>
        </w:rPr>
        <w:t>辆</w:t>
      </w:r>
      <w:r>
        <w:rPr>
          <w:rFonts w:hint="default" w:ascii="宋体" w:hAnsi="宋体"/>
          <w:szCs w:val="21"/>
          <w:lang w:val="en-US" w:eastAsia="zh-CN"/>
        </w:rPr>
        <w:t>和</w:t>
      </w:r>
      <w:r>
        <w:rPr>
          <w:rFonts w:hint="eastAsia" w:ascii="宋体" w:hAnsi="宋体"/>
          <w:szCs w:val="21"/>
          <w:lang w:val="en-US" w:eastAsia="zh-CN"/>
        </w:rPr>
        <w:t>儿童约束系统</w:t>
      </w:r>
      <w:r>
        <w:rPr>
          <w:rFonts w:hint="default" w:ascii="宋体" w:hAnsi="宋体"/>
          <w:szCs w:val="21"/>
          <w:lang w:val="en-US" w:eastAsia="zh-CN"/>
        </w:rPr>
        <w:t>之间</w:t>
      </w:r>
      <w:r>
        <w:rPr>
          <w:rFonts w:hint="eastAsia" w:ascii="宋体" w:hAnsi="宋体"/>
          <w:szCs w:val="21"/>
          <w:lang w:val="en-US" w:eastAsia="zh-CN"/>
        </w:rPr>
        <w:t>将具有</w:t>
      </w:r>
      <w:r>
        <w:rPr>
          <w:rFonts w:hint="default" w:ascii="宋体" w:hAnsi="宋体"/>
          <w:szCs w:val="21"/>
          <w:lang w:val="en-US" w:eastAsia="zh-CN"/>
        </w:rPr>
        <w:t>更好的兼容性。</w:t>
      </w:r>
    </w:p>
    <w:p>
      <w:pPr>
        <w:numPr>
          <w:ilvl w:val="2"/>
          <w:numId w:val="8"/>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关于儿童约束系统的分类</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本标准更改了原标准中“通用类”、“半通用类”、“受限制类”和“特殊车辆类”的分类方式，采用了新的分类，即以下八个类型：</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int="eastAsia" w:ascii="宋体" w:hAnsi="宋体" w:eastAsia="宋体" w:cs="Times New Roman"/>
          <w:kern w:val="2"/>
          <w:sz w:val="21"/>
          <w:szCs w:val="21"/>
          <w:lang w:val="en-US" w:eastAsia="zh-CN" w:bidi="ar"/>
        </w:rPr>
      </w:pPr>
      <w:r>
        <w:rPr>
          <w:sz w:val="21"/>
        </w:rPr>
        <mc:AlternateContent>
          <mc:Choice Requires="wps">
            <w:drawing>
              <wp:anchor distT="0" distB="0" distL="114935" distR="114935" simplePos="0" relativeHeight="251665408" behindDoc="0" locked="0" layoutInCell="1" allowOverlap="1">
                <wp:simplePos x="0" y="0"/>
                <wp:positionH relativeFrom="column">
                  <wp:posOffset>144780</wp:posOffset>
                </wp:positionH>
                <wp:positionV relativeFrom="paragraph">
                  <wp:posOffset>134620</wp:posOffset>
                </wp:positionV>
                <wp:extent cx="5402580" cy="2145665"/>
                <wp:effectExtent l="5080" t="4445" r="15240" b="8890"/>
                <wp:wrapNone/>
                <wp:docPr id="10" name="文本框 10"/>
                <wp:cNvGraphicFramePr/>
                <a:graphic xmlns:a="http://schemas.openxmlformats.org/drawingml/2006/main">
                  <a:graphicData uri="http://schemas.microsoft.com/office/word/2010/wordprocessingShape">
                    <wps:wsp>
                      <wps:cNvSpPr txBox="1"/>
                      <wps:spPr>
                        <a:xfrm>
                          <a:off x="0" y="0"/>
                          <a:ext cx="5402580" cy="214566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10.6pt;height:168.95pt;width:425.4pt;z-index:251665408;mso-width-relative:page;mso-height-relative:page;" filled="f" stroked="t" coordsize="21600,21600" o:gfxdata="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pZA0NYAAAAHAQAADwAA&#10;AAAAAAABACAAAAAiAAAAZHJzL2Rvd25yZXYueG1sUEsBAhQAFAAAAAgAh07iQOY/V05RAgAAkQQA&#10;AA4AAAAAAAAAAQAgAAAAJQEAAGRycy9lMm9Eb2MueG1sUEsFBgAAAAAGAAYAWQEAAOgFAAAAAA==&#10;">
                <v:fill on="f" focussize="0,0"/>
                <v:stroke weight="0.25pt" color="#000000 [3204]" joinstyle="round"/>
                <v:imagedata o:title=""/>
                <o:lock v:ext="edit" aspectratio="f"/>
                <v:textbox>
                  <w:txbxContent>
                    <w:p/>
                    <w:p/>
                    <w:p/>
                  </w:txbxContent>
                </v:textbox>
              </v:shape>
            </w:pict>
          </mc:Fallback>
        </mc:AlternateConten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a）整体式通用ISOFIX儿童约束系统（i-Size）；</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b）整体式特殊车型用ISOFIX儿童约束系统；</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c）整体式通用安全带固定式儿童约束系统；</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d）整体式特殊车型用安全带固定式儿童约束系统；</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e）非整体式带靠背通用儿童约束系统（i-Size增高椅）；</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f）非整体式带靠背特殊车型用儿童约束系统（特殊车型用增高椅）；</w:t>
      </w:r>
    </w:p>
    <w:p>
      <w:pPr>
        <w:pStyle w:val="13"/>
        <w:keepNext w:val="0"/>
        <w:keepLines w:val="0"/>
        <w:pageBreakBefore w:val="0"/>
        <w:widowControl w:val="0"/>
        <w:suppressLineNumbers w:val="0"/>
        <w:tabs>
          <w:tab w:val="right" w:leader="dot" w:pos="9241"/>
        </w:tabs>
        <w:kinsoku/>
        <w:wordWrap/>
        <w:overflowPunct/>
        <w:topLinePunct w:val="0"/>
        <w:autoSpaceDE/>
        <w:autoSpaceDN/>
        <w:bidi w:val="0"/>
        <w:adjustRightInd/>
        <w:snapToGrid w:val="0"/>
        <w:spacing w:before="0" w:beforeAutospacing="0" w:after="0" w:afterAutospacing="0" w:line="360" w:lineRule="auto"/>
        <w:ind w:left="0" w:right="0" w:firstLine="424" w:firstLineChars="202"/>
        <w:jc w:val="left"/>
        <w:textAlignment w:val="auto"/>
        <w:rPr>
          <w:rFonts w:hAnsi="宋体"/>
          <w:lang w:val="en-US"/>
        </w:rPr>
      </w:pPr>
      <w:r>
        <w:rPr>
          <w:rFonts w:hint="eastAsia" w:ascii="宋体" w:hAnsi="宋体" w:eastAsia="宋体" w:cs="Times New Roman"/>
          <w:kern w:val="2"/>
          <w:sz w:val="21"/>
          <w:szCs w:val="21"/>
          <w:lang w:val="en-US" w:eastAsia="zh-CN" w:bidi="ar"/>
        </w:rPr>
        <w:t>g）非整体式无靠背通用儿童约束系统（通用增高垫）；</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s="Times New Roman"/>
          <w:kern w:val="2"/>
          <w:sz w:val="21"/>
          <w:szCs w:val="24"/>
          <w:lang w:val="en-US" w:eastAsia="zh-CN" w:bidi="ar"/>
        </w:rPr>
      </w:pPr>
      <w:r>
        <w:rPr>
          <w:rFonts w:hint="eastAsia" w:ascii="宋体" w:hAnsi="宋体" w:eastAsia="宋体" w:cs="宋体"/>
          <w:kern w:val="2"/>
          <w:sz w:val="21"/>
          <w:szCs w:val="24"/>
          <w:lang w:val="en-US" w:eastAsia="zh-CN" w:bidi="ar"/>
        </w:rPr>
        <w:t xml:space="preserve">h) </w:t>
      </w:r>
      <w:r>
        <w:rPr>
          <w:rFonts w:hint="eastAsia" w:ascii="Times New Roman" w:hAnsi="宋体" w:eastAsia="宋体" w:cs="Times New Roman"/>
          <w:kern w:val="2"/>
          <w:sz w:val="21"/>
          <w:szCs w:val="24"/>
          <w:lang w:val="en-US" w:eastAsia="zh-CN" w:bidi="ar"/>
        </w:rPr>
        <w:t>非整体式无靠背特殊车型用儿童约束系统（特殊车型用增高垫）</w:t>
      </w:r>
      <w:r>
        <w:rPr>
          <w:rFonts w:hint="eastAsia" w:hAnsi="宋体" w:cs="Times New Roman"/>
          <w:kern w:val="2"/>
          <w:sz w:val="21"/>
          <w:szCs w:val="24"/>
          <w:lang w:val="en-US" w:eastAsia="zh-CN" w:bidi="ar"/>
        </w:rPr>
        <w:t>。</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新的分类方式更加清晰明了，同样是为了</w:t>
      </w:r>
      <w:r>
        <w:rPr>
          <w:rFonts w:hint="eastAsia" w:ascii="宋体" w:hAnsi="宋体"/>
          <w:szCs w:val="21"/>
        </w:rPr>
        <w:t>提高了儿童</w:t>
      </w:r>
      <w:r>
        <w:rPr>
          <w:rFonts w:hint="eastAsia" w:ascii="宋体" w:hAnsi="宋体"/>
          <w:szCs w:val="21"/>
          <w:lang w:val="en-US" w:eastAsia="zh-CN"/>
        </w:rPr>
        <w:t>约束系统</w:t>
      </w:r>
      <w:r>
        <w:rPr>
          <w:rFonts w:hint="eastAsia" w:ascii="宋体" w:hAnsi="宋体"/>
          <w:szCs w:val="21"/>
        </w:rPr>
        <w:t>的使用便利性和通用性</w:t>
      </w:r>
      <w:r>
        <w:rPr>
          <w:rFonts w:hint="eastAsia" w:ascii="宋体" w:hAnsi="宋体"/>
          <w:szCs w:val="21"/>
          <w:lang w:eastAsia="zh-CN"/>
        </w:rPr>
        <w:t>，</w:t>
      </w:r>
      <w:r>
        <w:rPr>
          <w:rFonts w:hint="eastAsia" w:ascii="宋体" w:hAnsi="宋体"/>
          <w:szCs w:val="21"/>
          <w:lang w:val="en-US" w:eastAsia="zh-CN"/>
        </w:rPr>
        <w:t>使</w:t>
      </w:r>
      <w:r>
        <w:rPr>
          <w:rFonts w:hint="eastAsia" w:ascii="宋体" w:hAnsi="宋体"/>
          <w:szCs w:val="21"/>
        </w:rPr>
        <w:t>儿童</w:t>
      </w:r>
      <w:r>
        <w:rPr>
          <w:rFonts w:hint="eastAsia" w:ascii="宋体" w:hAnsi="宋体"/>
          <w:szCs w:val="21"/>
          <w:lang w:val="en-US" w:eastAsia="zh-CN"/>
        </w:rPr>
        <w:t>约束系统误用的风险最小化。</w:t>
      </w:r>
    </w:p>
    <w:p>
      <w:pPr>
        <w:numPr>
          <w:ilvl w:val="2"/>
          <w:numId w:val="8"/>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关于后向使用儿童约束系统的要求</w:t>
      </w:r>
    </w:p>
    <w:p>
      <w:pPr>
        <w:spacing w:line="400" w:lineRule="exact"/>
        <w:ind w:firstLine="420" w:firstLineChars="200"/>
        <w:rPr>
          <w:rFonts w:hint="eastAsia" w:ascii="宋体" w:hAnsi="宋体"/>
          <w:szCs w:val="21"/>
        </w:rPr>
      </w:pPr>
      <w:r>
        <w:rPr>
          <w:rFonts w:hint="eastAsia" w:ascii="宋体" w:hAnsi="宋体"/>
          <w:szCs w:val="21"/>
          <w:lang w:val="en-US" w:eastAsia="zh-CN"/>
        </w:rPr>
        <w:t>为了减少在车辆事故发生时儿童严重受伤的风险，应尽可能长时间地让婴幼儿以与驾驶方向相反的方向乘坐，即后向乘坐。这是因为，与年龄较大的儿童和成年人相比，婴幼儿的颈部肌肉较弱，头部相对较大且较重。过早地改变为前向乘坐儿童约束系统，儿童会在发生事故时增加颈椎严重损伤的风险。</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本标准</w:t>
      </w:r>
      <w:r>
        <w:rPr>
          <w:rFonts w:hint="eastAsia" w:ascii="宋体" w:hAnsi="宋体"/>
          <w:szCs w:val="21"/>
        </w:rPr>
        <w:t>规定儿童</w:t>
      </w:r>
      <w:r>
        <w:rPr>
          <w:rFonts w:hint="eastAsia" w:ascii="宋体" w:hAnsi="宋体"/>
          <w:szCs w:val="21"/>
          <w:lang w:val="en-US" w:eastAsia="zh-CN"/>
        </w:rPr>
        <w:t>在</w:t>
      </w:r>
      <w:r>
        <w:rPr>
          <w:rFonts w:hint="eastAsia" w:ascii="宋体" w:hAnsi="宋体"/>
          <w:szCs w:val="21"/>
        </w:rPr>
        <w:t>15个月</w:t>
      </w:r>
      <w:r>
        <w:rPr>
          <w:rFonts w:hint="eastAsia" w:ascii="宋体" w:hAnsi="宋体"/>
          <w:szCs w:val="21"/>
          <w:lang w:val="en-US" w:eastAsia="zh-CN"/>
        </w:rPr>
        <w:t>大以前必须使用后向或侧向安装的儿童约束系统</w:t>
      </w:r>
      <w:r>
        <w:rPr>
          <w:rFonts w:hint="eastAsia" w:ascii="宋体" w:hAnsi="宋体"/>
          <w:szCs w:val="21"/>
        </w:rPr>
        <w:t>，</w:t>
      </w:r>
      <w:r>
        <w:rPr>
          <w:rFonts w:hint="eastAsia" w:ascii="宋体" w:hAnsi="宋体"/>
          <w:szCs w:val="21"/>
          <w:lang w:val="en-US" w:eastAsia="zh-CN"/>
        </w:rPr>
        <w:t>代替了原标准中</w:t>
      </w:r>
      <w:r>
        <w:rPr>
          <w:rFonts w:hint="eastAsia" w:ascii="宋体" w:hAnsi="宋体"/>
          <w:szCs w:val="21"/>
        </w:rPr>
        <w:t>规定的9个月。这</w:t>
      </w:r>
      <w:r>
        <w:rPr>
          <w:rFonts w:hint="eastAsia" w:ascii="宋体" w:hAnsi="宋体"/>
          <w:szCs w:val="21"/>
          <w:lang w:val="en-US" w:eastAsia="zh-CN"/>
        </w:rPr>
        <w:t>一改变</w:t>
      </w:r>
      <w:r>
        <w:rPr>
          <w:rFonts w:hint="eastAsia" w:ascii="宋体" w:hAnsi="宋体"/>
          <w:szCs w:val="21"/>
        </w:rPr>
        <w:t>将为</w:t>
      </w:r>
      <w:r>
        <w:rPr>
          <w:rFonts w:hint="eastAsia" w:ascii="宋体" w:hAnsi="宋体"/>
          <w:szCs w:val="21"/>
          <w:lang w:val="en-US" w:eastAsia="zh-CN"/>
        </w:rPr>
        <w:t>婴幼儿正在</w:t>
      </w:r>
      <w:r>
        <w:rPr>
          <w:rFonts w:hint="eastAsia" w:ascii="宋体" w:hAnsi="宋体"/>
          <w:szCs w:val="21"/>
        </w:rPr>
        <w:t>发育中的头颈部提供更好的保护。</w:t>
      </w:r>
      <w:r>
        <w:rPr>
          <w:rFonts w:hint="eastAsia" w:ascii="宋体" w:hAnsi="宋体"/>
          <w:szCs w:val="21"/>
          <w:lang w:val="en-US" w:eastAsia="zh-CN"/>
        </w:rPr>
        <w:t>同时，本标准中还增加了对于整体式儿童约束系统前后向使用的粘贴警告标签要求。</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下表可以更清楚了解婴幼儿前后向使用儿童约束系统与身高的关系：</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7"/>
        <w:gridCol w:w="486"/>
        <w:gridCol w:w="571"/>
        <w:gridCol w:w="65"/>
        <w:gridCol w:w="496"/>
        <w:gridCol w:w="496"/>
        <w:gridCol w:w="496"/>
        <w:gridCol w:w="496"/>
        <w:gridCol w:w="496"/>
        <w:gridCol w:w="636"/>
        <w:gridCol w:w="496"/>
        <w:gridCol w:w="496"/>
        <w:gridCol w:w="496"/>
        <w:gridCol w:w="536"/>
        <w:gridCol w:w="72"/>
        <w:gridCol w:w="478"/>
        <w:gridCol w:w="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977"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t>儿童的身高[cm]</w:t>
            </w:r>
          </w:p>
        </w:tc>
        <w:tc>
          <w:tcPr>
            <w:tcW w:w="48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40</w:t>
            </w:r>
          </w:p>
        </w:tc>
        <w:tc>
          <w:tcPr>
            <w:tcW w:w="636" w:type="dxa"/>
            <w:gridSpan w:val="2"/>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45</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50</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55</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60</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65</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70</w:t>
            </w:r>
          </w:p>
        </w:tc>
        <w:tc>
          <w:tcPr>
            <w:tcW w:w="63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75</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80</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83</w:t>
            </w:r>
          </w:p>
        </w:tc>
        <w:tc>
          <w:tcPr>
            <w:tcW w:w="49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85</w:t>
            </w:r>
          </w:p>
        </w:tc>
        <w:tc>
          <w:tcPr>
            <w:tcW w:w="536"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90</w:t>
            </w:r>
          </w:p>
        </w:tc>
        <w:tc>
          <w:tcPr>
            <w:tcW w:w="550" w:type="dxa"/>
            <w:gridSpan w:val="2"/>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95</w:t>
            </w:r>
          </w:p>
        </w:tc>
        <w:tc>
          <w:tcPr>
            <w:tcW w:w="529" w:type="dxa"/>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977"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8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gridSpan w:val="2"/>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3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50" w:type="dxa"/>
            <w:gridSpan w:val="2"/>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29"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0" w:hRule="atLeast"/>
          <w:jc w:val="center"/>
        </w:trPr>
        <w:tc>
          <w:tcPr>
            <w:tcW w:w="6703" w:type="dxa"/>
            <w:gridSpan w:val="13"/>
            <w:tcBorders>
              <w:left w:val="single" w:color="auto" w:sz="4" w:space="0"/>
              <w:right w:val="single" w:color="auto" w:sz="4" w:space="0"/>
            </w:tcBorders>
            <w:shd w:val="clear" w:color="auto" w:fill="7030A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从出生到15个月大，强制后向、侧向使用</w:t>
            </w:r>
          </w:p>
        </w:tc>
        <w:tc>
          <w:tcPr>
            <w:tcW w:w="53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50" w:type="dxa"/>
            <w:gridSpan w:val="2"/>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29"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7"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8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gridSpan w:val="2"/>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36"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50" w:type="dxa"/>
            <w:gridSpan w:val="2"/>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529" w:type="dxa"/>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977"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8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gridSpan w:val="2"/>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235" w:type="dxa"/>
            <w:gridSpan w:val="9"/>
            <w:tcBorders>
              <w:left w:val="single" w:color="auto" w:sz="4" w:space="0"/>
              <w:right w:val="single" w:color="auto" w:sz="4" w:space="0"/>
            </w:tcBorders>
            <w:shd w:val="clear" w:color="auto" w:fill="7030A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t>从15个月到105cm，可以前向使用（注意最大允许体重）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 w:hRule="atLeast"/>
          <w:jc w:val="center"/>
        </w:trPr>
        <w:tc>
          <w:tcPr>
            <w:tcW w:w="977"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8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gridSpan w:val="2"/>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3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08" w:type="dxa"/>
            <w:gridSpan w:val="2"/>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78"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29"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8" w:hRule="atLeast"/>
          <w:jc w:val="center"/>
        </w:trPr>
        <w:tc>
          <w:tcPr>
            <w:tcW w:w="6207" w:type="dxa"/>
            <w:gridSpan w:val="12"/>
            <w:tcBorders>
              <w:left w:val="single" w:color="auto" w:sz="4" w:space="0"/>
            </w:tcBorders>
            <w:shd w:val="clear" w:color="auto" w:fill="B2A1C7" w:themeFill="accent4" w:themeFillTint="99"/>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r>
              <w:rPr>
                <w:rFonts w:hint="eastAsia" w:ascii="Arial Narrow" w:hAnsi="Arial Narrow" w:eastAsia="MyriadPro-BoldCond" w:cs="Arial Narrow"/>
                <w:b/>
                <w:bCs/>
                <w:color w:val="000000" w:themeColor="text1"/>
                <w:kern w:val="0"/>
                <w:sz w:val="18"/>
                <w:szCs w:val="18"/>
                <w:lang w:val="en-US" w:eastAsia="zh-CN" w:bidi="ar"/>
                <w14:textFill>
                  <w14:solidFill>
                    <w14:schemeClr w14:val="tx1"/>
                  </w14:solidFill>
                </w14:textFill>
              </w:rPr>
              <w:t>整体式约束系统</w:t>
            </w:r>
          </w:p>
        </w:tc>
        <w:tc>
          <w:tcPr>
            <w:tcW w:w="496" w:type="dxa"/>
            <w:tcBorders>
              <w:right w:val="single" w:color="auto" w:sz="4" w:space="0"/>
            </w:tcBorders>
            <w:shd w:val="clear" w:color="auto" w:fill="B2A1C7" w:themeFill="accent4" w:themeFillTint="99"/>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08" w:type="dxa"/>
            <w:gridSpan w:val="2"/>
            <w:tcBorders>
              <w:left w:val="single" w:color="auto" w:sz="4" w:space="0"/>
              <w:right w:val="single" w:color="auto" w:sz="4" w:space="0"/>
            </w:tcBorders>
            <w:shd w:val="clear" w:color="auto" w:fill="B2A1C7" w:themeFill="accent4" w:themeFillTint="99"/>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78" w:type="dxa"/>
            <w:tcBorders>
              <w:left w:val="single" w:color="auto" w:sz="4" w:space="0"/>
              <w:right w:val="single" w:color="auto" w:sz="4" w:space="0"/>
            </w:tcBorders>
            <w:shd w:val="clear" w:color="auto" w:fill="B2A1C7" w:themeFill="accent4" w:themeFillTint="99"/>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29" w:type="dxa"/>
            <w:tcBorders>
              <w:left w:val="single" w:color="auto" w:sz="4" w:space="0"/>
              <w:right w:val="single" w:color="auto" w:sz="4" w:space="0"/>
            </w:tcBorders>
            <w:shd w:val="clear" w:color="auto" w:fill="B2A1C7" w:themeFill="accent4" w:themeFillTint="99"/>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3" w:type="dxa"/>
            <w:gridSpan w:val="2"/>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71"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61" w:type="dxa"/>
            <w:gridSpan w:val="2"/>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636" w:type="dxa"/>
            <w:tcBorders>
              <w:lef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96"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08" w:type="dxa"/>
            <w:gridSpan w:val="2"/>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78"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29" w:type="dxa"/>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6207" w:type="dxa"/>
            <w:gridSpan w:val="12"/>
            <w:tcBorders>
              <w:left w:val="single" w:color="auto" w:sz="4" w:space="0"/>
            </w:tcBorders>
            <w:shd w:val="clear" w:color="auto" w:fill="C0000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r>
              <w:rPr>
                <w:rFonts w:hint="eastAsia"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t>带有上拉带或支撑腿的通用ISOFOX系统</w:t>
            </w:r>
          </w:p>
        </w:tc>
        <w:tc>
          <w:tcPr>
            <w:tcW w:w="496" w:type="dxa"/>
            <w:tcBorders>
              <w:right w:val="single" w:color="auto" w:sz="4" w:space="0"/>
            </w:tcBorders>
            <w:shd w:val="clear" w:color="auto" w:fill="C0000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8"/>
                <w:szCs w:val="18"/>
                <w:vertAlign w:val="baseline"/>
                <w:lang w:val="en-US" w:eastAsia="zh-CN" w:bidi="ar"/>
                <w14:textFill>
                  <w14:solidFill>
                    <w14:schemeClr w14:val="bg1"/>
                  </w14:solidFill>
                </w14:textFill>
              </w:rPr>
            </w:pPr>
          </w:p>
        </w:tc>
        <w:tc>
          <w:tcPr>
            <w:tcW w:w="608" w:type="dxa"/>
            <w:gridSpan w:val="2"/>
            <w:tcBorders>
              <w:left w:val="single" w:color="auto" w:sz="4" w:space="0"/>
              <w:right w:val="single" w:color="auto" w:sz="4" w:space="0"/>
            </w:tcBorders>
            <w:shd w:val="clear" w:color="auto" w:fill="C0000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478" w:type="dxa"/>
            <w:tcBorders>
              <w:left w:val="single" w:color="auto" w:sz="4" w:space="0"/>
              <w:right w:val="single" w:color="auto" w:sz="4" w:space="0"/>
            </w:tcBorders>
            <w:shd w:val="clear" w:color="auto" w:fill="C0000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c>
          <w:tcPr>
            <w:tcW w:w="529" w:type="dxa"/>
            <w:tcBorders>
              <w:left w:val="single" w:color="auto" w:sz="4" w:space="0"/>
              <w:right w:val="single" w:color="auto" w:sz="4" w:space="0"/>
            </w:tcBorders>
            <w:shd w:val="clear" w:color="auto" w:fill="C0000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8"/>
                <w:szCs w:val="18"/>
                <w:lang w:val="en-US" w:eastAsia="zh-CN" w:bidi="ar"/>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63" w:type="dxa"/>
            <w:gridSpan w:val="2"/>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571"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561" w:type="dxa"/>
            <w:gridSpan w:val="2"/>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636" w:type="dxa"/>
            <w:tcBorders>
              <w:left w:val="single" w:color="auto"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96"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Narrow" w:hAnsi="Arial Narrow" w:eastAsia="MyriadPro-BoldCond" w:cs="Arial Narrow"/>
                <w:b/>
                <w:bCs/>
                <w:color w:val="FFFFFF" w:themeColor="background1"/>
                <w:kern w:val="0"/>
                <w:sz w:val="10"/>
                <w:szCs w:val="10"/>
                <w:vertAlign w:val="baseline"/>
                <w:lang w:val="en-US" w:eastAsia="zh-CN" w:bidi="ar"/>
                <w14:textFill>
                  <w14:solidFill>
                    <w14:schemeClr w14:val="bg1"/>
                  </w14:solidFill>
                </w14:textFill>
              </w:rPr>
            </w:pPr>
          </w:p>
        </w:tc>
        <w:tc>
          <w:tcPr>
            <w:tcW w:w="608" w:type="dxa"/>
            <w:gridSpan w:val="2"/>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478"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c>
          <w:tcPr>
            <w:tcW w:w="529"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default" w:ascii="Arial Narrow" w:hAnsi="Arial Narrow" w:eastAsia="MyriadPro-BoldCond" w:cs="Arial Narrow"/>
                <w:b/>
                <w:bCs/>
                <w:color w:val="FFFFFF" w:themeColor="background1"/>
                <w:kern w:val="0"/>
                <w:sz w:val="10"/>
                <w:szCs w:val="10"/>
                <w:lang w:val="en-US" w:eastAsia="zh-CN" w:bidi="ar"/>
                <w14:textFill>
                  <w14:solidFill>
                    <w14:schemeClr w14:val="bg1"/>
                  </w14:solidFill>
                </w14:textFill>
              </w:rPr>
            </w:pPr>
          </w:p>
        </w:tc>
      </w:tr>
    </w:tbl>
    <w:p>
      <w:pPr>
        <w:numPr>
          <w:ilvl w:val="2"/>
          <w:numId w:val="8"/>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增加i-Size儿童约束系统支撑腿和支撑腿脚的评估要求</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原标准中的半通用类（带支撑腿）儿童约束系统在本标准中列为整体式通用ISOFIX儿童约束系统，为了保证这类带支撑腿的儿童约束系统的通用性，必须对支撑腿的安装性进行检查，使其在所有使用位置（如：连接件长度可调、带基座使用，最短和最长腿等情况，不包括支撑腿收纳位置）满足支撑腿尺寸和支撑腿脚调节范围的要求，以及支撑腿脚尺寸要求。可采用物理方法或计算机模拟方法来检查。检查通过如图1和图2所示的支撑腿尺寸评估体和支撑腿脚评估体模型完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Arial Narrow" w:hAnsi="Arial Narrow" w:cs="Arial Narrow"/>
          <w:color w:val="000000" w:themeColor="text1"/>
          <w:lang w:val="en-US" w:eastAsia="zh-CN"/>
          <w14:textFill>
            <w14:solidFill>
              <w14:schemeClr w14:val="tx1"/>
            </w14:solidFill>
          </w14:textFill>
        </w:rPr>
      </w:pPr>
      <w:r>
        <w:drawing>
          <wp:inline distT="0" distB="0" distL="114300" distR="114300">
            <wp:extent cx="2503170" cy="3340735"/>
            <wp:effectExtent l="0" t="0" r="1143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2503170" cy="3340735"/>
                    </a:xfrm>
                    <a:prstGeom prst="rect">
                      <a:avLst/>
                    </a:prstGeom>
                    <a:noFill/>
                    <a:ln>
                      <a:noFill/>
                    </a:ln>
                  </pic:spPr>
                </pic:pic>
              </a:graphicData>
            </a:graphic>
          </wp:inline>
        </w:drawing>
      </w:r>
      <w:r>
        <w:drawing>
          <wp:inline distT="0" distB="0" distL="114300" distR="114300">
            <wp:extent cx="2480945" cy="3253740"/>
            <wp:effectExtent l="0" t="0" r="825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2480945" cy="325374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firstLine="420" w:firstLineChars="200"/>
        <w:jc w:val="left"/>
        <w:textAlignment w:val="auto"/>
        <w:rPr>
          <w:rFonts w:hint="default" w:ascii="Arial Narrow" w:hAnsi="Arial Narrow" w:cs="Arial Narrow"/>
          <w:color w:val="000000" w:themeColor="text1"/>
          <w:lang w:val="en-US" w:eastAsia="zh-CN"/>
          <w14:textFill>
            <w14:solidFill>
              <w14:schemeClr w14:val="tx1"/>
            </w14:solidFill>
          </w14:textFill>
        </w:rPr>
      </w:pPr>
      <w:r>
        <w:rPr>
          <w:rFonts w:hint="eastAsia" w:ascii="黑体" w:hAnsi="宋体" w:eastAsia="黑体" w:cs="Times New Roman"/>
          <w:kern w:val="2"/>
          <w:sz w:val="21"/>
          <w:szCs w:val="21"/>
          <w:lang w:val="en-US" w:eastAsia="zh-CN" w:bidi="ar"/>
        </w:rPr>
        <w:t>图1 3D视图——支撑腿尺寸评估体           图2 3D视图——支撑腿脚评估体</w:t>
      </w:r>
    </w:p>
    <w:p>
      <w:pPr>
        <w:numPr>
          <w:ilvl w:val="2"/>
          <w:numId w:val="8"/>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增加侧面碰撞保护要求及加严试验相关要求</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1）本标准中新增加</w:t>
      </w:r>
      <w:r>
        <w:rPr>
          <w:rFonts w:hint="default" w:ascii="宋体" w:hAnsi="宋体"/>
          <w:szCs w:val="21"/>
          <w:lang w:val="en-US" w:eastAsia="zh-CN"/>
        </w:rPr>
        <w:t>了侧面碰撞</w:t>
      </w:r>
      <w:r>
        <w:rPr>
          <w:rFonts w:hint="eastAsia" w:ascii="宋体" w:hAnsi="宋体"/>
          <w:szCs w:val="21"/>
          <w:lang w:val="en-US" w:eastAsia="zh-CN"/>
        </w:rPr>
        <w:t>保护要求和相应的试验方法</w:t>
      </w:r>
      <w:r>
        <w:rPr>
          <w:rFonts w:hint="default" w:ascii="宋体" w:hAnsi="宋体"/>
          <w:szCs w:val="21"/>
          <w:lang w:val="en-US" w:eastAsia="zh-CN"/>
        </w:rPr>
        <w:t>，</w:t>
      </w:r>
      <w:r>
        <w:rPr>
          <w:rFonts w:hint="eastAsia" w:ascii="宋体" w:hAnsi="宋体"/>
          <w:szCs w:val="21"/>
          <w:lang w:val="en-US" w:eastAsia="zh-CN"/>
        </w:rPr>
        <w:t>主要是为了让儿童约束系统能够在侧面碰撞事故发生时</w:t>
      </w:r>
      <w:r>
        <w:rPr>
          <w:rFonts w:hint="default" w:ascii="宋体" w:hAnsi="宋体"/>
          <w:szCs w:val="21"/>
          <w:lang w:val="en-US" w:eastAsia="zh-CN"/>
        </w:rPr>
        <w:t>更好地保护儿童的头部，特别是对较年幼的儿童。</w:t>
      </w:r>
    </w:p>
    <w:p>
      <w:pPr>
        <w:spacing w:line="400" w:lineRule="exact"/>
        <w:ind w:firstLine="420" w:firstLineChars="200"/>
        <w:rPr>
          <w:rFonts w:hint="eastAsia" w:ascii="宋体" w:hAnsi="宋体"/>
          <w:szCs w:val="21"/>
        </w:rPr>
      </w:pPr>
      <w:r>
        <w:rPr>
          <w:rFonts w:hint="eastAsia" w:ascii="宋体" w:hAnsi="宋体"/>
          <w:szCs w:val="21"/>
        </w:rPr>
        <w:t>侧面碰撞保护要求包括：</w:t>
      </w:r>
    </w:p>
    <w:p>
      <w:pPr>
        <w:spacing w:line="400" w:lineRule="exact"/>
        <w:ind w:firstLine="420" w:firstLineChars="200"/>
        <w:rPr>
          <w:rFonts w:hint="eastAsia" w:ascii="宋体" w:hAnsi="宋体"/>
          <w:szCs w:val="21"/>
        </w:rPr>
      </w:pPr>
      <w:r>
        <w:rPr>
          <w:rFonts w:hint="eastAsia" w:ascii="宋体" w:hAnsi="宋体"/>
          <w:szCs w:val="21"/>
          <w:lang w:val="en-US" w:eastAsia="zh-CN"/>
        </w:rPr>
        <w:t>a</w:t>
      </w:r>
      <w:r>
        <w:rPr>
          <w:rFonts w:hint="eastAsia" w:ascii="宋体" w:hAnsi="宋体"/>
          <w:szCs w:val="21"/>
        </w:rPr>
        <w:t>）包容性要求，如：头部不得与门板接触；头部不得超过头部包容平面等。</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b</w:t>
      </w:r>
      <w:r>
        <w:rPr>
          <w:rFonts w:hint="eastAsia" w:ascii="宋体" w:hAnsi="宋体"/>
          <w:szCs w:val="21"/>
        </w:rPr>
        <w:t>）伤害指标，</w:t>
      </w:r>
      <w:r>
        <w:rPr>
          <w:rFonts w:hint="eastAsia" w:ascii="宋体" w:hAnsi="宋体"/>
          <w:szCs w:val="21"/>
          <w:lang w:val="en-US" w:eastAsia="zh-CN"/>
        </w:rPr>
        <w:t>如下：</w:t>
      </w:r>
    </w:p>
    <w:tbl>
      <w:tblPr>
        <w:tblStyle w:val="16"/>
        <w:tblW w:w="8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664"/>
        <w:gridCol w:w="788"/>
        <w:gridCol w:w="788"/>
        <w:gridCol w:w="788"/>
        <w:gridCol w:w="788"/>
        <w:gridCol w:w="788"/>
        <w:gridCol w:w="788"/>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jc w:val="center"/>
        </w:trPr>
        <w:tc>
          <w:tcPr>
            <w:tcW w:w="2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指标</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单位</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Q1</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Q1,5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Q3</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Q6</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Q10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2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头部伤害指标HIC</w:t>
            </w:r>
            <w:r>
              <w:rPr>
                <w:rFonts w:hint="eastAsia" w:ascii="宋体" w:hAnsi="宋体" w:eastAsia="宋体" w:cs="宋体"/>
                <w:kern w:val="2"/>
                <w:sz w:val="18"/>
                <w:szCs w:val="18"/>
                <w:vertAlign w:val="subscript"/>
                <w:lang w:val="en-US" w:eastAsia="zh-CN" w:bidi="ar"/>
              </w:rPr>
              <w:t>15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800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800</w:t>
            </w:r>
          </w:p>
        </w:tc>
        <w:tc>
          <w:tcPr>
            <w:tcW w:w="7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tabs>
                <w:tab w:val="left" w:pos="1506"/>
              </w:tabs>
              <w:adjustRightInd w:val="0"/>
              <w:spacing w:before="0" w:beforeAutospacing="0" w:after="0" w:afterAutospacing="0"/>
              <w:ind w:left="90" w:leftChars="43" w:right="158" w:rightChars="75"/>
              <w:jc w:val="center"/>
              <w:rPr>
                <w:rFonts w:hint="eastAsia" w:ascii="宋体" w:hAnsi="宋体" w:eastAsia="宋体" w:cs="宋体"/>
                <w:sz w:val="18"/>
                <w:szCs w:val="18"/>
                <w:lang w:val="en-US"/>
              </w:rPr>
            </w:pPr>
            <w:r>
              <w:rPr>
                <w:rFonts w:hint="default" w:ascii="Times New Roman" w:hAnsi="Times New Roman" w:eastAsia="宋体" w:cs="Times New Roman"/>
                <w:kern w:val="2"/>
                <w:sz w:val="21"/>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2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头部累计3ms合成加速度</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g</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75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75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75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80</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w:t>
            </w:r>
          </w:p>
        </w:tc>
      </w:tr>
    </w:tbl>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本标准对于儿童约束系统的误操作规定也更为明确，解决了原标准中对于误操作风险考虑不全面规定不明确的问题。原标准只针对抗翻转装置起作用或不起作用的情形，本标准中还增加了对非整体式儿童约束系统ISOFIX装置使用或不使用的情形，以及对可转换安装方向的整体式儿童约束系统其约束部件起作用或不起作用的情形。要求如下：</w:t>
      </w:r>
    </w:p>
    <w:p>
      <w:pPr>
        <w:numPr>
          <w:numId w:val="0"/>
        </w:numPr>
        <w:spacing w:line="400" w:lineRule="exact"/>
        <w:rPr>
          <w:rFonts w:hint="default" w:ascii="宋体" w:hAnsi="宋体"/>
          <w:szCs w:val="21"/>
          <w:lang w:val="en-US" w:eastAsia="zh-CN"/>
        </w:rPr>
      </w:pPr>
      <w:r>
        <w:rPr>
          <w:rFonts w:hint="eastAsia" w:ascii="宋体" w:hAnsi="宋体"/>
          <w:szCs w:val="21"/>
        </w:rPr>
        <mc:AlternateContent>
          <mc:Choice Requires="wps">
            <w:drawing>
              <wp:anchor distT="0" distB="0" distL="114935" distR="114935" simplePos="0" relativeHeight="251661312" behindDoc="0" locked="0" layoutInCell="1" allowOverlap="1">
                <wp:simplePos x="0" y="0"/>
                <wp:positionH relativeFrom="column">
                  <wp:posOffset>-45720</wp:posOffset>
                </wp:positionH>
                <wp:positionV relativeFrom="paragraph">
                  <wp:posOffset>120650</wp:posOffset>
                </wp:positionV>
                <wp:extent cx="5680710" cy="1928495"/>
                <wp:effectExtent l="4445" t="4445" r="17145" b="10160"/>
                <wp:wrapNone/>
                <wp:docPr id="12" name="文本框 12"/>
                <wp:cNvGraphicFramePr/>
                <a:graphic xmlns:a="http://schemas.openxmlformats.org/drawingml/2006/main">
                  <a:graphicData uri="http://schemas.microsoft.com/office/word/2010/wordprocessingShape">
                    <wps:wsp>
                      <wps:cNvSpPr txBox="1"/>
                      <wps:spPr>
                        <a:xfrm>
                          <a:off x="0" y="0"/>
                          <a:ext cx="5680710" cy="192849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9.5pt;height:151.85pt;width:447.3pt;z-index:251661312;mso-width-relative:page;mso-height-relative:page;" filled="f" stroked="t" coordsize="21600,21600" o:gfxdata="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5w3oX2AAAAAkBAAAP&#10;AAAAAAAAAAEAIAAAACIAAABkcnMvZG93bnJldi54bWxQSwECFAAUAAAACACHTuJAnWfgKFECAACR&#10;BAAADgAAAAAAAAABACAAAAAnAQAAZHJzL2Uyb0RvYy54bWxQSwUGAAAAAAYABgBZAQAA6gUAAAAA&#10;">
                <v:fill on="f" focussize="0,0"/>
                <v:stroke weight="0.25pt" color="#000000 [3204]" joinstyle="round"/>
                <v:imagedata o:title=""/>
                <o:lock v:ext="edit" aspectratio="f"/>
                <v:textbox>
                  <w:txbxContent>
                    <w:p/>
                  </w:txbxContent>
                </v:textbox>
              </v:shape>
            </w:pict>
          </mc:Fallback>
        </mc:AlternateContent>
      </w:r>
    </w:p>
    <w:p>
      <w:pPr>
        <w:pStyle w:val="43"/>
        <w:keepNext w:val="0"/>
        <w:keepLines w:val="0"/>
        <w:pageBreakBefore w:val="0"/>
        <w:widowControl/>
        <w:numPr>
          <w:ilvl w:val="4"/>
          <w:numId w:val="0"/>
        </w:numPr>
        <w:kinsoku/>
        <w:wordWrap/>
        <w:overflowPunct/>
        <w:topLinePunct w:val="0"/>
        <w:autoSpaceDE/>
        <w:autoSpaceDN/>
        <w:bidi w:val="0"/>
        <w:adjustRightInd/>
        <w:snapToGrid w:val="0"/>
        <w:spacing w:before="0" w:beforeLines="0" w:beforeAutospacing="0" w:after="0" w:afterLines="0" w:afterAutospacing="0" w:line="360" w:lineRule="auto"/>
        <w:ind w:leftChars="0" w:right="0" w:rightChars="0" w:firstLine="420" w:firstLineChars="200"/>
        <w:textAlignment w:val="auto"/>
        <w:rPr>
          <w:rFonts w:hint="eastAsia" w:ascii="宋体" w:hAnsi="宋体" w:eastAsia="宋体" w:cs="宋体"/>
          <w:lang w:val="en-US"/>
        </w:rPr>
      </w:pPr>
      <w:r>
        <w:rPr>
          <w:rFonts w:hint="eastAsia" w:ascii="黑体" w:hAnsi="黑体" w:eastAsia="黑体" w:cs="黑体"/>
          <w:lang w:val="en-US" w:eastAsia="zh-CN"/>
        </w:rPr>
        <w:t>5.1.5.1.7</w:t>
      </w:r>
      <w:r>
        <w:rPr>
          <w:rFonts w:hint="eastAsia" w:ascii="宋体" w:hAnsi="宋体" w:eastAsia="宋体" w:cs="宋体"/>
          <w:lang w:val="en-US" w:eastAsia="zh-CN"/>
        </w:rPr>
        <w:t xml:space="preserve"> </w:t>
      </w:r>
      <w:r>
        <w:rPr>
          <w:rFonts w:hint="eastAsia" w:ascii="宋体" w:hAnsi="宋体" w:eastAsia="宋体" w:cs="宋体"/>
          <w:lang w:eastAsia="zh-CN"/>
        </w:rPr>
        <w:t>对于使用抗翻转装置</w:t>
      </w:r>
      <w:r>
        <w:rPr>
          <w:rFonts w:hint="eastAsia" w:ascii="宋体" w:hAnsi="宋体" w:eastAsia="宋体" w:cs="宋体"/>
          <w:szCs w:val="20"/>
          <w:lang w:eastAsia="zh-CN"/>
        </w:rPr>
        <w:t>和</w:t>
      </w:r>
      <w:r>
        <w:rPr>
          <w:rFonts w:hint="eastAsia" w:ascii="宋体" w:hAnsi="宋体" w:eastAsia="宋体" w:cs="宋体"/>
          <w:szCs w:val="20"/>
          <w:lang w:val="en-US"/>
        </w:rPr>
        <w:t>/</w:t>
      </w:r>
      <w:r>
        <w:rPr>
          <w:rFonts w:hint="eastAsia" w:ascii="宋体" w:hAnsi="宋体" w:eastAsia="宋体" w:cs="宋体"/>
          <w:szCs w:val="20"/>
          <w:lang w:eastAsia="zh-CN"/>
        </w:rPr>
        <w:t>或肩带定位装置</w:t>
      </w:r>
      <w:r>
        <w:rPr>
          <w:rFonts w:hint="eastAsia" w:ascii="宋体" w:hAnsi="宋体" w:eastAsia="宋体" w:cs="宋体"/>
          <w:lang w:eastAsia="zh-CN"/>
        </w:rPr>
        <w:t>的儿童约束系统，应</w:t>
      </w:r>
      <w:r>
        <w:rPr>
          <w:rFonts w:hint="eastAsia" w:ascii="宋体" w:hAnsi="宋体" w:eastAsia="宋体" w:cs="宋体"/>
          <w:szCs w:val="20"/>
          <w:lang w:eastAsia="zh-CN"/>
        </w:rPr>
        <w:t>按以下要求进行</w:t>
      </w:r>
      <w:r>
        <w:rPr>
          <w:rFonts w:hint="eastAsia" w:ascii="宋体" w:hAnsi="宋体" w:eastAsia="宋体" w:cs="宋体"/>
          <w:lang w:eastAsia="zh-CN"/>
        </w:rPr>
        <w:t>动态试验：</w:t>
      </w:r>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0" w:right="0" w:firstLine="420" w:firstLineChars="200"/>
        <w:textAlignment w:val="auto"/>
        <w:rPr>
          <w:lang w:val="en-US"/>
        </w:rPr>
      </w:pPr>
      <w:r>
        <w:rPr>
          <w:rFonts w:hint="eastAsia" w:ascii="宋体" w:hAnsi="宋体" w:eastAsia="宋体" w:cs="宋体"/>
          <w:szCs w:val="20"/>
          <w:lang w:val="en-US"/>
        </w:rPr>
        <w:t>a</w:t>
      </w:r>
      <w:r>
        <w:rPr>
          <w:rFonts w:hint="eastAsia" w:ascii="宋体" w:hAnsi="宋体" w:eastAsia="宋体" w:cs="宋体"/>
          <w:szCs w:val="20"/>
          <w:lang w:eastAsia="zh-CN"/>
        </w:rPr>
        <w:t>）抗翻转装置和肩带定位装置同时起作用；</w:t>
      </w:r>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424" w:leftChars="202" w:right="0" w:firstLine="2"/>
        <w:textAlignment w:val="auto"/>
        <w:rPr>
          <w:rFonts w:hint="eastAsia" w:ascii="宋体" w:hAnsi="宋体" w:eastAsia="宋体" w:cs="宋体"/>
          <w:szCs w:val="20"/>
          <w:lang w:val="en-US"/>
        </w:rPr>
      </w:pPr>
      <w:r>
        <w:rPr>
          <w:rFonts w:hint="eastAsia" w:ascii="宋体" w:hAnsi="宋体" w:eastAsia="宋体" w:cs="宋体"/>
          <w:szCs w:val="20"/>
          <w:lang w:val="en-US"/>
        </w:rPr>
        <w:t>b</w:t>
      </w:r>
      <w:r>
        <w:rPr>
          <w:rFonts w:hint="eastAsia" w:ascii="宋体" w:hAnsi="宋体" w:eastAsia="宋体" w:cs="宋体"/>
          <w:szCs w:val="20"/>
          <w:lang w:eastAsia="zh-CN"/>
        </w:rPr>
        <w:t>）抗翻转装置和肩带定位装置分别不起作用。除非有能避免抗翻转装置和</w:t>
      </w:r>
      <w:r>
        <w:rPr>
          <w:rFonts w:hint="eastAsia" w:ascii="宋体" w:hAnsi="宋体" w:eastAsia="宋体" w:cs="宋体"/>
          <w:szCs w:val="20"/>
          <w:lang w:val="en-US"/>
        </w:rPr>
        <w:t>/</w:t>
      </w:r>
      <w:r>
        <w:rPr>
          <w:rFonts w:hint="eastAsia" w:ascii="宋体" w:hAnsi="宋体" w:eastAsia="宋体" w:cs="宋体"/>
          <w:szCs w:val="20"/>
          <w:lang w:eastAsia="zh-CN"/>
        </w:rPr>
        <w:t>或肩带定位装置误操作的措施，如机械结构或同时带有视觉和听觉警告信号。也可同时不起作用进行试验。</w:t>
      </w:r>
    </w:p>
    <w:p>
      <w:pPr>
        <w:pStyle w:val="43"/>
        <w:keepNext w:val="0"/>
        <w:keepLines w:val="0"/>
        <w:pageBreakBefore w:val="0"/>
        <w:widowControl/>
        <w:numPr>
          <w:ilvl w:val="4"/>
          <w:numId w:val="0"/>
        </w:numPr>
        <w:kinsoku/>
        <w:wordWrap/>
        <w:overflowPunct/>
        <w:topLinePunct w:val="0"/>
        <w:autoSpaceDE/>
        <w:autoSpaceDN/>
        <w:bidi w:val="0"/>
        <w:adjustRightInd/>
        <w:snapToGrid w:val="0"/>
        <w:spacing w:before="0" w:beforeLines="0" w:beforeAutospacing="0" w:after="0" w:afterLines="0" w:afterAutospacing="0" w:line="360" w:lineRule="auto"/>
        <w:ind w:leftChars="0" w:right="0" w:rightChars="0" w:firstLine="420" w:firstLineChars="200"/>
        <w:textAlignment w:val="auto"/>
        <w:rPr>
          <w:rFonts w:hint="eastAsia" w:ascii="宋体" w:hAnsi="宋体" w:eastAsia="宋体" w:cs="宋体"/>
          <w:szCs w:val="20"/>
          <w:lang w:val="en-US"/>
        </w:rPr>
      </w:pPr>
      <w:r>
        <w:rPr>
          <w:rFonts w:hint="eastAsia" w:ascii="黑体" w:hAnsi="黑体" w:eastAsia="黑体" w:cs="黑体"/>
          <w:lang w:val="en-US" w:eastAsia="zh-CN"/>
        </w:rPr>
        <w:t>5.1.5.1.</w:t>
      </w:r>
      <w:r>
        <w:rPr>
          <w:rFonts w:hint="eastAsia" w:hAnsi="黑体" w:cs="黑体"/>
          <w:lang w:val="en-US" w:eastAsia="zh-CN"/>
        </w:rPr>
        <w:t>8</w:t>
      </w:r>
      <w:r>
        <w:rPr>
          <w:rFonts w:hint="eastAsia" w:ascii="宋体" w:hAnsi="宋体" w:eastAsia="宋体" w:cs="宋体"/>
          <w:lang w:val="en-US" w:eastAsia="zh-CN"/>
        </w:rPr>
        <w:t xml:space="preserve"> </w:t>
      </w:r>
      <w:r>
        <w:rPr>
          <w:rFonts w:hint="eastAsia" w:ascii="宋体" w:hAnsi="宋体" w:eastAsia="宋体" w:cs="宋体"/>
          <w:szCs w:val="20"/>
          <w:lang w:eastAsia="zh-CN"/>
        </w:rPr>
        <w:t>对于带有</w:t>
      </w:r>
      <w:r>
        <w:rPr>
          <w:rFonts w:hint="eastAsia" w:ascii="宋体" w:hAnsi="宋体" w:eastAsia="宋体" w:cs="宋体"/>
          <w:szCs w:val="20"/>
          <w:lang w:val="en-US"/>
        </w:rPr>
        <w:t>ISOFIX</w:t>
      </w:r>
      <w:r>
        <w:rPr>
          <w:rFonts w:hint="eastAsia" w:ascii="宋体" w:hAnsi="宋体" w:eastAsia="宋体" w:cs="宋体"/>
          <w:szCs w:val="20"/>
          <w:lang w:eastAsia="zh-CN"/>
        </w:rPr>
        <w:t>连接装置的非整体式儿童约束系统，应按照以下要求进行试验：</w:t>
      </w:r>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0" w:right="0" w:firstLine="420" w:firstLineChars="200"/>
        <w:textAlignment w:val="auto"/>
        <w:rPr>
          <w:rFonts w:hint="eastAsia" w:ascii="宋体" w:hAnsi="宋体" w:eastAsia="宋体" w:cs="宋体"/>
          <w:szCs w:val="20"/>
          <w:lang w:val="en-US"/>
        </w:rPr>
      </w:pPr>
      <w:r>
        <w:rPr>
          <w:rFonts w:hint="eastAsia" w:ascii="宋体" w:hAnsi="宋体" w:eastAsia="宋体" w:cs="宋体"/>
          <w:szCs w:val="20"/>
          <w:lang w:val="en-US"/>
        </w:rPr>
        <w:t>a</w:t>
      </w:r>
      <w:r>
        <w:rPr>
          <w:rFonts w:hint="eastAsia" w:ascii="宋体" w:hAnsi="宋体" w:eastAsia="宋体" w:cs="宋体"/>
          <w:szCs w:val="20"/>
          <w:lang w:eastAsia="zh-CN"/>
        </w:rPr>
        <w:t>）使用</w:t>
      </w:r>
      <w:r>
        <w:rPr>
          <w:rFonts w:hint="eastAsia" w:ascii="宋体" w:hAnsi="宋体" w:eastAsia="宋体" w:cs="宋体"/>
          <w:szCs w:val="20"/>
          <w:lang w:val="en-US"/>
        </w:rPr>
        <w:t>ISOFIX</w:t>
      </w:r>
      <w:r>
        <w:rPr>
          <w:rFonts w:hint="eastAsia" w:ascii="宋体" w:hAnsi="宋体" w:eastAsia="宋体" w:cs="宋体"/>
          <w:szCs w:val="20"/>
          <w:lang w:eastAsia="zh-CN"/>
        </w:rPr>
        <w:t>连接装置；</w:t>
      </w:r>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0" w:right="0" w:firstLine="420" w:firstLineChars="200"/>
        <w:textAlignment w:val="auto"/>
        <w:rPr>
          <w:rFonts w:hint="eastAsia" w:ascii="宋体" w:hAnsi="宋体" w:eastAsia="宋体" w:cs="宋体"/>
          <w:szCs w:val="20"/>
          <w:lang w:val="en-US"/>
        </w:rPr>
      </w:pPr>
      <w:r>
        <w:rPr>
          <w:rFonts w:hint="eastAsia" w:ascii="宋体" w:hAnsi="宋体"/>
          <w:szCs w:val="21"/>
        </w:rPr>
        <mc:AlternateContent>
          <mc:Choice Requires="wps">
            <w:drawing>
              <wp:anchor distT="0" distB="0" distL="114935" distR="114935" simplePos="0" relativeHeight="251666432" behindDoc="0" locked="0" layoutInCell="1" allowOverlap="1">
                <wp:simplePos x="0" y="0"/>
                <wp:positionH relativeFrom="column">
                  <wp:posOffset>-27305</wp:posOffset>
                </wp:positionH>
                <wp:positionV relativeFrom="paragraph">
                  <wp:posOffset>-17145</wp:posOffset>
                </wp:positionV>
                <wp:extent cx="5638800" cy="1532890"/>
                <wp:effectExtent l="4445" t="4445" r="8255" b="12065"/>
                <wp:wrapNone/>
                <wp:docPr id="11" name="文本框 11"/>
                <wp:cNvGraphicFramePr/>
                <a:graphic xmlns:a="http://schemas.openxmlformats.org/drawingml/2006/main">
                  <a:graphicData uri="http://schemas.microsoft.com/office/word/2010/wordprocessingShape">
                    <wps:wsp>
                      <wps:cNvSpPr txBox="1"/>
                      <wps:spPr>
                        <a:xfrm>
                          <a:off x="0" y="0"/>
                          <a:ext cx="5638800" cy="1532890"/>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1.35pt;height:120.7pt;width:444pt;z-index:251666432;mso-width-relative:page;mso-height-relative:page;" filled="f" stroked="t" coordsize="21600,21600" o:gfxdata="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zvMs3YAAAACQEA&#10;AA8AAAAAAAAAAQAgAAAAIgAAAGRycy9kb3ducmV2LnhtbFBLAQIUABQAAAAIAIdO4kAGeqaiUwIA&#10;AJEEAAAOAAAAAAAAAAEAIAAAACcBAABkcnMvZTJvRG9jLnhtbFBLBQYAAAAABgAGAFkBAADsBQAA&#10;AAA=&#10;">
                <v:fill on="f" focussize="0,0"/>
                <v:stroke weight="0.25pt" color="#000000 [3204]" joinstyle="round"/>
                <v:imagedata o:title=""/>
                <o:lock v:ext="edit" aspectratio="f"/>
                <v:textbox>
                  <w:txbxContent>
                    <w:p/>
                  </w:txbxContent>
                </v:textbox>
              </v:shape>
            </w:pict>
          </mc:Fallback>
        </mc:AlternateContent>
      </w:r>
      <w:r>
        <w:rPr>
          <w:rFonts w:hint="eastAsia" w:ascii="宋体" w:hAnsi="宋体" w:eastAsia="宋体" w:cs="宋体"/>
          <w:szCs w:val="20"/>
          <w:lang w:val="en-US"/>
        </w:rPr>
        <w:t>b</w:t>
      </w:r>
      <w:r>
        <w:rPr>
          <w:rFonts w:hint="eastAsia" w:ascii="宋体" w:hAnsi="宋体" w:eastAsia="宋体" w:cs="宋体"/>
          <w:szCs w:val="20"/>
          <w:lang w:eastAsia="zh-CN"/>
        </w:rPr>
        <w:t>）不使用</w:t>
      </w:r>
      <w:r>
        <w:rPr>
          <w:rFonts w:hint="eastAsia" w:ascii="宋体" w:hAnsi="宋体" w:eastAsia="宋体" w:cs="宋体"/>
          <w:szCs w:val="20"/>
          <w:lang w:val="en-US"/>
        </w:rPr>
        <w:t>ISOFIX</w:t>
      </w:r>
      <w:r>
        <w:rPr>
          <w:rFonts w:hint="eastAsia" w:ascii="宋体" w:hAnsi="宋体" w:eastAsia="宋体" w:cs="宋体"/>
          <w:szCs w:val="20"/>
          <w:lang w:eastAsia="zh-CN"/>
        </w:rPr>
        <w:t>连接装置。</w:t>
      </w:r>
    </w:p>
    <w:p>
      <w:pPr>
        <w:pStyle w:val="43"/>
        <w:keepNext w:val="0"/>
        <w:keepLines w:val="0"/>
        <w:pageBreakBefore w:val="0"/>
        <w:widowControl/>
        <w:numPr>
          <w:ilvl w:val="4"/>
          <w:numId w:val="0"/>
        </w:numPr>
        <w:kinsoku/>
        <w:wordWrap/>
        <w:overflowPunct/>
        <w:topLinePunct w:val="0"/>
        <w:autoSpaceDE/>
        <w:autoSpaceDN/>
        <w:bidi w:val="0"/>
        <w:adjustRightInd/>
        <w:snapToGrid w:val="0"/>
        <w:spacing w:before="0" w:beforeLines="0" w:beforeAutospacing="0" w:after="0" w:afterLines="0" w:afterAutospacing="0" w:line="360" w:lineRule="auto"/>
        <w:ind w:leftChars="0" w:right="0" w:rightChars="0" w:firstLine="420" w:firstLineChars="200"/>
        <w:textAlignment w:val="auto"/>
        <w:rPr>
          <w:rFonts w:hint="eastAsia" w:ascii="宋体" w:hAnsi="宋体" w:eastAsia="宋体" w:cs="宋体"/>
          <w:szCs w:val="20"/>
          <w:lang w:val="en-US"/>
        </w:rPr>
      </w:pPr>
      <w:r>
        <w:rPr>
          <w:rFonts w:hint="eastAsia" w:ascii="黑体" w:hAnsi="黑体" w:eastAsia="黑体" w:cs="黑体"/>
          <w:lang w:val="en-US" w:eastAsia="zh-CN"/>
        </w:rPr>
        <w:t>5.1.5.1.</w:t>
      </w:r>
      <w:r>
        <w:rPr>
          <w:rFonts w:hint="eastAsia" w:hAnsi="黑体" w:cs="黑体"/>
          <w:lang w:val="en-US" w:eastAsia="zh-CN"/>
        </w:rPr>
        <w:t>9</w:t>
      </w:r>
      <w:r>
        <w:rPr>
          <w:rFonts w:hint="eastAsia" w:ascii="宋体" w:hAnsi="宋体" w:eastAsia="宋体" w:cs="宋体"/>
          <w:lang w:val="en-US" w:eastAsia="zh-CN"/>
        </w:rPr>
        <w:t xml:space="preserve"> </w:t>
      </w:r>
      <w:r>
        <w:rPr>
          <w:rFonts w:hint="eastAsia" w:ascii="宋体" w:hAnsi="宋体" w:eastAsia="宋体" w:cs="宋体"/>
          <w:szCs w:val="20"/>
          <w:lang w:eastAsia="zh-CN"/>
        </w:rPr>
        <w:t>对于可转换安装方向的整体式儿童约束系统，若有仅在一个方向起作用的约束儿童的部件，则应按以下要求进行做动态试验：</w:t>
      </w:r>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0" w:right="0" w:firstLine="420" w:firstLineChars="200"/>
        <w:textAlignment w:val="auto"/>
        <w:rPr>
          <w:rFonts w:hint="default" w:ascii="Calibri" w:hAnsi="Calibri" w:cs="Times New Roman"/>
          <w:kern w:val="2"/>
          <w:szCs w:val="22"/>
          <w:lang w:val="en-US"/>
        </w:rPr>
      </w:pPr>
      <w:bookmarkStart w:id="17" w:name="OLE_LINK142"/>
      <w:bookmarkStart w:id="18" w:name="OLE_LINK141"/>
      <w:r>
        <w:rPr>
          <w:rFonts w:hint="eastAsia" w:ascii="宋体" w:hAnsi="宋体" w:eastAsia="宋体" w:cs="宋体"/>
          <w:szCs w:val="20"/>
          <w:lang w:val="en-US"/>
        </w:rPr>
        <w:t>a</w:t>
      </w:r>
      <w:r>
        <w:rPr>
          <w:rFonts w:hint="eastAsia" w:ascii="宋体" w:hAnsi="宋体" w:eastAsia="宋体" w:cs="宋体"/>
          <w:szCs w:val="20"/>
          <w:lang w:eastAsia="zh-CN"/>
        </w:rPr>
        <w:t>）在约束部件起作用的安装方向，使用该约束部件；</w:t>
      </w:r>
      <w:bookmarkEnd w:id="17"/>
      <w:bookmarkEnd w:id="18"/>
    </w:p>
    <w:p>
      <w:pPr>
        <w:pStyle w:val="44"/>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360" w:lineRule="auto"/>
        <w:ind w:left="424" w:leftChars="202" w:right="0" w:firstLine="2"/>
        <w:textAlignment w:val="auto"/>
        <w:rPr>
          <w:rFonts w:hint="eastAsia" w:ascii="宋体" w:hAnsi="宋体" w:eastAsia="宋体" w:cs="宋体"/>
          <w:szCs w:val="20"/>
          <w:lang w:val="en-US"/>
        </w:rPr>
      </w:pPr>
      <w:r>
        <w:rPr>
          <w:rFonts w:hint="eastAsia" w:ascii="宋体" w:hAnsi="宋体" w:eastAsia="宋体" w:cs="宋体"/>
          <w:szCs w:val="20"/>
          <w:lang w:val="en-US"/>
        </w:rPr>
        <w:t>b</w:t>
      </w:r>
      <w:r>
        <w:rPr>
          <w:rFonts w:hint="eastAsia" w:ascii="宋体" w:hAnsi="宋体" w:eastAsia="宋体" w:cs="宋体"/>
          <w:szCs w:val="20"/>
          <w:lang w:eastAsia="zh-CN"/>
        </w:rPr>
        <w:t>）在约束部件不起作用的安装方向，使用该约束部件。除非有能避免该方向误操作的机械结构。</w:t>
      </w:r>
    </w:p>
    <w:p>
      <w:pPr>
        <w:keepNext w:val="0"/>
        <w:keepLines w:val="0"/>
        <w:pageBreakBefore w:val="0"/>
        <w:kinsoku/>
        <w:wordWrap/>
        <w:overflowPunct/>
        <w:topLinePunct w:val="0"/>
        <w:autoSpaceDE/>
        <w:autoSpaceDN/>
        <w:bidi w:val="0"/>
        <w:adjustRightInd/>
        <w:snapToGrid w:val="0"/>
        <w:spacing w:line="360" w:lineRule="auto"/>
        <w:ind w:left="360"/>
        <w:textAlignment w:val="auto"/>
        <w:rPr>
          <w:rFonts w:hint="eastAsia" w:ascii="宋体" w:hAnsi="宋体"/>
          <w:szCs w:val="21"/>
          <w:lang w:val="en-US" w:eastAsia="zh-CN"/>
        </w:rPr>
      </w:pPr>
      <w:r>
        <w:rPr>
          <w:sz w:val="21"/>
        </w:rPr>
        <mc:AlternateContent>
          <mc:Choice Requires="wps">
            <w:drawing>
              <wp:anchor distT="0" distB="0" distL="114935" distR="114935" simplePos="0" relativeHeight="251662336" behindDoc="0" locked="0" layoutInCell="1" allowOverlap="1">
                <wp:simplePos x="0" y="0"/>
                <wp:positionH relativeFrom="column">
                  <wp:posOffset>635</wp:posOffset>
                </wp:positionH>
                <wp:positionV relativeFrom="paragraph">
                  <wp:posOffset>254635</wp:posOffset>
                </wp:positionV>
                <wp:extent cx="5560695" cy="1229995"/>
                <wp:effectExtent l="4445" t="4445" r="10160" b="10160"/>
                <wp:wrapNone/>
                <wp:docPr id="13" name="文本框 13"/>
                <wp:cNvGraphicFramePr/>
                <a:graphic xmlns:a="http://schemas.openxmlformats.org/drawingml/2006/main">
                  <a:graphicData uri="http://schemas.microsoft.com/office/word/2010/wordprocessingShape">
                    <wps:wsp>
                      <wps:cNvSpPr txBox="1"/>
                      <wps:spPr>
                        <a:xfrm>
                          <a:off x="0" y="0"/>
                          <a:ext cx="5560695" cy="122999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20.05pt;height:96.85pt;width:437.85pt;z-index:251662336;mso-width-relative:page;mso-height-relative:page;" filled="f" stroked="t" coordsize="21600,21600" o:gfxdata="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d/oqrWAAAABwEAAA8A&#10;AAAAAAAAAQAgAAAAIgAAAGRycy9kb3ducmV2LnhtbFBLAQIUABQAAAAIAIdO4kDRriVlUgIAAJEE&#10;AAAOAAAAAAAAAAEAIAAAACUBAABkcnMvZTJvRG9jLnhtbFBLBQYAAAAABgAGAFkBAADpBQAAAAA=&#10;">
                <v:fill on="f" focussize="0,0"/>
                <v:stroke weight="0.25pt" color="#000000 [3204]" joinstyle="round"/>
                <v:imagedata o:title=""/>
                <o:lock v:ext="edit" aspectratio="f"/>
                <v:textbox>
                  <w:txbxContent>
                    <w:p/>
                  </w:txbxContent>
                </v:textbox>
              </v:shape>
            </w:pict>
          </mc:Fallback>
        </mc:AlternateContent>
      </w:r>
      <w:r>
        <w:rPr>
          <w:rFonts w:hint="eastAsia" w:ascii="宋体" w:hAnsi="宋体"/>
          <w:szCs w:val="21"/>
          <w:lang w:val="en-US" w:eastAsia="zh-CN"/>
        </w:rPr>
        <w:t>3）本标准中在动态试验的其它要求中进一步明确了儿童约束系统上部件失效的规定。如下：</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firstLine="420" w:firstLineChars="200"/>
        <w:jc w:val="left"/>
        <w:textAlignment w:val="auto"/>
        <w:outlineLvl w:val="5"/>
        <w:rPr>
          <w:rFonts w:hint="eastAsia" w:ascii="宋体" w:hAnsi="宋体" w:eastAsia="宋体" w:cs="宋体"/>
          <w:shd w:val="clear" w:fill="FFFFFF"/>
          <w:lang w:val="en-US"/>
        </w:rPr>
      </w:pPr>
      <w:r>
        <w:rPr>
          <w:rFonts w:hint="eastAsia" w:ascii="黑体" w:hAnsi="黑体" w:eastAsia="黑体" w:cs="黑体"/>
          <w:sz w:val="21"/>
          <w:szCs w:val="21"/>
          <w:lang w:val="en-US" w:eastAsia="zh-CN"/>
        </w:rPr>
        <w:t xml:space="preserve">5.1.5.2.1 </w:t>
      </w:r>
      <w:r>
        <w:rPr>
          <w:rFonts w:hint="eastAsia" w:ascii="宋体" w:hAnsi="宋体" w:eastAsia="宋体" w:cs="宋体"/>
          <w:color w:val="auto"/>
          <w:kern w:val="0"/>
          <w:sz w:val="21"/>
          <w:szCs w:val="21"/>
          <w:shd w:val="clear" w:fill="FFFFFF"/>
          <w:lang w:val="en-US" w:eastAsia="zh-CN" w:bidi="ar"/>
        </w:rPr>
        <w:t>动态试验中，</w:t>
      </w:r>
      <w:r>
        <w:rPr>
          <w:rFonts w:hint="eastAsia" w:ascii="黑体" w:hAnsi="宋体" w:eastAsia="宋体" w:cs="宋体"/>
          <w:color w:val="auto"/>
          <w:kern w:val="0"/>
          <w:sz w:val="21"/>
          <w:szCs w:val="21"/>
          <w:shd w:val="clear" w:fill="FFFFFF"/>
          <w:lang w:val="en-US" w:eastAsia="zh-CN" w:bidi="ar"/>
        </w:rPr>
        <w:t>儿童约束系统上</w:t>
      </w:r>
      <w:r>
        <w:rPr>
          <w:rFonts w:hint="eastAsia" w:ascii="宋体" w:hAnsi="宋体" w:eastAsia="宋体" w:cs="宋体"/>
          <w:color w:val="auto"/>
          <w:kern w:val="0"/>
          <w:sz w:val="21"/>
          <w:szCs w:val="21"/>
          <w:shd w:val="clear" w:fill="FFFFFF"/>
          <w:lang w:val="en-US" w:eastAsia="zh-CN" w:bidi="ar"/>
        </w:rPr>
        <w:t>除设计用于限制载荷的部件和系统外，用于保持儿童在乘坐位置上的约束系统的任何部件都不应完全或部分断裂，儿童约束系统的带扣、锁止装置或位移系统不应解锁或失效。</w:t>
      </w:r>
      <w:r>
        <w:rPr>
          <w:rFonts w:hint="eastAsia" w:ascii="黑体" w:hAnsi="宋体" w:eastAsia="宋体" w:cs="宋体"/>
          <w:color w:val="auto"/>
          <w:kern w:val="0"/>
          <w:sz w:val="21"/>
          <w:szCs w:val="21"/>
          <w:shd w:val="clear" w:fill="FFFFFF"/>
          <w:lang w:val="en-US" w:eastAsia="zh-CN" w:bidi="ar"/>
        </w:rPr>
        <w:t>儿童约束系统上</w:t>
      </w:r>
      <w:r>
        <w:rPr>
          <w:rFonts w:hint="eastAsia" w:ascii="宋体" w:hAnsi="宋体" w:eastAsia="宋体" w:cs="宋体"/>
          <w:color w:val="auto"/>
          <w:kern w:val="0"/>
          <w:sz w:val="21"/>
          <w:szCs w:val="21"/>
          <w:shd w:val="clear" w:fill="FFFFFF"/>
          <w:lang w:val="en-US" w:eastAsia="zh-CN" w:bidi="ar"/>
        </w:rPr>
        <w:t>设计用于限制载荷的部件和系统应满足以下要求：</w:t>
      </w:r>
    </w:p>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20" w:firstLineChars="200"/>
        <w:jc w:val="left"/>
        <w:textAlignment w:val="auto"/>
        <w:rPr>
          <w:rFonts w:hint="eastAsia" w:ascii="宋体" w:hAnsi="宋体" w:eastAsia="宋体" w:cs="宋体"/>
          <w:szCs w:val="21"/>
          <w:shd w:val="clear" w:fill="FFFFFF"/>
          <w:lang w:val="en-US"/>
        </w:rPr>
      </w:pPr>
      <w:r>
        <w:rPr>
          <w:rFonts w:hint="eastAsia" w:ascii="宋体" w:hAnsi="宋体" w:eastAsia="宋体" w:cs="宋体"/>
          <w:color w:val="auto"/>
          <w:kern w:val="2"/>
          <w:sz w:val="21"/>
          <w:szCs w:val="21"/>
          <w:shd w:val="clear" w:fill="FFFFFF"/>
          <w:lang w:val="en-US" w:eastAsia="zh-CN" w:bidi="ar"/>
        </w:rPr>
        <w:t>a）性能满足制造商的设计要求；</w:t>
      </w:r>
    </w:p>
    <w:p>
      <w:pPr>
        <w:pStyle w:val="13"/>
        <w:keepNext w:val="0"/>
        <w:keepLines w:val="0"/>
        <w:pageBreakBefore w:val="0"/>
        <w:widowControl/>
        <w:numPr>
          <w:ilvl w:val="4"/>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outlineLvl w:val="5"/>
        <w:rPr>
          <w:rFonts w:hint="eastAsia" w:ascii="宋体" w:hAnsi="宋体" w:eastAsia="宋体" w:cs="宋体"/>
          <w:shd w:val="clear" w:fill="FFFFFF"/>
          <w:lang w:val="en-US"/>
        </w:rPr>
      </w:pPr>
      <w:r>
        <w:rPr>
          <w:rFonts w:hint="eastAsia" w:ascii="宋体" w:hAnsi="宋体" w:eastAsia="宋体" w:cs="宋体"/>
          <w:color w:val="auto"/>
          <w:kern w:val="0"/>
          <w:sz w:val="21"/>
          <w:szCs w:val="21"/>
          <w:shd w:val="clear" w:fill="FFFFFF"/>
          <w:lang w:val="en-US" w:eastAsia="zh-CN" w:bidi="ar"/>
        </w:rPr>
        <w:t>b）未削减儿童约束系统保护乘员的功能。</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firstLine="420" w:firstLineChars="200"/>
        <w:jc w:val="left"/>
        <w:textAlignment w:val="auto"/>
        <w:outlineLvl w:val="5"/>
        <w:rPr>
          <w:rFonts w:hint="eastAsia" w:ascii="宋体" w:hAnsi="宋体" w:eastAsia="宋体" w:cs="宋体"/>
          <w:shd w:val="clear" w:fill="FFFFFF"/>
          <w:lang w:val="en-US"/>
        </w:rPr>
      </w:pPr>
      <w:r>
        <w:rPr>
          <w:sz w:val="21"/>
        </w:rPr>
        <mc:AlternateContent>
          <mc:Choice Requires="wps">
            <w:drawing>
              <wp:anchor distT="0" distB="0" distL="114935" distR="114935" simplePos="0" relativeHeight="251663360" behindDoc="0" locked="0" layoutInCell="1" allowOverlap="1">
                <wp:simplePos x="0" y="0"/>
                <wp:positionH relativeFrom="column">
                  <wp:posOffset>5715</wp:posOffset>
                </wp:positionH>
                <wp:positionV relativeFrom="paragraph">
                  <wp:posOffset>-2540</wp:posOffset>
                </wp:positionV>
                <wp:extent cx="5560695" cy="726440"/>
                <wp:effectExtent l="4445" t="4445" r="10160" b="5715"/>
                <wp:wrapNone/>
                <wp:docPr id="14" name="文本框 14"/>
                <wp:cNvGraphicFramePr/>
                <a:graphic xmlns:a="http://schemas.openxmlformats.org/drawingml/2006/main">
                  <a:graphicData uri="http://schemas.microsoft.com/office/word/2010/wordprocessingShape">
                    <wps:wsp>
                      <wps:cNvSpPr txBox="1"/>
                      <wps:spPr>
                        <a:xfrm>
                          <a:off x="0" y="0"/>
                          <a:ext cx="5560695" cy="726440"/>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0.2pt;height:57.2pt;width:437.85pt;z-index:251663360;mso-width-relative:page;mso-height-relative:page;" filled="f" stroked="t" coordsize="21600,21600" o:gfxdata="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4j4D9UAAAAGAQAADwAA&#10;AAAAAAABACAAAAAiAAAAZHJzL2Rvd25yZXYueG1sUEsBAhQAFAAAAAgAh07iQPIsWdtSAgAAkAQA&#10;AA4AAAAAAAAAAQAgAAAAJAEAAGRycy9lMm9Eb2MueG1sUEsFBgAAAAAGAAYAWQEAAOgFAAAAAA==&#10;">
                <v:fill on="f" focussize="0,0"/>
                <v:stroke weight="0.25pt" color="#000000 [3204]" joinstyle="round"/>
                <v:imagedata o:title=""/>
                <o:lock v:ext="edit" aspectratio="f"/>
                <v:textbox>
                  <w:txbxContent>
                    <w:p/>
                  </w:txbxContent>
                </v:textbox>
              </v:shape>
            </w:pict>
          </mc:Fallback>
        </mc:AlternateContent>
      </w:r>
      <w:r>
        <w:rPr>
          <w:rFonts w:hint="eastAsia" w:ascii="黑体" w:hAnsi="黑体" w:eastAsia="黑体" w:cs="黑体"/>
          <w:sz w:val="21"/>
          <w:szCs w:val="21"/>
          <w:lang w:val="en-US" w:eastAsia="zh-CN"/>
        </w:rPr>
        <w:t xml:space="preserve">5.1.5.2.2 </w:t>
      </w:r>
      <w:r>
        <w:rPr>
          <w:rFonts w:hint="eastAsia" w:ascii="黑体" w:hAnsi="Times New Roman" w:eastAsia="宋体" w:cs="宋体"/>
          <w:kern w:val="0"/>
          <w:sz w:val="21"/>
          <w:szCs w:val="21"/>
          <w:lang w:val="en-US" w:eastAsia="zh-CN" w:bidi="ar"/>
        </w:rPr>
        <w:t>动态试验中，车辆安全带不应从导向件或锁止机构中脱落</w:t>
      </w:r>
      <w:r>
        <w:rPr>
          <w:rFonts w:hint="eastAsia" w:ascii="宋体" w:hAnsi="Times New Roman" w:eastAsia="宋体" w:cs="宋体"/>
          <w:kern w:val="0"/>
          <w:sz w:val="21"/>
          <w:szCs w:val="21"/>
          <w:lang w:val="en-US" w:eastAsia="zh-CN" w:bidi="ar"/>
        </w:rPr>
        <w:t>。</w:t>
      </w:r>
      <w:r>
        <w:rPr>
          <w:rFonts w:hint="eastAsia" w:ascii="黑体" w:hAnsi="Times New Roman" w:eastAsia="宋体" w:cs="宋体"/>
          <w:kern w:val="0"/>
          <w:sz w:val="21"/>
          <w:szCs w:val="21"/>
          <w:lang w:val="en-US" w:eastAsia="zh-CN" w:bidi="ar"/>
        </w:rPr>
        <w:t>对</w:t>
      </w:r>
      <w:r>
        <w:rPr>
          <w:rFonts w:hint="eastAsia" w:ascii="宋体" w:hAnsi="Times New Roman" w:eastAsia="宋体" w:cs="宋体"/>
          <w:kern w:val="0"/>
          <w:sz w:val="21"/>
          <w:szCs w:val="21"/>
          <w:lang w:val="en-US" w:eastAsia="zh-CN" w:bidi="ar"/>
        </w:rPr>
        <w:t>于非整体式儿童约束系统，</w:t>
      </w:r>
      <w:r>
        <w:rPr>
          <w:rFonts w:hint="eastAsia" w:ascii="黑体" w:hAnsi="Times New Roman" w:eastAsia="宋体" w:cs="宋体"/>
          <w:kern w:val="0"/>
          <w:sz w:val="21"/>
          <w:szCs w:val="21"/>
          <w:lang w:val="en-US" w:eastAsia="zh-CN" w:bidi="ar"/>
        </w:rPr>
        <w:t>车辆安全带</w:t>
      </w:r>
      <w:r>
        <w:rPr>
          <w:rFonts w:hint="eastAsia" w:ascii="宋体" w:hAnsi="Times New Roman" w:eastAsia="宋体" w:cs="宋体"/>
          <w:kern w:val="0"/>
          <w:sz w:val="21"/>
          <w:szCs w:val="21"/>
          <w:lang w:val="en-US" w:eastAsia="zh-CN" w:bidi="ar"/>
        </w:rPr>
        <w:t>的肩带部分，应在假人头部水平移动量到达最大值前判定。</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firstLine="420" w:firstLineChars="200"/>
        <w:jc w:val="left"/>
        <w:textAlignment w:val="auto"/>
        <w:outlineLvl w:val="5"/>
        <w:rPr>
          <w:rFonts w:hint="eastAsia" w:ascii="宋体" w:hAnsi="宋体" w:eastAsia="黑体" w:cs="宋体"/>
          <w:shd w:val="clear" w:fill="FFFFFF"/>
          <w:lang w:val="en-US"/>
        </w:rPr>
      </w:pPr>
      <w:r>
        <w:rPr>
          <w:rFonts w:hint="eastAsia" w:ascii="黑体" w:hAnsi="黑体" w:eastAsia="黑体" w:cs="黑体"/>
          <w:sz w:val="21"/>
          <w:szCs w:val="21"/>
          <w:lang w:val="en-US" w:eastAsia="zh-CN"/>
        </w:rPr>
        <w:t xml:space="preserve">5.1.5.2.3 </w:t>
      </w:r>
      <w:r>
        <w:rPr>
          <w:rFonts w:hint="eastAsia" w:ascii="宋体" w:hAnsi="Times New Roman" w:eastAsia="宋体" w:cs="宋体"/>
          <w:kern w:val="0"/>
          <w:sz w:val="21"/>
          <w:szCs w:val="21"/>
          <w:lang w:val="en-US" w:eastAsia="zh-CN" w:bidi="ar"/>
        </w:rPr>
        <w:t>动态试验中，在假人头部水平移动量到达最大值前，腰带不应完全滑离假人骨盆。</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以上要求旨在确保儿童约束系统在动态试验期间能够承受所有载荷，通过保持初始位置和配置，使儿童保持在原位。原始配置的任何变化，包括倾斜位置或支腿长度的变化，都应视为失效。任何承载部件或组件的失效，如车辆安全带接触点（标识为安全带路径）、抗翻转装置或CRS外壳，也应视为失效，除非已明确定义为限制载荷装置。</w:t>
      </w:r>
    </w:p>
    <w:p>
      <w:pPr>
        <w:numPr>
          <w:ilvl w:val="2"/>
          <w:numId w:val="8"/>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使用新型Q</w:t>
      </w:r>
      <w:bookmarkStart w:id="19" w:name="OLE_LINK39"/>
      <w:bookmarkStart w:id="20" w:name="OLE_LINK42"/>
      <w:r>
        <w:rPr>
          <w:rFonts w:hint="eastAsia" w:ascii="黑体" w:hAnsi="黑体" w:eastAsia="黑体"/>
          <w:bCs/>
          <w:szCs w:val="21"/>
          <w:lang w:val="en-US" w:eastAsia="zh-CN"/>
        </w:rPr>
        <w:t>系列</w:t>
      </w:r>
      <w:bookmarkEnd w:id="19"/>
      <w:bookmarkEnd w:id="20"/>
      <w:r>
        <w:rPr>
          <w:rFonts w:hint="eastAsia" w:ascii="黑体" w:hAnsi="黑体" w:eastAsia="黑体"/>
          <w:bCs/>
          <w:szCs w:val="21"/>
          <w:lang w:val="en-US" w:eastAsia="zh-CN"/>
        </w:rPr>
        <w:t>假人并增加假人标定要求</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Q系列假人是国际发展趋势，UN129、NCAP、ADAC、JNCAP均采用Q系列假人进行动态试验；因 Q系列假人相比原标准中的P系列假人，评价指标包括了头、颈、胸等部位，更加完善，且 Q系列假人腹部评价更为客观、仿真性能更好，更真实地反映了</w:t>
      </w:r>
      <w:r>
        <w:rPr>
          <w:rFonts w:hint="default" w:ascii="宋体" w:hAnsi="宋体"/>
          <w:szCs w:val="21"/>
          <w:lang w:val="en-US" w:eastAsia="zh-CN"/>
        </w:rPr>
        <w:t>了碰撞对</w:t>
      </w:r>
      <w:r>
        <w:rPr>
          <w:rFonts w:hint="eastAsia" w:ascii="宋体" w:hAnsi="宋体"/>
          <w:szCs w:val="21"/>
          <w:lang w:val="en-US" w:eastAsia="zh-CN"/>
        </w:rPr>
        <w:t>于</w:t>
      </w:r>
      <w:r>
        <w:rPr>
          <w:rFonts w:hint="default" w:ascii="宋体" w:hAnsi="宋体"/>
          <w:szCs w:val="21"/>
          <w:lang w:val="en-US" w:eastAsia="zh-CN"/>
        </w:rPr>
        <w:t>孩子身体的实际影响</w:t>
      </w:r>
      <w:r>
        <w:rPr>
          <w:rFonts w:hint="eastAsia" w:ascii="宋体" w:hAnsi="宋体"/>
          <w:szCs w:val="21"/>
          <w:lang w:val="en-US" w:eastAsia="zh-CN"/>
        </w:rPr>
        <w:t>，因此其应用更合理。Q系列假人能评价更多碰撞形态的乘员伤害。所以，本标准中碰撞试验方法中所使用的假人使用Q系列假人，代替原标准中的P系列假人。</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而假人的标定是为了使假人在碰撞试验过程中采集的数据能够准确不致产生设备偏差，规范的标定程序正是对假人性能的保障。因此本标准附录G中增加了G.2假人的标定一章。规定：每个假人的标定周期为每30次试验或每个月（以先到的为准）进行标定或更换假人零件后进行标定。</w:t>
      </w:r>
    </w:p>
    <w:p>
      <w:pPr>
        <w:numPr>
          <w:ilvl w:val="2"/>
          <w:numId w:val="8"/>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新的“i-Size”标识</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“i-Size”儿童约束系统</w:t>
      </w:r>
      <w:r>
        <w:rPr>
          <w:rFonts w:hint="default" w:ascii="宋体" w:hAnsi="宋体"/>
          <w:szCs w:val="21"/>
          <w:lang w:val="en-US" w:eastAsia="zh-CN"/>
        </w:rPr>
        <w:t>除了简化</w:t>
      </w:r>
      <w:r>
        <w:rPr>
          <w:rFonts w:hint="eastAsia" w:ascii="宋体" w:hAnsi="宋体"/>
          <w:szCs w:val="21"/>
          <w:lang w:val="en-US" w:eastAsia="zh-CN"/>
        </w:rPr>
        <w:t>儿童约束系统</w:t>
      </w:r>
      <w:r>
        <w:rPr>
          <w:rFonts w:hint="default" w:ascii="宋体" w:hAnsi="宋体"/>
          <w:szCs w:val="21"/>
          <w:lang w:val="en-US" w:eastAsia="zh-CN"/>
        </w:rPr>
        <w:t>的使用外，</w:t>
      </w:r>
      <w:r>
        <w:rPr>
          <w:rFonts w:hint="eastAsia" w:ascii="宋体" w:hAnsi="宋体"/>
          <w:szCs w:val="21"/>
          <w:lang w:val="en-US" w:eastAsia="zh-CN"/>
        </w:rPr>
        <w:t>使儿童约束系统</w:t>
      </w:r>
      <w:r>
        <w:rPr>
          <w:rFonts w:hint="default" w:ascii="宋体" w:hAnsi="宋体"/>
          <w:szCs w:val="21"/>
          <w:lang w:val="en-US" w:eastAsia="zh-CN"/>
        </w:rPr>
        <w:t>被动安全性也得到了改进。在具有</w:t>
      </w:r>
      <w:r>
        <w:rPr>
          <w:rFonts w:hint="eastAsia" w:ascii="宋体" w:hAnsi="宋体"/>
          <w:szCs w:val="21"/>
          <w:lang w:val="en-US" w:eastAsia="zh-CN"/>
        </w:rPr>
        <w:t>“i-Size”</w:t>
      </w:r>
      <w:r>
        <w:rPr>
          <w:rFonts w:hint="default" w:ascii="宋体" w:hAnsi="宋体"/>
          <w:szCs w:val="21"/>
          <w:lang w:val="en-US" w:eastAsia="zh-CN"/>
        </w:rPr>
        <w:t>座椅</w:t>
      </w:r>
      <w:r>
        <w:rPr>
          <w:rFonts w:hint="eastAsia" w:ascii="宋体" w:hAnsi="宋体"/>
          <w:szCs w:val="21"/>
          <w:lang w:val="en-US" w:eastAsia="zh-CN"/>
        </w:rPr>
        <w:t>位置</w:t>
      </w:r>
      <w:r>
        <w:rPr>
          <w:rFonts w:hint="default" w:ascii="宋体" w:hAnsi="宋体"/>
          <w:szCs w:val="21"/>
          <w:lang w:val="en-US" w:eastAsia="zh-CN"/>
        </w:rPr>
        <w:t>的车辆中，可以使用任何类型的</w:t>
      </w:r>
      <w:r>
        <w:rPr>
          <w:rFonts w:hint="eastAsia" w:ascii="宋体" w:hAnsi="宋体"/>
          <w:szCs w:val="21"/>
          <w:lang w:val="en-US" w:eastAsia="zh-CN"/>
        </w:rPr>
        <w:t>“i-Size”儿童约束系统</w:t>
      </w:r>
      <w:r>
        <w:rPr>
          <w:rFonts w:hint="default" w:ascii="宋体" w:hAnsi="宋体"/>
          <w:szCs w:val="21"/>
          <w:lang w:val="en-US" w:eastAsia="zh-CN"/>
        </w:rPr>
        <w:t>。</w:t>
      </w:r>
      <w:r>
        <w:rPr>
          <w:rFonts w:hint="eastAsia" w:ascii="宋体" w:hAnsi="宋体"/>
          <w:szCs w:val="21"/>
          <w:lang w:val="en-US" w:eastAsia="zh-CN"/>
        </w:rPr>
        <w:t>在</w:t>
      </w:r>
      <w:r>
        <w:rPr>
          <w:rFonts w:hint="eastAsia" w:ascii="宋体" w:hAnsi="宋体"/>
          <w:szCs w:val="21"/>
          <w:lang w:val="en-US" w:eastAsia="zh-CN"/>
        </w:rPr>
        <w:drawing>
          <wp:anchor distT="0" distB="0" distL="114935" distR="114935" simplePos="0" relativeHeight="251664384" behindDoc="0" locked="0" layoutInCell="1" allowOverlap="1">
            <wp:simplePos x="0" y="0"/>
            <wp:positionH relativeFrom="column">
              <wp:posOffset>4867910</wp:posOffset>
            </wp:positionH>
            <wp:positionV relativeFrom="paragraph">
              <wp:posOffset>-8255</wp:posOffset>
            </wp:positionV>
            <wp:extent cx="658495" cy="756920"/>
            <wp:effectExtent l="0" t="0" r="1905" b="5080"/>
            <wp:wrapSquare wrapText="bothSides"/>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7"/>
                    <a:stretch>
                      <a:fillRect/>
                    </a:stretch>
                  </pic:blipFill>
                  <pic:spPr>
                    <a:xfrm>
                      <a:off x="0" y="0"/>
                      <a:ext cx="658495" cy="756920"/>
                    </a:xfrm>
                    <a:prstGeom prst="rect">
                      <a:avLst/>
                    </a:prstGeom>
                    <a:noFill/>
                    <a:ln>
                      <a:noFill/>
                    </a:ln>
                  </pic:spPr>
                </pic:pic>
              </a:graphicData>
            </a:graphic>
          </wp:anchor>
        </w:drawing>
      </w:r>
      <w:r>
        <w:rPr>
          <w:rFonts w:hint="eastAsia" w:ascii="宋体" w:hAnsi="宋体"/>
          <w:szCs w:val="21"/>
          <w:lang w:val="en-US" w:eastAsia="zh-CN"/>
        </w:rPr>
        <w:t>“i-Size”儿童约束系统上ISOFIX下连接件上，以及车辆的“i-Size”</w:t>
      </w:r>
      <w:r>
        <w:rPr>
          <w:rFonts w:hint="default" w:ascii="宋体" w:hAnsi="宋体"/>
          <w:szCs w:val="21"/>
          <w:lang w:val="en-US" w:eastAsia="zh-CN"/>
        </w:rPr>
        <w:t>座椅</w:t>
      </w:r>
      <w:r>
        <w:rPr>
          <w:rFonts w:hint="eastAsia" w:ascii="宋体" w:hAnsi="宋体"/>
          <w:szCs w:val="21"/>
          <w:lang w:val="en-US" w:eastAsia="zh-CN"/>
        </w:rPr>
        <w:t>位置的ISOFIX下固定点附件，都应保证在车辆上安装儿童约束系统的操作者能够看见如右的“i-Size”标识。</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但是如果在某些带有ISOFIX标识的车辆座椅位置使用获得批准的“i-Size”CRS，那么应按照联合国法规UN R44的要求使用，即根据车辆手册中的说明。</w:t>
      </w:r>
    </w:p>
    <w:p>
      <w:pPr>
        <w:numPr>
          <w:ilvl w:val="2"/>
          <w:numId w:val="8"/>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本标准与原标准的章条差异</w:t>
      </w:r>
      <w:bookmarkEnd w:id="14"/>
      <w:bookmarkEnd w:id="15"/>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本标准除了以上主要技术内容的更改和增加外，对原标准的术语结构也进行了调整，以对应范围中明确的标准适用的八种类类型的产品。本标准与GB 27887-2011相比，正文中除了部分结构性和编辑性修改之外，由于GB 27887-2011以及UN R129的附录顺序编排不符合GB/T 1.1的要求，因此附录的顺序进行了大调整。标准中主要技术差异及涉及条款如下：</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——更改了文件的适用范围（见第1章，2011年版的第1章）；</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——更改了儿童约束系统的定义（见3.1，2011年版的3.1）；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——更改了儿童约束系统同一型式的定义（见3.2，2011年版的3.34）；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——更改了整体式的定义（见3.3.1，2011年版的3.3.1）；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——更改了非整体式的定义（见3.3.2，2011年版的3.3.2）；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——更改了ISOFIX的术语（见3.4，2011年版的3.23）；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——增加了通用儿童约束系统和特殊车型用儿童约束系统的术语和定义（见3.6、3.7）；</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——删除了类型、通用类、受限制类、半通用类、特殊车辆类儿童约束系统的术语和定义（2011年版的3.2）；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——删除了分类的术语和定义（2011年版的3.3）；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——删除了部分约束、增高垫、导向带的术语和定义（2011年版的3.4、3.5、3.6）；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——增加了尺寸范围的术语和定义（见3.8）；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——增加了侧向的术语和定义（见3.9.3）；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——删除了ISOFIX固定点定义中的图示（2011年版的图1）；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——更改了抗翻转装置的定义（见3.12，2011年版的3.28）；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——更改了ISOFIX上拉带固定点的定义（见3.13.1，2011年版的3.29）；</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——更改了支撑腿的定义（见3.15，2011年版的3.20）；</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——增加了支撑腿脚、支撑腿脚接触面、支撑腿脚评估体、支撑腿尺寸评估体的术语和定义（见3.15.1、3.15.2、3.15.3、3.15.4）；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——增加了儿童约束固定模块（CRF）的术语和定义（见3.16）；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——更改了车辆座位检具的术语和定义（见3.17.1，2011年版的3.47）；</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——增加了i-Size增高垫/椅检具的术语和定义（见3.17.2）；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——更改了座椅的定义（见3.18.1，2011年版 的3.9）；</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——更改了儿童约束带系统的术语和定义（见3.19，2011年版的3.8）；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——更改了婴儿提篮的定义（见3.24，2011年版的3.12）；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——更改了碰撞防护装置的定义（见3.26，2011年版的3.15）；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——更改了织带的定义（见3.27，2011年版的3.16）；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——更改了儿童约束带的定义（见3.28，2011年版的3.16.4）；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——更改了腰带约束带的术语和定义（见3.29，2011年版的3.16.1）；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——删除了儿童约束连接带的术语和定义（2011年版的3.16.5）；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——更改了调节装置的定义（见3.33，2011年版的3.18）；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——删除了儿童约束系统调节器、连接装置的术语和定义（2011年版的3.18.2、3.19）；</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——删除了约束系统固定点、附加固定点的术语和定义（2011年版的3.24、3.25）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——增加了肩带定位器的术语和定义（见3.37）；</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——增加了衬垫的术语和定义（见3.38）；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——更改了睡姿的术语（见3.40，2011年版的3.33）；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——增加了儿童约束系统位移系统、儿童约束系统锁止系统、限制载荷装置的术语和定义（见3.41、3.42、3.43）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——增加了模块、基座的术语和定义（见3.45、3.46）；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——增加了安全带路径、织带通过区域的术语和定义（见3.47、3.48）；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——增加了复合材料的术语和定义（见3.49）；</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——更改了车辆座椅位移系统和车辆座椅锁止系统的术语（见3.55、3.56，2011年版的3.40、3.41）；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——更改了ISOFIX座位的术语和定义（见3.58.1，2011年版的3.36）；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——增加了i-Size座位、通用座位的术语和定义（见3.58.2、3.58.3）；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——删除了ISOFIX儿童约束系统的术语和定义（2011年版的3.45）；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——删除了成人安全带导向机构的术语和定义（2011年版的3.53）；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——删除了儿童约束系统的分组（2011年版的4.1）；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——更改了儿童约束系统在车辆上的安装位置及固定方式的一般要求（见4.1，2011年版的4.2）；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——更改了儿童约束系统的结构要求（见4.2，2011年版的4.3）；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——更改了儿童约束系统材料的要求（见4.3.1，2011年版的4.2.5、4.2.6）；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——更改了儿童约束系统的尺寸和质量要求（见4.3.2，2011年版的4.4.1）； poiut </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——更改了ISOFIX连接装置锁止标识的提法（见4.3.3.3，2011年版的4.4.2.3）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——删除了ISOFIX儿童约束系统上拉带的调整规定（2011年版的4.4.4）；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——增加了i-Size儿童约束系统支撑腿和支撑腿脚的一般要求、尺寸和调节范围（见4.3.5）；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——更改了儿童约束系统动态试验的一般要求、其它要求和假人伤害指标（见5.1.5，2011年版的5.1.4、5.1.5）；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——删除了对Ⅱ组和Ⅲ组儿童约束系统带扣的位置要求（2011年版的5.2.1.5）；</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——增加了儿童约束系统肩带定位器的要求（见5.2.2）；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——更改了儿童约束系统织带最小宽度要求（见5.2.5.1，2011年版的5.2.4.1）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——更改了儿童约束系统的织带在特殊条件下的强度要求（见5.2.5.3.2，2011年版的5.2.4.3.2）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——增加了ISOFIX儿童约束系统连接装置上的锁止机构的性能要求（见5.2.6.2）；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——更改了儿童约束系统翻转试验方法（见6.1.2，2011年版的6.1.2）；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——更改了动态试验说明（见6.1.3.1，2011年版的6.1.3.9）；</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——更改了减速或加速式滑车的描述（见6.1.3.2.1.4，2011年版的6.1.3.1）；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——更改了在滑车上和标准座椅上进行的前面碰撞和后面碰撞试验方法的描述（见6.1.3.2.1、6.1.3.2.2，2011年版的6.1.3.2.1、6.1.3.2.2）；</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——增加了在滑车上和标准座椅上进行的侧面碰撞滑车试验方法（见6.1.3.2.3）；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——删除了动态试验中对停止距离的测量要求（2011年版的6.1.3.2.1.3、6.1.3.3.1.6）；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——更改了不同试验型态下的动态试验条件（见表6，2011年版的表3）；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——删除了包括附加固定点的儿童约束系统的动态试验方法（2011年版的6.1.3.6）；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——更改了试验假人的安装程序（见6.1.3.6.2，2011年版的6.1.3.7）；</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——增加了安装假人后在动态试验开始前的要求（见6.1.3.6.3）；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——更改了动态试验假人选用的方法（见6.1.3.7，2011年版的6.1.3.8）；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——增加了支撑腿调节的方法和要求（见6.1.3.8）；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——删除了增高垫的约束方法（2011年版的6.1.4）；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——更改了微滑移试验的描述（见6.2.3，2011年版的6.2.3）；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——更改了磨损试验程序和载荷要求（见6.2.5.2.7.3和表9，2011年版的6.2.5.2.7.3和表4）；</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——更改了调节装置的试验方法的描述（见6.2.6和附录U，2011年版的6.2.7和附录S）；</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——增加了对ISOFIX连接装置的试验方法（见6.2.8）；</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——更改了动态试验过程中对视频记录的要求（见6.4，2011年版的6.4.1.1）；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——增加了对颈部、胸部、腹部的电测量通道频率级（见表10）；</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——更改了试验报告中测量结果记录的内容（见第7章，2011年版的第7章）；</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——更改了对儿童约束系统标识的要求（见第8章，2011年版的第8章）；</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——更改了对儿童约束系统说明指导文件的要求（见第9章，2011年版的第9章）；</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——增加了对于标准实施过渡期的规定（见第10章）；</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——删除了本文件与联合国法规章条编号对照变化情况（2011年版的附录A）；</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——增加了对特殊车型用安全带固定式的后向儿童约束系统的附加固定点要求（见附录A）；</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——增加了对增高垫高度测量装置要求和测量方法（见附录C）；</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——更改了对下躯干体试验的描述（见附录D，2011年版的附录X）；</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——增加了儿童约束系统内部几何尺寸要求及评估方法（见附录E）；</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——增加了i-Size 支撑腿尺寸评估体和支撑腿脚评估体的规定（见附录F）；</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——更改了材料吸能测试的试验程序（见附录G中的G.3，2011年版附录Q中的Q.3）；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——增加了对于侧面碰撞门的定义和性能要求（见附录I中I.6）；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——更改了滑车上标准座椅靠背及座垫材料特性参数、覆盖材料的相关尺寸（见附录I中的I.3.1、2011年版附录E中的E.3.1）；</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——更改了滑车试验标准座椅及座垫的尺寸、固定点的布置和安全带固定点的位置（见附录I中的I.4、I.5、I.6，2011年版附录E中的E.5、E.7）；</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——删除了对停止装置的尺寸要求（2011年版附录E中的E.6）；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——删除了对半通用类的儿童约束系统装置附加固定点的要求（2011年版的附录J）；</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——增加了对动态试验性能指标的确定方法（见附录J）；</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——删除了儿童约束系统座椅靠背内高的要求（2011年版的附录K）；</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——增加了翻转试验的载荷施加装置的图示及相关尺寸参数（见附录L）；</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——增加了侧面碰撞曲线的定义及侧面碰撞中滑车与门板相对速度随时间变化的曲线（见附录M中的表M.3和图M.3）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——删除了对标准安全带中两点无卷收式安全带的相关描述（2011年版附录M中的M.5、M.6）；</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——删除了说明性注解（2011年版的附录P）；</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——更改了对假人的描述（见附录P中的P.1，2011年版的附录G）；</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——增加了假人的标定程序（见附录P中的P.2、P.3）；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——删除了对侧翼最小尺寸的测量要求（2011年版附录R中的R.2、R.3）；</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——更改了磨损和微滑移试验程序示意图（见附录T、附录R，2011年版的附录D）；</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——删除了动态碰撞试验装置的描述（2011年版的附录U）；</w:t>
      </w:r>
    </w:p>
    <w:p>
      <w:pPr>
        <w:spacing w:line="400" w:lineRule="exact"/>
        <w:ind w:firstLine="420" w:firstLineChars="200"/>
        <w:rPr>
          <w:rFonts w:hint="eastAsia" w:ascii="宋体" w:hAnsi="宋体" w:eastAsia="宋体" w:cs="宋体"/>
          <w:kern w:val="2"/>
          <w:sz w:val="21"/>
          <w:szCs w:val="24"/>
          <w:lang w:val="en-US" w:eastAsia="zh-CN" w:bidi="ar"/>
        </w:rPr>
      </w:pPr>
      <w:r>
        <w:rPr>
          <w:rFonts w:hint="eastAsia" w:ascii="宋体" w:hAnsi="宋体"/>
          <w:szCs w:val="21"/>
          <w:lang w:val="en-US" w:eastAsia="zh-CN"/>
        </w:rPr>
        <w:t>——更改了调节装置耐久试验操作方法（附录U，2011年版的附录S）。</w:t>
      </w:r>
    </w:p>
    <w:p>
      <w:pPr>
        <w:autoSpaceDE w:val="0"/>
        <w:autoSpaceDN w:val="0"/>
        <w:adjustRightInd w:val="0"/>
        <w:spacing w:line="400" w:lineRule="exact"/>
        <w:ind w:firstLine="422" w:firstLineChars="200"/>
        <w:jc w:val="left"/>
        <w:outlineLvl w:val="0"/>
        <w:rPr>
          <w:rFonts w:hint="default"/>
          <w:b/>
          <w:szCs w:val="21"/>
          <w:lang w:val="en-US" w:eastAsia="zh-CN"/>
        </w:rPr>
      </w:pPr>
      <w:r>
        <w:rPr>
          <w:rFonts w:hint="eastAsia"/>
          <w:b/>
          <w:szCs w:val="21"/>
          <w:lang w:val="en-US" w:eastAsia="zh-CN"/>
        </w:rPr>
        <w:t>（三）</w:t>
      </w:r>
      <w:r>
        <w:rPr>
          <w:rFonts w:hint="eastAsia"/>
          <w:b/>
          <w:szCs w:val="21"/>
        </w:rPr>
        <w:t>主要试验（或验证）情况分析</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本文件修订内容将以欧盟法规UN R129为基础，再结合GB 27887-2011标准实施几年来发现的问题进行研究。开展了新旧版假人的试验对比分析，新增加的侧面碰撞试验内容和应用新的Q系列假人后的正面、后面碰撞已完成了试验验证，对试验条件、设备等硬件准备已经完善，具备测试能力，且正在进行更多的试验验证以积累试验数据。</w:t>
      </w:r>
    </w:p>
    <w:p>
      <w:pPr>
        <w:numPr>
          <w:ilvl w:val="2"/>
          <w:numId w:val="9"/>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P系列假人与Q系列假人对比试验</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修订后标准因启用新的Q系列假人，在标准研究过程中也对原P系列假人和新Q系列假人进行了试验对比分析。以下是对比试验的初步结果：</w:t>
      </w:r>
    </w:p>
    <w:p>
      <w:pPr>
        <w:spacing w:line="360" w:lineRule="auto"/>
        <w:ind w:firstLine="480"/>
        <w:rPr>
          <w:szCs w:val="21"/>
        </w:rPr>
      </w:pPr>
      <w:r>
        <w:rPr>
          <w:szCs w:val="21"/>
        </w:rPr>
        <w:drawing>
          <wp:inline distT="0" distB="0" distL="0" distR="0">
            <wp:extent cx="1719580" cy="1319530"/>
            <wp:effectExtent l="19050" t="0" r="0" b="0"/>
            <wp:docPr id="3"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495497"/>
                      <a:ext cx="2857499" cy="2285999"/>
                      <a:chOff x="0" y="495497"/>
                      <a:chExt cx="2857499" cy="2285999"/>
                    </a:xfrm>
                  </a:grpSpPr>
                  <a:sp>
                    <a:nvSpPr>
                      <a:cNvPr id="3" name="矩形 3"/>
                      <a:cNvSpPr/>
                    </a:nvSpPr>
                    <a:spPr>
                      <a:xfrm>
                        <a:off x="0" y="495497"/>
                        <a:ext cx="2857499" cy="2285999"/>
                      </a:xfrm>
                      <a:prstGeom prst="rect">
                        <a:avLst/>
                      </a:prstGeom>
                      <a:blipFill rotWithShape="1">
                        <a:blip r:embed="rId8"/>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r>
        <w:rPr>
          <w:rFonts w:hint="eastAsia"/>
          <w:szCs w:val="21"/>
        </w:rPr>
        <w:t xml:space="preserve"> </w:t>
      </w:r>
      <w:r>
        <w:rPr>
          <w:szCs w:val="21"/>
        </w:rPr>
        <w:drawing>
          <wp:inline distT="0" distB="0" distL="0" distR="0">
            <wp:extent cx="1658620" cy="1332865"/>
            <wp:effectExtent l="19050" t="0" r="0" b="0"/>
            <wp:docPr id="6" name="对象 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143250" y="495497"/>
                      <a:ext cx="2857499" cy="2285999"/>
                      <a:chOff x="3143250" y="495497"/>
                      <a:chExt cx="2857499" cy="2285999"/>
                    </a:xfrm>
                  </a:grpSpPr>
                  <a:sp>
                    <a:nvSpPr>
                      <a:cNvPr id="3" name="矩形 3"/>
                      <a:cNvSpPr/>
                    </a:nvSpPr>
                    <a:spPr>
                      <a:xfrm>
                        <a:off x="3143250" y="495497"/>
                        <a:ext cx="2857499" cy="2285999"/>
                      </a:xfrm>
                      <a:prstGeom prst="rect">
                        <a:avLst/>
                      </a:prstGeom>
                      <a:blipFill rotWithShape="1">
                        <a:blip r:embed="rId9"/>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r>
        <w:rPr>
          <w:rFonts w:hint="eastAsia"/>
          <w:szCs w:val="21"/>
        </w:rPr>
        <w:t xml:space="preserve"> </w:t>
      </w:r>
      <w:r>
        <w:rPr>
          <w:szCs w:val="21"/>
        </w:rPr>
        <w:drawing>
          <wp:inline distT="0" distB="0" distL="0" distR="0">
            <wp:extent cx="1584325" cy="1332865"/>
            <wp:effectExtent l="19050" t="0" r="0" b="0"/>
            <wp:docPr id="9" name="对象 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286500" y="495497"/>
                      <a:ext cx="2857499" cy="2285999"/>
                      <a:chOff x="6286500" y="495497"/>
                      <a:chExt cx="2857499" cy="2285999"/>
                    </a:xfrm>
                  </a:grpSpPr>
                  <a:sp>
                    <a:nvSpPr>
                      <a:cNvPr id="3" name="矩形 3"/>
                      <a:cNvSpPr/>
                    </a:nvSpPr>
                    <a:spPr>
                      <a:xfrm>
                        <a:off x="6286500" y="495497"/>
                        <a:ext cx="2857499" cy="2285999"/>
                      </a:xfrm>
                      <a:prstGeom prst="rect">
                        <a:avLst/>
                      </a:prstGeom>
                      <a:blipFill rotWithShape="1">
                        <a:blip r:embed="rId10"/>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p>
    <w:p>
      <w:pPr>
        <w:spacing w:line="360" w:lineRule="auto"/>
        <w:ind w:left="359" w:leftChars="171" w:firstLine="210" w:firstLineChars="100"/>
        <w:rPr>
          <w:rFonts w:ascii="宋体" w:hAnsi="宋体" w:cs="宋体"/>
          <w:bCs/>
          <w:szCs w:val="21"/>
        </w:rPr>
      </w:pPr>
      <w:r>
        <w:rPr>
          <w:rFonts w:hint="eastAsia" w:ascii="宋体" w:hAnsi="宋体" w:cs="宋体"/>
          <w:bCs/>
          <w:szCs w:val="21"/>
        </w:rPr>
        <w:t>反装正碰，</w:t>
      </w:r>
      <w:r>
        <w:rPr>
          <w:rFonts w:ascii="宋体" w:hAnsi="宋体" w:cs="宋体"/>
          <w:bCs/>
          <w:szCs w:val="21"/>
        </w:rPr>
        <w:t>P1.5</w:t>
      </w:r>
      <w:r>
        <w:rPr>
          <w:rFonts w:hint="eastAsia" w:ascii="宋体" w:hAnsi="宋体" w:cs="宋体"/>
          <w:bCs/>
          <w:szCs w:val="21"/>
        </w:rPr>
        <w:t>左，</w:t>
      </w:r>
      <w:r>
        <w:rPr>
          <w:rFonts w:ascii="宋体" w:hAnsi="宋体" w:cs="宋体"/>
          <w:bCs/>
          <w:szCs w:val="21"/>
        </w:rPr>
        <w:t>Q1.5</w:t>
      </w:r>
      <w:r>
        <w:rPr>
          <w:rFonts w:hint="eastAsia" w:ascii="宋体" w:hAnsi="宋体" w:cs="宋体"/>
          <w:bCs/>
          <w:szCs w:val="21"/>
        </w:rPr>
        <w:t>右</w:t>
      </w:r>
      <w:r>
        <w:rPr>
          <w:rFonts w:ascii="宋体" w:hAnsi="宋体" w:cs="宋体"/>
          <w:bCs/>
          <w:szCs w:val="21"/>
        </w:rPr>
        <w:t xml:space="preserve"> </w:t>
      </w:r>
      <w:r>
        <w:rPr>
          <w:rFonts w:hint="eastAsia" w:ascii="宋体" w:hAnsi="宋体" w:cs="宋体"/>
          <w:bCs/>
          <w:szCs w:val="21"/>
        </w:rPr>
        <w:t xml:space="preserve">   正装正碰，</w:t>
      </w:r>
      <w:r>
        <w:rPr>
          <w:rFonts w:ascii="宋体" w:hAnsi="宋体" w:cs="宋体"/>
          <w:bCs/>
          <w:szCs w:val="21"/>
        </w:rPr>
        <w:t>Q3</w:t>
      </w:r>
      <w:r>
        <w:rPr>
          <w:rFonts w:hint="eastAsia" w:ascii="宋体" w:hAnsi="宋体" w:cs="宋体"/>
          <w:bCs/>
          <w:szCs w:val="21"/>
        </w:rPr>
        <w:t>右，</w:t>
      </w:r>
      <w:r>
        <w:rPr>
          <w:rFonts w:ascii="宋体" w:hAnsi="宋体" w:cs="宋体"/>
          <w:bCs/>
          <w:szCs w:val="21"/>
        </w:rPr>
        <w:t>P3</w:t>
      </w:r>
      <w:r>
        <w:rPr>
          <w:rFonts w:hint="eastAsia" w:ascii="宋体" w:hAnsi="宋体" w:cs="宋体"/>
          <w:bCs/>
          <w:szCs w:val="21"/>
        </w:rPr>
        <w:t>左</w:t>
      </w:r>
      <w:r>
        <w:rPr>
          <w:rFonts w:ascii="宋体" w:hAnsi="宋体" w:cs="宋体"/>
          <w:bCs/>
          <w:szCs w:val="21"/>
        </w:rPr>
        <w:t xml:space="preserve"> </w:t>
      </w:r>
      <w:r>
        <w:rPr>
          <w:rFonts w:hint="eastAsia" w:ascii="宋体" w:hAnsi="宋体" w:cs="宋体"/>
          <w:bCs/>
          <w:szCs w:val="21"/>
        </w:rPr>
        <w:t xml:space="preserve">   增高垫，</w:t>
      </w:r>
      <w:r>
        <w:rPr>
          <w:rFonts w:ascii="宋体" w:hAnsi="宋体" w:cs="宋体"/>
          <w:bCs/>
          <w:szCs w:val="21"/>
        </w:rPr>
        <w:t>Q10</w:t>
      </w:r>
      <w:r>
        <w:rPr>
          <w:rFonts w:hint="eastAsia" w:ascii="宋体" w:hAnsi="宋体" w:cs="宋体"/>
          <w:bCs/>
          <w:szCs w:val="21"/>
        </w:rPr>
        <w:t>右，</w:t>
      </w:r>
      <w:r>
        <w:rPr>
          <w:rFonts w:ascii="宋体" w:hAnsi="宋体" w:cs="宋体"/>
          <w:bCs/>
          <w:szCs w:val="21"/>
        </w:rPr>
        <w:t>P10</w:t>
      </w:r>
      <w:r>
        <w:rPr>
          <w:rFonts w:hint="eastAsia" w:ascii="宋体" w:hAnsi="宋体" w:cs="宋体"/>
          <w:bCs/>
          <w:szCs w:val="21"/>
        </w:rPr>
        <w:t>左</w:t>
      </w:r>
      <w:r>
        <w:rPr>
          <w:rFonts w:ascii="宋体" w:hAnsi="宋体" w:cs="宋体"/>
          <w:bCs/>
          <w:szCs w:val="21"/>
        </w:rPr>
        <w:t xml:space="preserve"> </w:t>
      </w:r>
    </w:p>
    <w:p>
      <w:pPr>
        <w:spacing w:line="360" w:lineRule="auto"/>
        <w:ind w:left="359" w:leftChars="171" w:firstLine="210" w:firstLineChars="100"/>
        <w:jc w:val="center"/>
        <w:rPr>
          <w:rFonts w:ascii="黑体" w:hAnsi="黑体" w:eastAsia="黑体" w:cs="宋体"/>
          <w:bCs/>
          <w:szCs w:val="21"/>
        </w:rPr>
      </w:pPr>
      <w:r>
        <w:rPr>
          <w:rFonts w:hint="eastAsia" w:ascii="黑体" w:hAnsi="黑体" w:eastAsia="黑体" w:cs="宋体"/>
          <w:bCs/>
          <w:szCs w:val="21"/>
        </w:rPr>
        <w:t>图</w:t>
      </w:r>
      <w:r>
        <w:rPr>
          <w:rFonts w:hint="eastAsia" w:ascii="黑体" w:hAnsi="黑体" w:eastAsia="黑体" w:cs="宋体"/>
          <w:bCs/>
          <w:szCs w:val="21"/>
          <w:lang w:val="en-US" w:eastAsia="zh-CN"/>
        </w:rPr>
        <w:t>3</w:t>
      </w:r>
      <w:r>
        <w:rPr>
          <w:rFonts w:hint="eastAsia" w:ascii="黑体" w:hAnsi="黑体" w:eastAsia="黑体" w:cs="宋体"/>
          <w:bCs/>
          <w:szCs w:val="21"/>
        </w:rPr>
        <w:t xml:space="preserve">  各组假人对比试验</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按照图3，分别选择三个组别的最大假人，婴儿组1.5岁，幼儿组3岁，学童组10岁。 使用相同的儿童约束系统，将P、Q假人安装在车身后排的左右两侧坐席进行动态试验，进行各个假人具体的测量数据对比，指标为头部加速度、胸部加速度、颈部张力Fz。 </w:t>
      </w:r>
    </w:p>
    <w:p>
      <w:pPr>
        <w:keepNext w:val="0"/>
        <w:keepLines w:val="0"/>
        <w:pageBreakBefore w:val="0"/>
        <w:widowControl w:val="0"/>
        <w:kinsoku/>
        <w:wordWrap/>
        <w:overflowPunct/>
        <w:topLinePunct w:val="0"/>
        <w:autoSpaceDE/>
        <w:autoSpaceDN/>
        <w:bidi w:val="0"/>
        <w:adjustRightInd/>
        <w:snapToGrid w:val="0"/>
        <w:spacing w:line="400" w:lineRule="exact"/>
        <w:ind w:left="360"/>
        <w:textAlignment w:val="auto"/>
        <w:rPr>
          <w:rFonts w:ascii="宋体" w:hAnsi="宋体" w:cs="宋体"/>
          <w:bCs/>
          <w:szCs w:val="21"/>
        </w:rPr>
      </w:pPr>
      <w:r>
        <w:rPr>
          <w:rFonts w:hint="eastAsia" w:ascii="宋体" w:hAnsi="宋体" w:cs="宋体"/>
          <w:bCs/>
          <w:szCs w:val="21"/>
        </w:rPr>
        <w:t>以下是各组假人对比情况：</w:t>
      </w:r>
    </w:p>
    <w:p>
      <w:pPr>
        <w:pStyle w:val="27"/>
        <w:keepNext w:val="0"/>
        <w:keepLines w:val="0"/>
        <w:pageBreakBefore w:val="0"/>
        <w:widowControl w:val="0"/>
        <w:numPr>
          <w:ilvl w:val="0"/>
          <w:numId w:val="10"/>
        </w:numPr>
        <w:kinsoku/>
        <w:wordWrap/>
        <w:overflowPunct/>
        <w:topLinePunct w:val="0"/>
        <w:autoSpaceDE/>
        <w:autoSpaceDN/>
        <w:bidi w:val="0"/>
        <w:adjustRightInd/>
        <w:snapToGrid w:val="0"/>
        <w:spacing w:line="400" w:lineRule="exact"/>
        <w:ind w:left="720" w:leftChars="0" w:hanging="360" w:firstLineChars="0"/>
        <w:textAlignment w:val="auto"/>
        <w:rPr>
          <w:rFonts w:ascii="宋体" w:hAnsi="宋体" w:cs="宋体"/>
          <w:bCs/>
          <w:szCs w:val="21"/>
        </w:rPr>
      </w:pPr>
      <w:bookmarkStart w:id="21" w:name="OLE_LINK49"/>
      <w:bookmarkStart w:id="22" w:name="OLE_LINK51"/>
      <w:bookmarkStart w:id="23" w:name="OLE_LINK52"/>
      <w:r>
        <w:rPr>
          <w:rFonts w:ascii="宋体" w:hAnsi="宋体" w:cs="宋体"/>
          <w:bCs/>
          <w:szCs w:val="21"/>
        </w:rPr>
        <w:t>Q1.5 vs P1.5</w:t>
      </w:r>
      <w:bookmarkEnd w:id="21"/>
      <w:bookmarkEnd w:id="22"/>
      <w:bookmarkEnd w:id="23"/>
    </w:p>
    <w:p>
      <w:pPr>
        <w:spacing w:line="360" w:lineRule="auto"/>
        <w:rPr>
          <w:rFonts w:ascii="宋体" w:hAnsi="宋体" w:cs="宋体"/>
          <w:bCs/>
          <w:szCs w:val="21"/>
        </w:rPr>
      </w:pPr>
      <w:r>
        <w:rPr>
          <w:rFonts w:ascii="宋体" w:hAnsi="宋体" w:cs="宋体"/>
          <w:bCs/>
          <w:szCs w:val="21"/>
        </w:rPr>
        <w:drawing>
          <wp:inline distT="0" distB="0" distL="0" distR="0">
            <wp:extent cx="5486400" cy="1531620"/>
            <wp:effectExtent l="19050" t="0" r="0" b="0"/>
            <wp:docPr id="32" name="对象 3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0332162" cy="2884126"/>
                      <a:chOff x="-2" y="1241294"/>
                      <a:chExt cx="10332162" cy="2884126"/>
                    </a:xfrm>
                  </a:grpSpPr>
                  <a:grpSp>
                    <a:nvGrpSpPr>
                      <a:cNvPr id="12" name="组合 11"/>
                      <a:cNvGrpSpPr/>
                    </a:nvGrpSpPr>
                    <a:grpSpPr>
                      <a:xfrm>
                        <a:off x="-2" y="1241294"/>
                        <a:ext cx="10332162" cy="2884126"/>
                        <a:chOff x="-2" y="1241294"/>
                        <a:chExt cx="10332162" cy="2884126"/>
                      </a:xfrm>
                    </a:grpSpPr>
                    <a:grpSp>
                      <a:nvGrpSpPr>
                        <a:cNvPr id="3" name="组合 6"/>
                        <a:cNvGrpSpPr/>
                      </a:nvGrpSpPr>
                      <a:grpSpPr>
                        <a:xfrm>
                          <a:off x="-2" y="1245420"/>
                          <a:ext cx="4320000" cy="2880000"/>
                          <a:chOff x="-2" y="1245420"/>
                          <a:chExt cx="4320000" cy="2880000"/>
                        </a:xfrm>
                      </a:grpSpPr>
                      <a:pic>
                        <a:nvPicPr>
                          <a:cNvPr id="5122" name="Picture 2"/>
                          <a:cNvPicPr>
                            <a:picLocks noChangeArrowheads="1"/>
                          </a:cNvPicPr>
                        </a:nvPicPr>
                        <a:blipFill>
                          <a:blip r:embed="rId11">
                            <a:extLst>
                              <a:ext uri="{28A0092B-C50C-407E-A947-70E740481C1C}">
                                <a14:useLocalDpi xmlns:a14="http://schemas.microsoft.com/office/drawing/2010/main" val="0"/>
                              </a:ext>
                            </a:extLst>
                          </a:blip>
                          <a:srcRect/>
                          <a:stretch>
                            <a:fillRect/>
                          </a:stretch>
                        </a:blipFill>
                        <a:spPr bwMode="auto">
                          <a:xfrm>
                            <a:off x="-2" y="1245420"/>
                            <a:ext cx="4320000" cy="2880000"/>
                          </a:xfrm>
                          <a:prstGeom prst="rect">
                            <a:avLst/>
                          </a:prstGeom>
                          <a:noFill/>
                          <a:ln>
                            <a:noFill/>
                          </a:ln>
                          <a:effectLst/>
                        </a:spPr>
                      </a:pic>
                      <a:sp>
                        <a:nvSpPr>
                          <a:cNvPr id="6" name="矩形 5"/>
                          <a:cNvSpPr/>
                        </a:nvSpPr>
                        <a:spPr>
                          <a:xfrm>
                            <a:off x="1331640" y="1412776"/>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1.Q1.5 Head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P1.5 Head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grpSp>
                    <a:grpSp>
                      <a:nvGrpSpPr>
                        <a:cNvPr id="4" name="组合 7"/>
                        <a:cNvGrpSpPr/>
                      </a:nvGrpSpPr>
                      <a:grpSpPr>
                        <a:xfrm>
                          <a:off x="2843808" y="1241294"/>
                          <a:ext cx="4320000" cy="2880000"/>
                          <a:chOff x="2843808" y="1241294"/>
                          <a:chExt cx="4320000" cy="2880000"/>
                        </a:xfrm>
                      </a:grpSpPr>
                      <a:pic>
                        <a:nvPicPr>
                          <a:cNvPr id="5123" name="Picture 3"/>
                          <a:cNvPicPr>
                            <a:picLocks noChangeArrowheads="1"/>
                          </a:cNvPicPr>
                        </a:nvPicPr>
                        <a:blipFill>
                          <a:blip r:embed="rId12">
                            <a:extLst>
                              <a:ext uri="{28A0092B-C50C-407E-A947-70E740481C1C}">
                                <a14:useLocalDpi xmlns:a14="http://schemas.microsoft.com/office/drawing/2010/main" val="0"/>
                              </a:ext>
                            </a:extLst>
                          </a:blip>
                          <a:srcRect/>
                          <a:stretch>
                            <a:fillRect/>
                          </a:stretch>
                        </a:blipFill>
                        <a:spPr bwMode="auto">
                          <a:xfrm>
                            <a:off x="2843808" y="1241294"/>
                            <a:ext cx="4320000" cy="2880000"/>
                          </a:xfrm>
                          <a:prstGeom prst="rect">
                            <a:avLst/>
                          </a:prstGeom>
                          <a:noFill/>
                          <a:ln>
                            <a:noFill/>
                          </a:ln>
                          <a:effectLst/>
                        </a:spPr>
                      </a:pic>
                      <a:sp>
                        <a:nvSpPr>
                          <a:cNvPr id="10" name="矩形 9"/>
                          <a:cNvSpPr/>
                        </a:nvSpPr>
                        <a:spPr>
                          <a:xfrm>
                            <a:off x="4383126" y="1412776"/>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1.Q1.5 Chest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P1.5 Chest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grpSp>
                    <a:grpSp>
                      <a:nvGrpSpPr>
                        <a:cNvPr id="5" name="组合 8"/>
                        <a:cNvGrpSpPr/>
                      </a:nvGrpSpPr>
                      <a:grpSpPr>
                        <a:xfrm>
                          <a:off x="6012160" y="1245420"/>
                          <a:ext cx="4320000" cy="2880000"/>
                          <a:chOff x="6012160" y="1245420"/>
                          <a:chExt cx="4320000" cy="2880000"/>
                        </a:xfrm>
                      </a:grpSpPr>
                      <a:pic>
                        <a:nvPicPr>
                          <a:cNvPr id="5124" name="Picture 4"/>
                          <a:cNvPicPr>
                            <a:picLocks noChangeArrowheads="1"/>
                          </a:cNvPicPr>
                        </a:nvPicPr>
                        <a:blipFill>
                          <a:blip r:embed="rId13">
                            <a:extLst>
                              <a:ext uri="{28A0092B-C50C-407E-A947-70E740481C1C}">
                                <a14:useLocalDpi xmlns:a14="http://schemas.microsoft.com/office/drawing/2010/main" val="0"/>
                              </a:ext>
                            </a:extLst>
                          </a:blip>
                          <a:srcRect/>
                          <a:stretch>
                            <a:fillRect/>
                          </a:stretch>
                        </a:blipFill>
                        <a:spPr bwMode="auto">
                          <a:xfrm>
                            <a:off x="6012160" y="1245420"/>
                            <a:ext cx="4320000" cy="2880000"/>
                          </a:xfrm>
                          <a:prstGeom prst="rect">
                            <a:avLst/>
                          </a:prstGeom>
                          <a:noFill/>
                          <a:ln>
                            <a:noFill/>
                          </a:ln>
                          <a:effectLst/>
                        </a:spPr>
                      </a:pic>
                      <a:sp>
                        <a:nvSpPr>
                          <a:cNvPr id="11" name="矩形 10"/>
                          <a:cNvSpPr/>
                        </a:nvSpPr>
                        <a:spPr>
                          <a:xfrm>
                            <a:off x="7668344" y="1448840"/>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1.Q1.5 Neck </a:t>
                              </a:r>
                              <a:r>
                                <a:rPr lang="en-US" altLang="zh-CN" sz="1200" dirty="0" err="1" smtClean="0">
                                  <a:solidFill>
                                    <a:srgbClr val="FF0000"/>
                                  </a:solidFill>
                                </a:rPr>
                                <a:t>Fz</a:t>
                              </a:r>
                              <a:endParaRPr lang="en-US" altLang="zh-CN" sz="1200" dirty="0" smtClean="0">
                                <a:solidFill>
                                  <a:srgbClr val="FF0000"/>
                                </a:solidFill>
                              </a:endParaRPr>
                            </a:p>
                            <a:p>
                              <a:pPr algn="ctr"/>
                              <a:r>
                                <a:rPr lang="en-US" altLang="zh-CN" sz="1200" dirty="0" smtClean="0">
                                  <a:solidFill>
                                    <a:srgbClr val="0000FF"/>
                                  </a:solidFill>
                                </a:rPr>
                                <a:t>2. P1.5 Neck</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grpSp>
                  </a:grpSp>
                </lc:lockedCanvas>
              </a:graphicData>
            </a:graphic>
          </wp:inline>
        </w:drawing>
      </w:r>
    </w:p>
    <w:p>
      <w:pPr>
        <w:spacing w:line="360" w:lineRule="auto"/>
        <w:ind w:left="359" w:leftChars="171" w:firstLine="210" w:firstLineChars="100"/>
        <w:jc w:val="center"/>
        <w:rPr>
          <w:rFonts w:ascii="黑体" w:hAnsi="黑体" w:eastAsia="黑体" w:cs="宋体"/>
          <w:bCs/>
          <w:szCs w:val="21"/>
        </w:rPr>
      </w:pPr>
      <w:bookmarkStart w:id="24" w:name="OLE_LINK53"/>
      <w:bookmarkStart w:id="25" w:name="OLE_LINK54"/>
      <w:r>
        <w:rPr>
          <w:rFonts w:hint="eastAsia" w:ascii="黑体" w:hAnsi="黑体" w:eastAsia="黑体" w:cs="宋体"/>
          <w:bCs/>
          <w:szCs w:val="21"/>
        </w:rPr>
        <w:t>图</w:t>
      </w:r>
      <w:r>
        <w:rPr>
          <w:rFonts w:hint="eastAsia" w:ascii="黑体" w:hAnsi="黑体" w:eastAsia="黑体" w:cs="宋体"/>
          <w:bCs/>
          <w:szCs w:val="21"/>
          <w:lang w:val="en-US" w:eastAsia="zh-CN"/>
        </w:rPr>
        <w:t>4</w:t>
      </w:r>
      <w:r>
        <w:rPr>
          <w:rFonts w:hint="eastAsia" w:ascii="黑体" w:hAnsi="黑体" w:eastAsia="黑体" w:cs="宋体"/>
          <w:bCs/>
          <w:szCs w:val="21"/>
        </w:rPr>
        <w:t xml:space="preserve"> </w:t>
      </w:r>
      <w:bookmarkStart w:id="26" w:name="OLE_LINK48"/>
      <w:r>
        <w:rPr>
          <w:rFonts w:hint="eastAsia" w:ascii="黑体" w:hAnsi="黑体" w:eastAsia="黑体" w:cs="宋体"/>
          <w:bCs/>
          <w:szCs w:val="21"/>
        </w:rPr>
        <w:t>P1.5与Q1.5两组假人头部、胸部、颈部测量峰值曲线对比</w:t>
      </w:r>
      <w:bookmarkEnd w:id="26"/>
    </w:p>
    <w:p>
      <w:pPr>
        <w:spacing w:line="360" w:lineRule="auto"/>
        <w:jc w:val="center"/>
        <w:rPr>
          <w:rFonts w:ascii="黑体" w:hAnsi="黑体" w:eastAsia="黑体" w:cs="宋体"/>
          <w:bCs/>
          <w:szCs w:val="21"/>
        </w:rPr>
      </w:pPr>
      <w:r>
        <w:rPr>
          <w:rFonts w:hint="eastAsia" w:ascii="黑体" w:hAnsi="黑体" w:eastAsia="黑体" w:cs="宋体"/>
          <w:bCs/>
          <w:szCs w:val="21"/>
        </w:rPr>
        <w:t>表1  P1.5与Q1.5两组假人各部位指标对比</w:t>
      </w:r>
    </w:p>
    <w:tbl>
      <w:tblPr>
        <w:tblStyle w:val="16"/>
        <w:tblW w:w="0" w:type="auto"/>
        <w:tblInd w:w="0" w:type="dxa"/>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Layout w:type="autofit"/>
        <w:tblCellMar>
          <w:top w:w="0" w:type="dxa"/>
          <w:left w:w="0" w:type="dxa"/>
          <w:bottom w:w="0" w:type="dxa"/>
          <w:right w:w="0" w:type="dxa"/>
        </w:tblCellMar>
      </w:tblPr>
      <w:tblGrid>
        <w:gridCol w:w="2094"/>
        <w:gridCol w:w="2095"/>
        <w:gridCol w:w="2095"/>
        <w:gridCol w:w="2095"/>
      </w:tblGrid>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eastAsia"/>
                <w:szCs w:val="21"/>
              </w:rPr>
              <w:t>指标</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Q1.5</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P1.5</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CV</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HIC15</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177</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193</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6%</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HIC36</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278</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340</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14%</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Head-3ms</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46.4</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53.32</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10%</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Chest-3ms</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47.62</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44.66</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tblCellMar>
            <w:top w:w="0" w:type="dxa"/>
            <w:left w:w="0" w:type="dxa"/>
            <w:bottom w:w="0" w:type="dxa"/>
            <w:right w:w="0" w:type="dxa"/>
          </w:tblCellMar>
        </w:tblPrEx>
        <w:tc>
          <w:tcPr>
            <w:tcW w:w="2094"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Fz</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563.9</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1328</w:t>
            </w:r>
          </w:p>
        </w:tc>
        <w:tc>
          <w:tcPr>
            <w:tcW w:w="2095" w:type="dxa"/>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57%</w:t>
            </w:r>
          </w:p>
        </w:tc>
      </w:tr>
      <w:bookmarkEnd w:id="24"/>
    </w:tbl>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宋体" w:hAnsi="宋体" w:cs="宋体"/>
          <w:bCs/>
          <w:szCs w:val="21"/>
        </w:rPr>
      </w:pPr>
      <w:bookmarkStart w:id="60" w:name="_GoBack"/>
      <w:r>
        <w:rPr>
          <w:rFonts w:hint="eastAsia" w:ascii="宋体" w:hAnsi="宋体" w:cs="宋体"/>
          <w:bCs/>
          <w:szCs w:val="21"/>
        </w:rPr>
        <w:t>通过以上图</w:t>
      </w:r>
      <w:r>
        <w:rPr>
          <w:rFonts w:hint="eastAsia" w:ascii="宋体" w:hAnsi="宋体" w:cs="宋体"/>
          <w:bCs/>
          <w:szCs w:val="21"/>
          <w:lang w:val="en-US" w:eastAsia="zh-CN"/>
        </w:rPr>
        <w:t>4和</w:t>
      </w:r>
      <w:r>
        <w:rPr>
          <w:rFonts w:hint="eastAsia" w:ascii="宋体" w:hAnsi="宋体" w:cs="宋体"/>
          <w:bCs/>
          <w:szCs w:val="21"/>
        </w:rPr>
        <w:t>表</w:t>
      </w:r>
      <w:r>
        <w:rPr>
          <w:rFonts w:hint="eastAsia" w:ascii="宋体" w:hAnsi="宋体" w:cs="宋体"/>
          <w:bCs/>
          <w:szCs w:val="21"/>
          <w:lang w:val="en-US" w:eastAsia="zh-CN"/>
        </w:rPr>
        <w:t>1</w:t>
      </w:r>
      <w:r>
        <w:rPr>
          <w:rFonts w:hint="eastAsia" w:ascii="宋体" w:hAnsi="宋体" w:cs="宋体"/>
          <w:bCs/>
          <w:szCs w:val="21"/>
        </w:rPr>
        <w:t>，可以看出，</w:t>
      </w:r>
    </w:p>
    <w:bookmarkEnd w:id="25"/>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P1.5</w:t>
      </w:r>
      <w:r>
        <w:rPr>
          <w:rFonts w:hint="eastAsia" w:ascii="宋体" w:hAnsi="宋体" w:cs="宋体"/>
          <w:bCs/>
          <w:szCs w:val="21"/>
        </w:rPr>
        <w:t>头部加速度初始偏差大，</w:t>
      </w:r>
      <w:r>
        <w:rPr>
          <w:rFonts w:ascii="宋体" w:hAnsi="宋体" w:cs="宋体"/>
          <w:bCs/>
          <w:szCs w:val="21"/>
        </w:rPr>
        <w:t>70ms</w:t>
      </w:r>
      <w:r>
        <w:rPr>
          <w:rFonts w:hint="eastAsia" w:ascii="宋体" w:hAnsi="宋体" w:cs="宋体"/>
          <w:bCs/>
          <w:szCs w:val="21"/>
        </w:rPr>
        <w:t>左右主波峰相近，</w:t>
      </w:r>
      <w:r>
        <w:rPr>
          <w:rFonts w:ascii="宋体" w:hAnsi="宋体" w:cs="宋体"/>
          <w:bCs/>
          <w:szCs w:val="21"/>
        </w:rPr>
        <w:t>HIC</w:t>
      </w:r>
      <w:r>
        <w:rPr>
          <w:rFonts w:hint="eastAsia" w:ascii="宋体" w:hAnsi="宋体" w:cs="宋体"/>
          <w:bCs/>
          <w:szCs w:val="21"/>
        </w:rPr>
        <w:t>和</w:t>
      </w:r>
      <w:r>
        <w:rPr>
          <w:rFonts w:ascii="宋体" w:hAnsi="宋体" w:cs="宋体"/>
          <w:bCs/>
          <w:szCs w:val="21"/>
        </w:rPr>
        <w:t>3ms</w:t>
      </w:r>
      <w:r>
        <w:rPr>
          <w:rFonts w:hint="eastAsia" w:ascii="宋体" w:hAnsi="宋体" w:cs="宋体"/>
          <w:bCs/>
          <w:szCs w:val="21"/>
        </w:rPr>
        <w:t>加速度变异系数</w:t>
      </w:r>
      <w:r>
        <w:rPr>
          <w:rFonts w:ascii="宋体" w:hAnsi="宋体" w:cs="宋体"/>
          <w:bCs/>
          <w:szCs w:val="21"/>
        </w:rPr>
        <w:t>10%</w:t>
      </w:r>
      <w:r>
        <w:rPr>
          <w:rFonts w:hint="eastAsia" w:ascii="宋体" w:hAnsi="宋体" w:cs="宋体"/>
          <w:bCs/>
          <w:szCs w:val="21"/>
        </w:rPr>
        <w:t>左右，基本相同。</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胸部加速度曲线一致性很好，</w:t>
      </w:r>
      <w:r>
        <w:rPr>
          <w:rFonts w:ascii="宋体" w:hAnsi="宋体" w:cs="宋体"/>
          <w:bCs/>
          <w:szCs w:val="21"/>
        </w:rPr>
        <w:t>3ms</w:t>
      </w:r>
      <w:r>
        <w:rPr>
          <w:rFonts w:hint="eastAsia" w:ascii="宋体" w:hAnsi="宋体" w:cs="宋体"/>
          <w:bCs/>
          <w:szCs w:val="21"/>
        </w:rPr>
        <w:t>加速度的变异系数</w:t>
      </w:r>
      <w:r>
        <w:rPr>
          <w:rFonts w:ascii="宋体" w:hAnsi="宋体" w:cs="宋体"/>
          <w:bCs/>
          <w:szCs w:val="21"/>
        </w:rPr>
        <w:t>5%</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假人颈部</w:t>
      </w:r>
      <w:r>
        <w:rPr>
          <w:rFonts w:ascii="宋体" w:hAnsi="宋体" w:cs="宋体"/>
          <w:bCs/>
          <w:szCs w:val="21"/>
        </w:rPr>
        <w:t>Fz</w:t>
      </w:r>
      <w:r>
        <w:rPr>
          <w:rFonts w:hint="eastAsia" w:ascii="宋体" w:hAnsi="宋体" w:cs="宋体"/>
          <w:bCs/>
          <w:szCs w:val="21"/>
        </w:rPr>
        <w:t>是传感器直接测量的，</w:t>
      </w:r>
      <w:r>
        <w:rPr>
          <w:rFonts w:ascii="宋体" w:hAnsi="宋体" w:cs="宋体"/>
          <w:bCs/>
          <w:szCs w:val="21"/>
        </w:rPr>
        <w:t>P</w:t>
      </w:r>
      <w:r>
        <w:rPr>
          <w:rFonts w:hint="eastAsia" w:ascii="宋体" w:hAnsi="宋体" w:cs="宋体"/>
          <w:bCs/>
          <w:szCs w:val="21"/>
        </w:rPr>
        <w:t>假人无颈部载荷传感器，采用头</w:t>
      </w:r>
      <w:r>
        <w:rPr>
          <w:rFonts w:ascii="宋体" w:hAnsi="宋体" w:cs="宋体"/>
          <w:bCs/>
          <w:szCs w:val="21"/>
        </w:rPr>
        <w:t>Z</w:t>
      </w:r>
      <w:r>
        <w:rPr>
          <w:rFonts w:hint="eastAsia" w:ascii="宋体" w:hAnsi="宋体" w:cs="宋体"/>
          <w:bCs/>
          <w:szCs w:val="21"/>
        </w:rPr>
        <w:t>向加速度</w:t>
      </w:r>
      <w:bookmarkStart w:id="27" w:name="OLE_LINK55"/>
      <w:bookmarkStart w:id="28" w:name="OLE_LINK56"/>
      <w:r>
        <w:rPr>
          <w:rFonts w:hint="eastAsia" w:ascii="宋体" w:hAnsi="宋体" w:cs="宋体"/>
          <w:bCs/>
          <w:szCs w:val="21"/>
        </w:rPr>
        <w:t>×</w:t>
      </w:r>
      <w:bookmarkEnd w:id="27"/>
      <w:bookmarkEnd w:id="28"/>
      <w:r>
        <w:rPr>
          <w:rFonts w:hint="eastAsia" w:ascii="宋体" w:hAnsi="宋体" w:cs="宋体"/>
          <w:bCs/>
          <w:szCs w:val="21"/>
        </w:rPr>
        <w:t>头部质量，曲线形状趋势类似，幅值相差巨大，峰值分别为</w:t>
      </w:r>
      <w:r>
        <w:rPr>
          <w:rFonts w:ascii="宋体" w:hAnsi="宋体" w:cs="宋体"/>
          <w:bCs/>
          <w:szCs w:val="21"/>
        </w:rPr>
        <w:t>564N</w:t>
      </w:r>
      <w:r>
        <w:rPr>
          <w:rFonts w:hint="eastAsia" w:ascii="宋体" w:hAnsi="宋体" w:cs="宋体"/>
          <w:bCs/>
          <w:szCs w:val="21"/>
        </w:rPr>
        <w:t>和</w:t>
      </w:r>
      <w:r>
        <w:rPr>
          <w:rFonts w:ascii="宋体" w:hAnsi="宋体" w:cs="宋体"/>
          <w:bCs/>
          <w:szCs w:val="21"/>
        </w:rPr>
        <w:t>1328N</w:t>
      </w:r>
      <w:r>
        <w:rPr>
          <w:rFonts w:hint="eastAsia" w:ascii="宋体" w:hAnsi="宋体" w:cs="宋体"/>
          <w:bCs/>
          <w:szCs w:val="21"/>
        </w:rPr>
        <w:t>，变异系数</w:t>
      </w:r>
      <w:r>
        <w:rPr>
          <w:rFonts w:ascii="宋体" w:hAnsi="宋体" w:cs="宋体"/>
          <w:bCs/>
          <w:szCs w:val="21"/>
        </w:rPr>
        <w:t>57%</w:t>
      </w:r>
      <w:r>
        <w:rPr>
          <w:rFonts w:hint="eastAsia" w:ascii="宋体" w:hAnsi="宋体" w:cs="宋体"/>
          <w:bCs/>
          <w:szCs w:val="21"/>
        </w:rPr>
        <w:t>。由于儿童座椅为反装，头与靠背之间存在摩擦，增大了头部加速度</w:t>
      </w:r>
      <w:r>
        <w:rPr>
          <w:rFonts w:ascii="宋体" w:hAnsi="宋体" w:cs="宋体"/>
          <w:bCs/>
          <w:szCs w:val="21"/>
        </w:rPr>
        <w:t>Z</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假人整体性更好，曲线平滑，毛刺干扰较小。</w:t>
      </w:r>
      <w:r>
        <w:rPr>
          <w:rFonts w:ascii="宋体" w:hAnsi="宋体" w:cs="宋体"/>
          <w:bCs/>
          <w:szCs w:val="21"/>
        </w:rPr>
        <w:t xml:space="preserve"> </w:t>
      </w:r>
      <w:bookmarkEnd w:id="60"/>
    </w:p>
    <w:p>
      <w:pPr>
        <w:pStyle w:val="27"/>
        <w:keepNext w:val="0"/>
        <w:keepLines w:val="0"/>
        <w:pageBreakBefore w:val="0"/>
        <w:widowControl w:val="0"/>
        <w:numPr>
          <w:ilvl w:val="0"/>
          <w:numId w:val="10"/>
        </w:numPr>
        <w:kinsoku/>
        <w:wordWrap/>
        <w:overflowPunct/>
        <w:topLinePunct w:val="0"/>
        <w:autoSpaceDE/>
        <w:autoSpaceDN/>
        <w:bidi w:val="0"/>
        <w:adjustRightInd/>
        <w:snapToGrid w:val="0"/>
        <w:spacing w:line="400" w:lineRule="exact"/>
        <w:ind w:left="720" w:leftChars="0" w:hanging="360"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3</w:t>
      </w:r>
      <w:r>
        <w:rPr>
          <w:rFonts w:ascii="宋体" w:hAnsi="宋体" w:cs="宋体"/>
          <w:bCs/>
          <w:szCs w:val="21"/>
        </w:rPr>
        <w:t xml:space="preserve"> vs P</w:t>
      </w:r>
      <w:r>
        <w:rPr>
          <w:rFonts w:hint="eastAsia" w:ascii="宋体" w:hAnsi="宋体" w:cs="宋体"/>
          <w:bCs/>
          <w:szCs w:val="21"/>
        </w:rPr>
        <w:t>3</w:t>
      </w:r>
    </w:p>
    <w:p>
      <w:pPr>
        <w:spacing w:line="360" w:lineRule="auto"/>
        <w:rPr>
          <w:szCs w:val="21"/>
        </w:rPr>
      </w:pPr>
      <w:r>
        <w:rPr>
          <w:szCs w:val="21"/>
        </w:rPr>
        <w:drawing>
          <wp:inline distT="0" distB="0" distL="0" distR="0">
            <wp:extent cx="5486400" cy="1452245"/>
            <wp:effectExtent l="19050" t="0" r="0" b="0"/>
            <wp:docPr id="35" name="对象 3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0907832" cy="2887597"/>
                      <a:chOff x="-899688" y="1117467"/>
                      <a:chExt cx="10907832" cy="2887597"/>
                    </a:xfrm>
                  </a:grpSpPr>
                  <a:grpSp>
                    <a:nvGrpSpPr>
                      <a:cNvPr id="4" name="组合 3"/>
                      <a:cNvGrpSpPr/>
                    </a:nvGrpSpPr>
                    <a:grpSpPr>
                      <a:xfrm>
                        <a:off x="-899688" y="1117467"/>
                        <a:ext cx="10907832" cy="2887597"/>
                        <a:chOff x="-899688" y="1117467"/>
                        <a:chExt cx="10907832" cy="2887597"/>
                      </a:xfrm>
                    </a:grpSpPr>
                    <a:pic>
                      <a:nvPicPr>
                        <a:cNvPr id="6147" name="Picture 3"/>
                        <a:cNvPicPr>
                          <a:picLocks noChangeArrowheads="1"/>
                        </a:cNvPicPr>
                      </a:nvPicPr>
                      <a:blipFill>
                        <a:blip r:embed="rId14">
                          <a:extLst>
                            <a:ext uri="{28A0092B-C50C-407E-A947-70E740481C1C}">
                              <a14:useLocalDpi xmlns:a14="http://schemas.microsoft.com/office/drawing/2010/main" val="0"/>
                            </a:ext>
                          </a:extLst>
                        </a:blip>
                        <a:srcRect/>
                        <a:stretch>
                          <a:fillRect/>
                        </a:stretch>
                      </a:blipFill>
                      <a:spPr bwMode="auto">
                        <a:xfrm>
                          <a:off x="5688144" y="1125064"/>
                          <a:ext cx="4320000" cy="2880000"/>
                        </a:xfrm>
                        <a:prstGeom prst="rect">
                          <a:avLst/>
                        </a:prstGeom>
                        <a:noFill/>
                        <a:ln>
                          <a:noFill/>
                        </a:ln>
                        <a:effectLst/>
                      </a:spPr>
                    </a:pic>
                    <a:pic>
                      <a:nvPicPr>
                        <a:cNvPr id="6148" name="Picture 4"/>
                        <a:cNvPicPr>
                          <a:picLocks noChangeArrowheads="1"/>
                        </a:cNvPicPr>
                      </a:nvPicPr>
                      <a:blipFill rotWithShape="1">
                        <a:blip r:embed="rId15">
                          <a:extLst>
                            <a:ext uri="{28A0092B-C50C-407E-A947-70E740481C1C}">
                              <a14:useLocalDpi xmlns:a14="http://schemas.microsoft.com/office/drawing/2010/main" val="0"/>
                            </a:ext>
                          </a:extLst>
                        </a:blip>
                        <a:srcRect l="23721"/>
                        <a:stretch>
                          <a:fillRect/>
                        </a:stretch>
                      </a:blipFill>
                      <a:spPr bwMode="auto">
                        <a:xfrm>
                          <a:off x="3410516" y="1124744"/>
                          <a:ext cx="3295255" cy="2880000"/>
                        </a:xfrm>
                        <a:prstGeom prst="rect">
                          <a:avLst/>
                        </a:prstGeom>
                        <a:noFill/>
                        <a:ln>
                          <a:noFill/>
                        </a:ln>
                        <a:effectLst/>
                      </a:spPr>
                    </a:pic>
                    <a:pic>
                      <a:nvPicPr>
                        <a:cNvPr id="6146" name="Picture 2"/>
                        <a:cNvPicPr>
                          <a:picLocks noChangeArrowheads="1"/>
                        </a:cNvPicPr>
                      </a:nvPicPr>
                      <a:blipFill rotWithShape="1">
                        <a:blip r:embed="rId16">
                          <a:extLst>
                            <a:ext uri="{28A0092B-C50C-407E-A947-70E740481C1C}">
                              <a14:useLocalDpi xmlns:a14="http://schemas.microsoft.com/office/drawing/2010/main" val="0"/>
                            </a:ext>
                          </a:extLst>
                        </a:blip>
                        <a:srcRect r="804"/>
                        <a:stretch>
                          <a:fillRect/>
                        </a:stretch>
                      </a:blipFill>
                      <a:spPr bwMode="auto">
                        <a:xfrm>
                          <a:off x="-899688" y="1117467"/>
                          <a:ext cx="4285254" cy="2880000"/>
                        </a:xfrm>
                        <a:prstGeom prst="rect">
                          <a:avLst/>
                        </a:prstGeom>
                        <a:noFill/>
                        <a:ln>
                          <a:noFill/>
                        </a:ln>
                        <a:effectLst/>
                      </a:spPr>
                    </a:pic>
                    <a:sp>
                      <a:nvSpPr>
                        <a:cNvPr id="6" name="矩形 5"/>
                        <a:cNvSpPr/>
                      </a:nvSpPr>
                      <a:spPr>
                        <a:xfrm>
                          <a:off x="1619672" y="1304824"/>
                          <a:ext cx="126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1.Q3 Head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P3 Head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sp>
                      <a:nvSpPr>
                        <a:cNvPr id="10" name="矩形 9"/>
                        <a:cNvSpPr/>
                      </a:nvSpPr>
                      <a:spPr>
                        <a:xfrm>
                          <a:off x="5084461" y="1304824"/>
                          <a:ext cx="1296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1.Q3 Chest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P3 Chest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sp>
                      <a:nvSpPr>
                        <a:cNvPr id="11" name="矩形 10"/>
                        <a:cNvSpPr/>
                      </a:nvSpPr>
                      <a:spPr>
                        <a:xfrm>
                          <a:off x="7668584" y="3212976"/>
                          <a:ext cx="126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1.Q3 Neck </a:t>
                            </a:r>
                            <a:r>
                              <a:rPr lang="en-US" altLang="zh-CN" sz="1200" dirty="0" err="1" smtClean="0">
                                <a:solidFill>
                                  <a:srgbClr val="FF0000"/>
                                </a:solidFill>
                              </a:rPr>
                              <a:t>Fz</a:t>
                            </a:r>
                            <a:endParaRPr lang="en-US" altLang="zh-CN" sz="1200" dirty="0" smtClean="0">
                              <a:solidFill>
                                <a:srgbClr val="FF0000"/>
                              </a:solidFill>
                            </a:endParaRPr>
                          </a:p>
                          <a:p>
                            <a:pPr algn="ctr"/>
                            <a:r>
                              <a:rPr lang="en-US" altLang="zh-CN" sz="1200" dirty="0" smtClean="0">
                                <a:solidFill>
                                  <a:srgbClr val="0000FF"/>
                                </a:solidFill>
                              </a:rPr>
                              <a:t>2. P3 Neck</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pPr>
        <w:spacing w:line="360" w:lineRule="auto"/>
        <w:ind w:left="359" w:leftChars="171" w:firstLine="210" w:firstLineChars="100"/>
        <w:jc w:val="center"/>
        <w:rPr>
          <w:rFonts w:ascii="黑体" w:hAnsi="黑体" w:eastAsia="黑体" w:cs="宋体"/>
          <w:bCs/>
          <w:szCs w:val="21"/>
        </w:rPr>
      </w:pPr>
      <w:r>
        <w:rPr>
          <w:rFonts w:hint="eastAsia" w:ascii="黑体" w:hAnsi="黑体" w:eastAsia="黑体" w:cs="宋体"/>
          <w:bCs/>
          <w:szCs w:val="21"/>
        </w:rPr>
        <w:t>图</w:t>
      </w:r>
      <w:r>
        <w:rPr>
          <w:rFonts w:hint="eastAsia" w:ascii="黑体" w:hAnsi="黑体" w:eastAsia="黑体" w:cs="宋体"/>
          <w:bCs/>
          <w:szCs w:val="21"/>
          <w:lang w:val="en-US" w:eastAsia="zh-CN"/>
        </w:rPr>
        <w:t>5</w:t>
      </w:r>
      <w:r>
        <w:rPr>
          <w:rFonts w:hint="eastAsia" w:ascii="黑体" w:hAnsi="黑体" w:eastAsia="黑体" w:cs="宋体"/>
          <w:bCs/>
          <w:szCs w:val="21"/>
        </w:rPr>
        <w:t xml:space="preserve"> P3与Q3两组假人头部、胸部、颈部测量峰值曲线对比</w:t>
      </w:r>
    </w:p>
    <w:p>
      <w:pPr>
        <w:spacing w:line="360" w:lineRule="auto"/>
        <w:jc w:val="center"/>
        <w:rPr>
          <w:rFonts w:ascii="黑体" w:hAnsi="黑体" w:eastAsia="黑体" w:cs="宋体"/>
          <w:bCs/>
          <w:szCs w:val="21"/>
        </w:rPr>
      </w:pPr>
      <w:r>
        <w:rPr>
          <w:rFonts w:hint="eastAsia" w:ascii="黑体" w:hAnsi="黑体" w:eastAsia="黑体" w:cs="宋体"/>
          <w:bCs/>
          <w:szCs w:val="21"/>
        </w:rPr>
        <w:t>表2  P3与Q3两组假人各部位指标对比</w:t>
      </w:r>
    </w:p>
    <w:tbl>
      <w:tblPr>
        <w:tblStyle w:val="16"/>
        <w:tblW w:w="0" w:type="auto"/>
        <w:tblInd w:w="0" w:type="dxa"/>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Layout w:type="autofit"/>
        <w:tblCellMar>
          <w:top w:w="0" w:type="dxa"/>
          <w:left w:w="0" w:type="dxa"/>
          <w:bottom w:w="0" w:type="dxa"/>
          <w:right w:w="0" w:type="dxa"/>
        </w:tblCellMar>
      </w:tblPr>
      <w:tblGrid>
        <w:gridCol w:w="2094"/>
        <w:gridCol w:w="2095"/>
        <w:gridCol w:w="2095"/>
        <w:gridCol w:w="2095"/>
      </w:tblGrid>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eastAsia"/>
                <w:szCs w:val="21"/>
              </w:rPr>
              <w:t>指标</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Q</w:t>
            </w:r>
            <w:r>
              <w:rPr>
                <w:rFonts w:hint="eastAsia"/>
                <w:szCs w:val="21"/>
              </w:rPr>
              <w:t>3</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P</w:t>
            </w:r>
            <w:r>
              <w:rPr>
                <w:rFonts w:hint="eastAsia"/>
                <w:szCs w:val="21"/>
              </w:rPr>
              <w:t>3</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CV</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HIC15</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458</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389</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12%</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HIC36</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671</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551</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14%</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Head-3ms</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65.78</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61.53</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Chest-3ms</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46.08</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49.63</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5%</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Fz</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1793</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1794</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firstLine="482"/>
              <w:jc w:val="center"/>
              <w:rPr>
                <w:rFonts w:hint="default"/>
                <w:szCs w:val="21"/>
              </w:rPr>
            </w:pPr>
            <w:r>
              <w:rPr>
                <w:rFonts w:hint="default"/>
                <w:szCs w:val="21"/>
              </w:rPr>
              <w:t>0%</w:t>
            </w:r>
          </w:p>
        </w:tc>
      </w:tr>
    </w:tbl>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宋体" w:hAnsi="宋体" w:cs="宋体"/>
          <w:bCs/>
          <w:szCs w:val="21"/>
        </w:rPr>
      </w:pPr>
      <w:r>
        <w:rPr>
          <w:rFonts w:hint="eastAsia" w:ascii="宋体" w:hAnsi="宋体" w:cs="宋体"/>
          <w:bCs/>
          <w:szCs w:val="21"/>
        </w:rPr>
        <w:t>通过以上图</w:t>
      </w:r>
      <w:r>
        <w:rPr>
          <w:rFonts w:hint="eastAsia" w:ascii="宋体" w:hAnsi="宋体" w:cs="宋体"/>
          <w:bCs/>
          <w:szCs w:val="21"/>
          <w:lang w:val="en-US" w:eastAsia="zh-CN"/>
        </w:rPr>
        <w:t>5和</w:t>
      </w:r>
      <w:r>
        <w:rPr>
          <w:rFonts w:hint="eastAsia" w:ascii="宋体" w:hAnsi="宋体" w:cs="宋体"/>
          <w:bCs/>
          <w:szCs w:val="21"/>
        </w:rPr>
        <w:t>表</w:t>
      </w:r>
      <w:r>
        <w:rPr>
          <w:rFonts w:hint="eastAsia" w:ascii="宋体" w:hAnsi="宋体" w:cs="宋体"/>
          <w:bCs/>
          <w:szCs w:val="21"/>
          <w:lang w:val="en-US" w:eastAsia="zh-CN"/>
        </w:rPr>
        <w:t>2</w:t>
      </w:r>
      <w:r>
        <w:rPr>
          <w:rFonts w:hint="eastAsia" w:ascii="宋体" w:hAnsi="宋体" w:cs="宋体"/>
          <w:bCs/>
          <w:szCs w:val="21"/>
        </w:rPr>
        <w:t>，可以看出，</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头部加速度和胸部加速度曲线形状基本相同，</w:t>
      </w:r>
      <w:r>
        <w:rPr>
          <w:rFonts w:ascii="宋体" w:hAnsi="宋体" w:cs="宋体"/>
          <w:bCs/>
          <w:szCs w:val="21"/>
        </w:rPr>
        <w:t>HIC</w:t>
      </w:r>
      <w:r>
        <w:rPr>
          <w:rFonts w:hint="eastAsia" w:ascii="宋体" w:hAnsi="宋体" w:cs="宋体"/>
          <w:bCs/>
          <w:szCs w:val="21"/>
        </w:rPr>
        <w:t>变异系数</w:t>
      </w:r>
      <w:r>
        <w:rPr>
          <w:rFonts w:ascii="宋体" w:hAnsi="宋体" w:cs="宋体"/>
          <w:bCs/>
          <w:szCs w:val="21"/>
        </w:rPr>
        <w:t>12%</w:t>
      </w:r>
      <w:r>
        <w:rPr>
          <w:rFonts w:hint="eastAsia" w:ascii="宋体" w:hAnsi="宋体" w:cs="宋体"/>
          <w:bCs/>
          <w:szCs w:val="21"/>
        </w:rPr>
        <w:t>、</w:t>
      </w:r>
      <w:r>
        <w:rPr>
          <w:rFonts w:ascii="宋体" w:hAnsi="宋体" w:cs="宋体"/>
          <w:bCs/>
          <w:szCs w:val="21"/>
        </w:rPr>
        <w:t>14%</w:t>
      </w:r>
      <w:r>
        <w:rPr>
          <w:rFonts w:hint="eastAsia" w:ascii="宋体" w:hAnsi="宋体" w:cs="宋体"/>
          <w:bCs/>
          <w:szCs w:val="21"/>
        </w:rPr>
        <w:t>，</w:t>
      </w:r>
      <w:r>
        <w:rPr>
          <w:rFonts w:ascii="宋体" w:hAnsi="宋体" w:cs="宋体"/>
          <w:bCs/>
          <w:szCs w:val="21"/>
        </w:rPr>
        <w:t>3ms</w:t>
      </w:r>
      <w:r>
        <w:rPr>
          <w:rFonts w:hint="eastAsia" w:ascii="宋体" w:hAnsi="宋体" w:cs="宋体"/>
          <w:bCs/>
          <w:szCs w:val="21"/>
        </w:rPr>
        <w:t>加速度变异系数</w:t>
      </w:r>
      <w:r>
        <w:rPr>
          <w:rFonts w:ascii="宋体" w:hAnsi="宋体" w:cs="宋体"/>
          <w:bCs/>
          <w:szCs w:val="21"/>
        </w:rPr>
        <w:t>5%</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假人颈部</w:t>
      </w:r>
      <w:r>
        <w:rPr>
          <w:rFonts w:ascii="宋体" w:hAnsi="宋体" w:cs="宋体"/>
          <w:bCs/>
          <w:szCs w:val="21"/>
        </w:rPr>
        <w:t>Fz</w:t>
      </w:r>
      <w:r>
        <w:rPr>
          <w:rFonts w:hint="eastAsia" w:ascii="宋体" w:hAnsi="宋体" w:cs="宋体"/>
          <w:bCs/>
          <w:szCs w:val="21"/>
        </w:rPr>
        <w:t>是传感器直接测量的，</w:t>
      </w:r>
      <w:r>
        <w:rPr>
          <w:rFonts w:ascii="宋体" w:hAnsi="宋体" w:cs="宋体"/>
          <w:bCs/>
          <w:szCs w:val="21"/>
        </w:rPr>
        <w:t>P</w:t>
      </w:r>
      <w:r>
        <w:rPr>
          <w:rFonts w:hint="eastAsia" w:ascii="宋体" w:hAnsi="宋体" w:cs="宋体"/>
          <w:bCs/>
          <w:szCs w:val="21"/>
        </w:rPr>
        <w:t>假人无颈部载荷传感器，头</w:t>
      </w:r>
      <w:r>
        <w:rPr>
          <w:rFonts w:ascii="宋体" w:hAnsi="宋体" w:cs="宋体"/>
          <w:bCs/>
          <w:szCs w:val="21"/>
        </w:rPr>
        <w:t>Z</w:t>
      </w:r>
      <w:r>
        <w:rPr>
          <w:rFonts w:hint="eastAsia" w:ascii="宋体" w:hAnsi="宋体" w:cs="宋体"/>
          <w:bCs/>
          <w:szCs w:val="21"/>
        </w:rPr>
        <w:t>向加速度</w:t>
      </w:r>
      <w:bookmarkStart w:id="29" w:name="OLE_LINK58"/>
      <w:bookmarkStart w:id="30" w:name="OLE_LINK57"/>
      <w:r>
        <w:rPr>
          <w:rFonts w:hint="eastAsia" w:ascii="宋体" w:hAnsi="宋体" w:cs="宋体"/>
          <w:bCs/>
          <w:szCs w:val="21"/>
        </w:rPr>
        <w:t>×</w:t>
      </w:r>
      <w:bookmarkEnd w:id="29"/>
      <w:bookmarkEnd w:id="30"/>
      <w:r>
        <w:rPr>
          <w:rFonts w:hint="eastAsia" w:ascii="宋体" w:hAnsi="宋体" w:cs="宋体"/>
          <w:bCs/>
          <w:szCs w:val="21"/>
        </w:rPr>
        <w:t>头部质量，曲线形状类似，峰值</w:t>
      </w:r>
      <w:r>
        <w:rPr>
          <w:rFonts w:ascii="宋体" w:hAnsi="宋体" w:cs="宋体"/>
          <w:bCs/>
          <w:szCs w:val="21"/>
        </w:rPr>
        <w:t>1793N</w:t>
      </w:r>
      <w:r>
        <w:rPr>
          <w:rFonts w:hint="eastAsia" w:ascii="宋体" w:hAnsi="宋体" w:cs="宋体"/>
          <w:bCs/>
          <w:szCs w:val="21"/>
        </w:rPr>
        <w:t>和</w:t>
      </w:r>
      <w:r>
        <w:rPr>
          <w:rFonts w:ascii="宋体" w:hAnsi="宋体" w:cs="宋体"/>
          <w:bCs/>
          <w:szCs w:val="21"/>
        </w:rPr>
        <w:t>1794N</w:t>
      </w:r>
      <w:r>
        <w:rPr>
          <w:rFonts w:hint="eastAsia" w:ascii="宋体" w:hAnsi="宋体" w:cs="宋体"/>
          <w:bCs/>
          <w:szCs w:val="21"/>
        </w:rPr>
        <w:t>，变异系数</w:t>
      </w:r>
      <w:r>
        <w:rPr>
          <w:rFonts w:ascii="宋体" w:hAnsi="宋体" w:cs="宋体"/>
          <w:bCs/>
          <w:szCs w:val="21"/>
        </w:rPr>
        <w:t>0%</w:t>
      </w:r>
      <w:r>
        <w:rPr>
          <w:rFonts w:hint="eastAsia" w:ascii="宋体" w:hAnsi="宋体" w:cs="宋体"/>
          <w:bCs/>
          <w:szCs w:val="21"/>
        </w:rPr>
        <w:t>，偶然性。</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Q3</w:t>
      </w:r>
      <w:r>
        <w:rPr>
          <w:rFonts w:hint="eastAsia" w:ascii="宋体" w:hAnsi="宋体" w:cs="宋体"/>
          <w:bCs/>
          <w:szCs w:val="21"/>
        </w:rPr>
        <w:t>和</w:t>
      </w:r>
      <w:r>
        <w:rPr>
          <w:rFonts w:ascii="宋体" w:hAnsi="宋体" w:cs="宋体"/>
          <w:bCs/>
          <w:szCs w:val="21"/>
        </w:rPr>
        <w:t>P3</w:t>
      </w:r>
      <w:r>
        <w:rPr>
          <w:rFonts w:hint="eastAsia" w:ascii="宋体" w:hAnsi="宋体" w:cs="宋体"/>
          <w:bCs/>
          <w:szCs w:val="21"/>
        </w:rPr>
        <w:t>伤害响应基本一致，</w:t>
      </w:r>
      <w:r>
        <w:rPr>
          <w:rFonts w:ascii="宋体" w:hAnsi="宋体" w:cs="宋体"/>
          <w:bCs/>
          <w:szCs w:val="21"/>
        </w:rPr>
        <w:t>P3</w:t>
      </w:r>
      <w:r>
        <w:rPr>
          <w:rFonts w:hint="eastAsia" w:ascii="宋体" w:hAnsi="宋体" w:cs="宋体"/>
          <w:bCs/>
          <w:szCs w:val="21"/>
        </w:rPr>
        <w:t>存在同样的问题，毛刺干扰严重。</w:t>
      </w:r>
      <w:r>
        <w:rPr>
          <w:rFonts w:ascii="宋体" w:hAnsi="宋体" w:cs="宋体"/>
          <w:bCs/>
          <w:szCs w:val="21"/>
        </w:rPr>
        <w:t xml:space="preserve"> </w:t>
      </w:r>
    </w:p>
    <w:p>
      <w:pPr>
        <w:pStyle w:val="27"/>
        <w:keepNext w:val="0"/>
        <w:keepLines w:val="0"/>
        <w:pageBreakBefore w:val="0"/>
        <w:widowControl w:val="0"/>
        <w:numPr>
          <w:ilvl w:val="0"/>
          <w:numId w:val="10"/>
        </w:numPr>
        <w:kinsoku/>
        <w:wordWrap/>
        <w:overflowPunct/>
        <w:topLinePunct w:val="0"/>
        <w:autoSpaceDE/>
        <w:autoSpaceDN/>
        <w:bidi w:val="0"/>
        <w:adjustRightInd/>
        <w:snapToGrid w:val="0"/>
        <w:spacing w:line="400" w:lineRule="exact"/>
        <w:ind w:left="720" w:leftChars="0" w:hanging="360"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10</w:t>
      </w:r>
      <w:r>
        <w:rPr>
          <w:rFonts w:ascii="宋体" w:hAnsi="宋体" w:cs="宋体"/>
          <w:bCs/>
          <w:szCs w:val="21"/>
        </w:rPr>
        <w:t xml:space="preserve"> vs P</w:t>
      </w:r>
      <w:r>
        <w:rPr>
          <w:rFonts w:hint="eastAsia" w:ascii="宋体" w:hAnsi="宋体" w:cs="宋体"/>
          <w:bCs/>
          <w:szCs w:val="21"/>
        </w:rPr>
        <w:t>10</w:t>
      </w:r>
    </w:p>
    <w:p>
      <w:pPr>
        <w:spacing w:line="360" w:lineRule="auto"/>
        <w:rPr>
          <w:szCs w:val="21"/>
        </w:rPr>
      </w:pPr>
      <w:r>
        <w:rPr>
          <w:szCs w:val="21"/>
        </w:rPr>
        <w:drawing>
          <wp:inline distT="0" distB="0" distL="0" distR="0">
            <wp:extent cx="5486400" cy="1522095"/>
            <wp:effectExtent l="19050" t="0" r="0" b="0"/>
            <wp:docPr id="42" name="对象 4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0404168" cy="2885815"/>
                      <a:chOff x="0" y="1175388"/>
                      <a:chExt cx="10404168" cy="2885815"/>
                    </a:xfrm>
                  </a:grpSpPr>
                  <a:pic>
                    <a:nvPicPr>
                      <a:cNvPr id="7170" name="Picture 2"/>
                      <a:cNvPicPr>
                        <a:picLocks noChangeArrowheads="1"/>
                      </a:cNvPicPr>
                    </a:nvPicPr>
                    <a:blipFill>
                      <a:blip r:embed="rId17">
                        <a:extLst>
                          <a:ext uri="{28A0092B-C50C-407E-A947-70E740481C1C}">
                            <a14:useLocalDpi xmlns:a14="http://schemas.microsoft.com/office/drawing/2010/main" val="0"/>
                          </a:ext>
                        </a:extLst>
                      </a:blip>
                      <a:srcRect/>
                      <a:stretch>
                        <a:fillRect/>
                      </a:stretch>
                    </a:blipFill>
                    <a:spPr bwMode="auto">
                      <a:xfrm>
                        <a:off x="0" y="1181203"/>
                        <a:ext cx="4320000" cy="2880000"/>
                      </a:xfrm>
                      <a:prstGeom prst="rect">
                        <a:avLst/>
                      </a:prstGeom>
                      <a:noFill/>
                      <a:ln>
                        <a:noFill/>
                      </a:ln>
                      <a:effectLst/>
                    </a:spPr>
                  </a:pic>
                  <a:pic>
                    <a:nvPicPr>
                      <a:cNvPr id="7171" name="Picture 3"/>
                      <a:cNvPicPr>
                        <a:picLocks noChangeArrowheads="1"/>
                      </a:cNvPicPr>
                    </a:nvPicPr>
                    <a:blipFill>
                      <a:blip r:embed="rId18">
                        <a:extLst>
                          <a:ext uri="{28A0092B-C50C-407E-A947-70E740481C1C}">
                            <a14:useLocalDpi xmlns:a14="http://schemas.microsoft.com/office/drawing/2010/main" val="0"/>
                          </a:ext>
                        </a:extLst>
                      </a:blip>
                      <a:srcRect/>
                      <a:stretch>
                        <a:fillRect/>
                      </a:stretch>
                    </a:blipFill>
                    <a:spPr bwMode="auto">
                      <a:xfrm>
                        <a:off x="3059352" y="1175388"/>
                        <a:ext cx="4320000" cy="2880000"/>
                      </a:xfrm>
                      <a:prstGeom prst="rect">
                        <a:avLst/>
                      </a:prstGeom>
                      <a:noFill/>
                      <a:ln>
                        <a:noFill/>
                      </a:ln>
                      <a:effectLst/>
                    </a:spPr>
                  </a:pic>
                  <a:pic>
                    <a:nvPicPr>
                      <a:cNvPr id="7172" name="Picture 4"/>
                      <a:cNvPicPr>
                        <a:picLocks noChangeArrowheads="1"/>
                      </a:cNvPicPr>
                    </a:nvPicPr>
                    <a:blipFill>
                      <a:blip r:embed="rId19">
                        <a:extLst>
                          <a:ext uri="{28A0092B-C50C-407E-A947-70E740481C1C}">
                            <a14:useLocalDpi xmlns:a14="http://schemas.microsoft.com/office/drawing/2010/main" val="0"/>
                          </a:ext>
                        </a:extLst>
                      </a:blip>
                      <a:srcRect/>
                      <a:stretch>
                        <a:fillRect/>
                      </a:stretch>
                    </a:blipFill>
                    <a:spPr bwMode="auto">
                      <a:xfrm>
                        <a:off x="6084168" y="1181203"/>
                        <a:ext cx="4320000" cy="2880000"/>
                      </a:xfrm>
                      <a:prstGeom prst="rect">
                        <a:avLst/>
                      </a:prstGeom>
                      <a:noFill/>
                      <a:ln>
                        <a:noFill/>
                      </a:ln>
                      <a:effectLst/>
                    </a:spPr>
                  </a:pic>
                  <a:sp>
                    <a:nvSpPr>
                      <a:cNvPr id="6" name="矩形 5"/>
                      <a:cNvSpPr/>
                    </a:nvSpPr>
                    <a:spPr>
                      <a:xfrm>
                        <a:off x="395536" y="1340768"/>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1.Q10 Head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P10 Head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sp>
                    <a:nvSpPr>
                      <a:cNvPr id="10" name="矩形 9"/>
                      <a:cNvSpPr/>
                    </a:nvSpPr>
                    <a:spPr>
                      <a:xfrm>
                        <a:off x="3131840" y="1268760"/>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1.Q10 Chest </a:t>
                          </a:r>
                          <a:r>
                            <a:rPr lang="en-US" altLang="zh-CN" sz="1200" dirty="0" err="1" smtClean="0">
                              <a:solidFill>
                                <a:srgbClr val="FF0000"/>
                              </a:solidFill>
                            </a:rPr>
                            <a:t>Acc</a:t>
                          </a:r>
                          <a:endParaRPr lang="en-US" altLang="zh-CN" sz="1200" dirty="0" smtClean="0">
                            <a:solidFill>
                              <a:srgbClr val="FF0000"/>
                            </a:solidFill>
                          </a:endParaRPr>
                        </a:p>
                        <a:p>
                          <a:pPr algn="ctr"/>
                          <a:r>
                            <a:rPr lang="en-US" altLang="zh-CN" sz="1200" dirty="0" smtClean="0">
                              <a:solidFill>
                                <a:srgbClr val="0000FF"/>
                              </a:solidFill>
                            </a:rPr>
                            <a:t>2. P10 Chest </a:t>
                          </a:r>
                          <a:r>
                            <a:rPr lang="en-US" altLang="zh-CN" sz="1200" dirty="0" err="1" smtClean="0">
                              <a:solidFill>
                                <a:srgbClr val="0000FF"/>
                              </a:solidFill>
                            </a:rPr>
                            <a:t>Acc</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a:sp>
                    <a:nvSpPr>
                      <a:cNvPr id="11" name="矩形 10"/>
                      <a:cNvSpPr/>
                    </a:nvSpPr>
                    <a:spPr>
                      <a:xfrm>
                        <a:off x="6444368" y="1304824"/>
                        <a:ext cx="1440000" cy="540000"/>
                      </a:xfrm>
                      <a:prstGeom prst="rect">
                        <a:avLst/>
                      </a:prstGeom>
                      <a:noFill/>
                      <a:ln w="12700"/>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CN" sz="1200" dirty="0" smtClean="0">
                              <a:solidFill>
                                <a:srgbClr val="FF0000"/>
                              </a:solidFill>
                            </a:rPr>
                            <a:t>1.Q10 Neck </a:t>
                          </a:r>
                          <a:r>
                            <a:rPr lang="en-US" altLang="zh-CN" sz="1200" dirty="0" err="1" smtClean="0">
                              <a:solidFill>
                                <a:srgbClr val="FF0000"/>
                              </a:solidFill>
                            </a:rPr>
                            <a:t>Fz</a:t>
                          </a:r>
                          <a:endParaRPr lang="en-US" altLang="zh-CN" sz="1200" dirty="0" smtClean="0">
                            <a:solidFill>
                              <a:srgbClr val="FF0000"/>
                            </a:solidFill>
                          </a:endParaRPr>
                        </a:p>
                        <a:p>
                          <a:pPr algn="ctr"/>
                          <a:r>
                            <a:rPr lang="en-US" altLang="zh-CN" sz="1200" dirty="0" smtClean="0">
                              <a:solidFill>
                                <a:srgbClr val="0000FF"/>
                              </a:solidFill>
                            </a:rPr>
                            <a:t>2. P10 Neck</a:t>
                          </a:r>
                          <a:endParaRPr lang="zh-CN" altLang="en-US" sz="1200" dirty="0">
                            <a:solidFill>
                              <a:srgbClr val="0000FF"/>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pPr>
        <w:spacing w:line="360" w:lineRule="auto"/>
        <w:ind w:left="359" w:leftChars="171" w:firstLine="210" w:firstLineChars="100"/>
        <w:jc w:val="center"/>
        <w:rPr>
          <w:rFonts w:ascii="黑体" w:hAnsi="黑体" w:eastAsia="黑体" w:cs="宋体"/>
          <w:bCs/>
          <w:szCs w:val="21"/>
        </w:rPr>
      </w:pPr>
      <w:r>
        <w:rPr>
          <w:rFonts w:hint="eastAsia" w:ascii="黑体" w:hAnsi="黑体" w:eastAsia="黑体" w:cs="宋体"/>
          <w:bCs/>
          <w:szCs w:val="21"/>
        </w:rPr>
        <w:t>图</w:t>
      </w:r>
      <w:r>
        <w:rPr>
          <w:rFonts w:hint="eastAsia" w:ascii="黑体" w:hAnsi="黑体" w:eastAsia="黑体" w:cs="宋体"/>
          <w:bCs/>
          <w:szCs w:val="21"/>
          <w:lang w:val="en-US" w:eastAsia="zh-CN"/>
        </w:rPr>
        <w:t>6</w:t>
      </w:r>
      <w:r>
        <w:rPr>
          <w:rFonts w:hint="eastAsia" w:ascii="黑体" w:hAnsi="黑体" w:eastAsia="黑体" w:cs="宋体"/>
          <w:bCs/>
          <w:szCs w:val="21"/>
        </w:rPr>
        <w:t xml:space="preserve"> P10与Q10两组假人头部、胸部、颈部测量峰值曲线对比</w:t>
      </w:r>
    </w:p>
    <w:p>
      <w:pPr>
        <w:spacing w:line="360" w:lineRule="auto"/>
        <w:jc w:val="center"/>
        <w:rPr>
          <w:rFonts w:ascii="黑体" w:hAnsi="黑体" w:eastAsia="黑体" w:cs="宋体"/>
          <w:bCs/>
          <w:szCs w:val="21"/>
        </w:rPr>
      </w:pPr>
      <w:r>
        <w:rPr>
          <w:rFonts w:hint="eastAsia" w:ascii="黑体" w:hAnsi="黑体" w:eastAsia="黑体" w:cs="宋体"/>
          <w:bCs/>
          <w:szCs w:val="21"/>
        </w:rPr>
        <w:t>表3  P10与Q10两组假人各部位指标对比</w:t>
      </w:r>
    </w:p>
    <w:tbl>
      <w:tblPr>
        <w:tblStyle w:val="16"/>
        <w:tblW w:w="0" w:type="auto"/>
        <w:jc w:val="center"/>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Layout w:type="autofit"/>
        <w:tblCellMar>
          <w:top w:w="0" w:type="dxa"/>
          <w:left w:w="0" w:type="dxa"/>
          <w:bottom w:w="0" w:type="dxa"/>
          <w:right w:w="0" w:type="dxa"/>
        </w:tblCellMar>
      </w:tblPr>
      <w:tblGrid>
        <w:gridCol w:w="2094"/>
        <w:gridCol w:w="2095"/>
        <w:gridCol w:w="2095"/>
        <w:gridCol w:w="2095"/>
      </w:tblGrid>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指标</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Q</w:t>
            </w:r>
            <w:r>
              <w:rPr>
                <w:rFonts w:hint="eastAsia"/>
                <w:szCs w:val="21"/>
              </w:rPr>
              <w:t>10</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P</w:t>
            </w:r>
            <w:r>
              <w:rPr>
                <w:rFonts w:hint="eastAsia"/>
                <w:szCs w:val="21"/>
              </w:rPr>
              <w:t>10</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CV</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HIC15</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405</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179</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55%</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HIC36</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672</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276</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59%</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Head-3ms</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63.98</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44.7</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25%</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Chest-3ms</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38.57</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44.07</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9%</w:t>
            </w:r>
          </w:p>
        </w:tc>
      </w:tr>
      <w:tr>
        <w:tblPrEx>
          <w:tblBorders>
            <w:top w:val="single" w:color="4584D3" w:sz="8" w:space="0"/>
            <w:left w:val="single" w:color="4584D3" w:sz="8" w:space="0"/>
            <w:bottom w:val="single" w:color="4584D3" w:sz="8" w:space="0"/>
            <w:right w:val="single" w:color="4584D3" w:sz="8" w:space="0"/>
            <w:insideH w:val="single" w:color="4584D3" w:sz="8" w:space="0"/>
            <w:insideV w:val="single" w:color="4584D3" w:sz="8" w:space="0"/>
          </w:tblBorders>
          <w:shd w:val="clear" w:color="auto" w:fill="FFFFFF" w:themeFill="background1"/>
          <w:tblCellMar>
            <w:top w:w="0" w:type="dxa"/>
            <w:left w:w="0" w:type="dxa"/>
            <w:bottom w:w="0" w:type="dxa"/>
            <w:right w:w="0" w:type="dxa"/>
          </w:tblCellMar>
        </w:tblPrEx>
        <w:trPr>
          <w:jc w:val="center"/>
        </w:trPr>
        <w:tc>
          <w:tcPr>
            <w:tcW w:w="2094"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Fz</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3455</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1437</w:t>
            </w:r>
          </w:p>
        </w:tc>
        <w:tc>
          <w:tcPr>
            <w:tcW w:w="2095" w:type="dxa"/>
            <w:tcBorders>
              <w:top w:val="single" w:color="4584D3" w:sz="8" w:space="0"/>
              <w:left w:val="single" w:color="4584D3" w:sz="8" w:space="0"/>
              <w:bottom w:val="single" w:color="4584D3" w:sz="8" w:space="0"/>
              <w:right w:val="single" w:color="4584D3" w:sz="8" w:space="0"/>
            </w:tcBorders>
            <w:shd w:val="clear" w:color="auto" w:fill="FFFFFF" w:themeFill="background1"/>
            <w:tcMar>
              <w:top w:w="15" w:type="dxa"/>
              <w:left w:w="15" w:type="dxa"/>
              <w:bottom w:w="0" w:type="dxa"/>
              <w:right w:w="15" w:type="dxa"/>
            </w:tcMar>
            <w:vAlign w:val="center"/>
          </w:tcPr>
          <w:p>
            <w:pPr>
              <w:pStyle w:val="13"/>
              <w:keepNext w:val="0"/>
              <w:keepLines w:val="0"/>
              <w:suppressLineNumbers w:val="0"/>
              <w:spacing w:before="0" w:beforeAutospacing="0" w:after="0" w:afterAutospacing="0"/>
              <w:ind w:left="0" w:right="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58%</w:t>
            </w:r>
          </w:p>
        </w:tc>
      </w:tr>
    </w:tbl>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宋体" w:hAnsi="宋体" w:cs="宋体"/>
          <w:bCs/>
          <w:szCs w:val="21"/>
        </w:rPr>
      </w:pPr>
      <w:r>
        <w:rPr>
          <w:rFonts w:hint="eastAsia" w:ascii="宋体" w:hAnsi="宋体" w:cs="宋体"/>
          <w:bCs/>
          <w:szCs w:val="21"/>
        </w:rPr>
        <w:t>通过以上图</w:t>
      </w:r>
      <w:r>
        <w:rPr>
          <w:rFonts w:hint="eastAsia" w:ascii="宋体" w:hAnsi="宋体" w:cs="宋体"/>
          <w:bCs/>
          <w:szCs w:val="21"/>
          <w:lang w:val="en-US" w:eastAsia="zh-CN"/>
        </w:rPr>
        <w:t>6和</w:t>
      </w:r>
      <w:r>
        <w:rPr>
          <w:rFonts w:hint="eastAsia" w:ascii="宋体" w:hAnsi="宋体" w:cs="宋体"/>
          <w:bCs/>
          <w:szCs w:val="21"/>
        </w:rPr>
        <w:t>表</w:t>
      </w:r>
      <w:r>
        <w:rPr>
          <w:rFonts w:hint="eastAsia" w:ascii="宋体" w:hAnsi="宋体" w:cs="宋体"/>
          <w:bCs/>
          <w:szCs w:val="21"/>
          <w:lang w:val="en-US" w:eastAsia="zh-CN"/>
        </w:rPr>
        <w:t>3</w:t>
      </w:r>
      <w:r>
        <w:rPr>
          <w:rFonts w:hint="eastAsia" w:ascii="宋体" w:hAnsi="宋体" w:cs="宋体"/>
          <w:bCs/>
          <w:szCs w:val="21"/>
        </w:rPr>
        <w:t>，可以看出，</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头部加速度形状相同，但</w:t>
      </w:r>
      <w:r>
        <w:rPr>
          <w:rFonts w:ascii="宋体" w:hAnsi="宋体" w:cs="宋体"/>
          <w:bCs/>
          <w:szCs w:val="21"/>
        </w:rPr>
        <w:t>Q10</w:t>
      </w:r>
      <w:r>
        <w:rPr>
          <w:rFonts w:hint="eastAsia" w:ascii="宋体" w:hAnsi="宋体" w:cs="宋体"/>
          <w:bCs/>
          <w:szCs w:val="21"/>
        </w:rPr>
        <w:t>的幅值更大，</w:t>
      </w:r>
      <w:r>
        <w:rPr>
          <w:rFonts w:ascii="宋体" w:hAnsi="宋体" w:cs="宋体"/>
          <w:bCs/>
          <w:szCs w:val="21"/>
        </w:rPr>
        <w:t>HIC</w:t>
      </w:r>
      <w:r>
        <w:rPr>
          <w:rFonts w:hint="eastAsia" w:ascii="宋体" w:hAnsi="宋体" w:cs="宋体"/>
          <w:bCs/>
          <w:szCs w:val="21"/>
        </w:rPr>
        <w:t>的变异系数</w:t>
      </w:r>
      <w:r>
        <w:rPr>
          <w:rFonts w:ascii="宋体" w:hAnsi="宋体" w:cs="宋体"/>
          <w:bCs/>
          <w:szCs w:val="21"/>
        </w:rPr>
        <w:t>50%</w:t>
      </w:r>
      <w:r>
        <w:rPr>
          <w:rFonts w:hint="eastAsia" w:ascii="宋体" w:hAnsi="宋体" w:cs="宋体"/>
          <w:bCs/>
          <w:szCs w:val="21"/>
        </w:rPr>
        <w:t>以上，</w:t>
      </w:r>
      <w:r>
        <w:rPr>
          <w:rFonts w:ascii="宋体" w:hAnsi="宋体" w:cs="宋体"/>
          <w:bCs/>
          <w:szCs w:val="21"/>
        </w:rPr>
        <w:t>3ms</w:t>
      </w:r>
      <w:r>
        <w:rPr>
          <w:rFonts w:hint="eastAsia" w:ascii="宋体" w:hAnsi="宋体" w:cs="宋体"/>
          <w:bCs/>
          <w:szCs w:val="21"/>
        </w:rPr>
        <w:t>加速度变异系数</w:t>
      </w:r>
      <w:r>
        <w:rPr>
          <w:rFonts w:ascii="宋体" w:hAnsi="宋体" w:cs="宋体"/>
          <w:bCs/>
          <w:szCs w:val="21"/>
        </w:rPr>
        <w:t>25%</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胸部加速度曲线一致性很好，</w:t>
      </w:r>
      <w:r>
        <w:rPr>
          <w:rFonts w:ascii="宋体" w:hAnsi="宋体" w:cs="宋体"/>
          <w:bCs/>
          <w:szCs w:val="21"/>
        </w:rPr>
        <w:t>3ms</w:t>
      </w:r>
      <w:r>
        <w:rPr>
          <w:rFonts w:hint="eastAsia" w:ascii="宋体" w:hAnsi="宋体" w:cs="宋体"/>
          <w:bCs/>
          <w:szCs w:val="21"/>
        </w:rPr>
        <w:t>加速度的变异系数</w:t>
      </w:r>
      <w:r>
        <w:rPr>
          <w:rFonts w:ascii="宋体" w:hAnsi="宋体" w:cs="宋体"/>
          <w:bCs/>
          <w:szCs w:val="21"/>
        </w:rPr>
        <w:t>9%</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w:t>
      </w:r>
      <w:r>
        <w:rPr>
          <w:rFonts w:hint="eastAsia" w:ascii="宋体" w:hAnsi="宋体" w:cs="宋体"/>
          <w:bCs/>
          <w:szCs w:val="21"/>
        </w:rPr>
        <w:t>假人颈部</w:t>
      </w:r>
      <w:r>
        <w:rPr>
          <w:rFonts w:ascii="宋体" w:hAnsi="宋体" w:cs="宋体"/>
          <w:bCs/>
          <w:szCs w:val="21"/>
        </w:rPr>
        <w:t>Fz</w:t>
      </w:r>
      <w:r>
        <w:rPr>
          <w:rFonts w:hint="eastAsia" w:ascii="宋体" w:hAnsi="宋体" w:cs="宋体"/>
          <w:bCs/>
          <w:szCs w:val="21"/>
        </w:rPr>
        <w:t>是传感器直接测量的，</w:t>
      </w:r>
      <w:r>
        <w:rPr>
          <w:rFonts w:ascii="宋体" w:hAnsi="宋体" w:cs="宋体"/>
          <w:bCs/>
          <w:szCs w:val="21"/>
        </w:rPr>
        <w:t>P</w:t>
      </w:r>
      <w:r>
        <w:rPr>
          <w:rFonts w:hint="eastAsia" w:ascii="宋体" w:hAnsi="宋体" w:cs="宋体"/>
          <w:bCs/>
          <w:szCs w:val="21"/>
        </w:rPr>
        <w:t>假人无颈部载荷传感器，采用头</w:t>
      </w:r>
      <w:r>
        <w:rPr>
          <w:rFonts w:ascii="宋体" w:hAnsi="宋体" w:cs="宋体"/>
          <w:bCs/>
          <w:szCs w:val="21"/>
        </w:rPr>
        <w:t>Z</w:t>
      </w:r>
      <w:r>
        <w:rPr>
          <w:rFonts w:hint="eastAsia" w:ascii="宋体" w:hAnsi="宋体" w:cs="宋体"/>
          <w:bCs/>
          <w:szCs w:val="21"/>
        </w:rPr>
        <w:t>向加速度×头部质量，曲线形状趋势类似，幅值相差巨大，峰值分别为</w:t>
      </w:r>
      <w:r>
        <w:rPr>
          <w:rFonts w:ascii="宋体" w:hAnsi="宋体" w:cs="宋体"/>
          <w:bCs/>
          <w:szCs w:val="21"/>
        </w:rPr>
        <w:t>3455N</w:t>
      </w:r>
      <w:r>
        <w:rPr>
          <w:rFonts w:hint="eastAsia" w:ascii="宋体" w:hAnsi="宋体" w:cs="宋体"/>
          <w:bCs/>
          <w:szCs w:val="21"/>
        </w:rPr>
        <w:t>和</w:t>
      </w:r>
      <w:r>
        <w:rPr>
          <w:rFonts w:ascii="宋体" w:hAnsi="宋体" w:cs="宋体"/>
          <w:bCs/>
          <w:szCs w:val="21"/>
        </w:rPr>
        <w:t>1437N</w:t>
      </w:r>
      <w:r>
        <w:rPr>
          <w:rFonts w:hint="eastAsia" w:ascii="宋体" w:hAnsi="宋体" w:cs="宋体"/>
          <w:bCs/>
          <w:szCs w:val="21"/>
        </w:rPr>
        <w:t>，变异系数</w:t>
      </w:r>
      <w:r>
        <w:rPr>
          <w:rFonts w:ascii="宋体" w:hAnsi="宋体" w:cs="宋体"/>
          <w:bCs/>
          <w:szCs w:val="21"/>
        </w:rPr>
        <w:t>58%</w:t>
      </w:r>
      <w:r>
        <w:rPr>
          <w:rFonts w:hint="eastAsia" w:ascii="宋体" w:hAnsi="宋体" w:cs="宋体"/>
          <w:bCs/>
          <w:szCs w:val="21"/>
        </w:rPr>
        <w:t>。</w:t>
      </w:r>
      <w:r>
        <w:rPr>
          <w:rFonts w:ascii="宋体" w:hAnsi="宋体" w:cs="宋体"/>
          <w:bCs/>
          <w:szCs w:val="21"/>
        </w:rPr>
        <w:t xml:space="preserve"> </w:t>
      </w:r>
    </w:p>
    <w:p>
      <w:pPr>
        <w:pStyle w:val="27"/>
        <w:keepNext w:val="0"/>
        <w:keepLines w:val="0"/>
        <w:pageBreakBefore w:val="0"/>
        <w:widowControl w:val="0"/>
        <w:numPr>
          <w:ilvl w:val="0"/>
          <w:numId w:val="10"/>
        </w:numPr>
        <w:kinsoku/>
        <w:wordWrap/>
        <w:overflowPunct/>
        <w:topLinePunct w:val="0"/>
        <w:autoSpaceDE/>
        <w:autoSpaceDN/>
        <w:bidi w:val="0"/>
        <w:adjustRightInd/>
        <w:snapToGrid w:val="0"/>
        <w:spacing w:line="400" w:lineRule="exact"/>
        <w:ind w:left="720" w:leftChars="0" w:hanging="360" w:firstLineChars="0"/>
        <w:textAlignment w:val="auto"/>
        <w:rPr>
          <w:rFonts w:ascii="宋体" w:hAnsi="宋体" w:cs="宋体"/>
          <w:bCs/>
          <w:szCs w:val="21"/>
        </w:rPr>
      </w:pPr>
      <w:r>
        <w:rPr>
          <w:rFonts w:hint="eastAsia" w:ascii="宋体" w:hAnsi="宋体" w:cs="宋体"/>
          <w:bCs/>
          <w:szCs w:val="21"/>
        </w:rPr>
        <w:t>假人对比总结</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11" w:firstLineChars="196"/>
        <w:textAlignment w:val="auto"/>
        <w:rPr>
          <w:rFonts w:ascii="宋体" w:hAnsi="宋体" w:cs="宋体"/>
          <w:bCs/>
          <w:szCs w:val="21"/>
        </w:rPr>
      </w:pPr>
      <w:r>
        <w:rPr>
          <w:rFonts w:hint="eastAsia" w:ascii="宋体" w:hAnsi="宋体" w:cs="宋体"/>
          <w:bCs/>
          <w:szCs w:val="21"/>
        </w:rPr>
        <w:t>目前，以上对比试验只针对</w:t>
      </w:r>
      <w:r>
        <w:rPr>
          <w:rFonts w:ascii="宋体" w:hAnsi="宋体" w:cs="宋体"/>
          <w:bCs/>
          <w:szCs w:val="21"/>
        </w:rPr>
        <w:t>1.5</w:t>
      </w:r>
      <w:r>
        <w:rPr>
          <w:rFonts w:hint="eastAsia" w:ascii="宋体" w:hAnsi="宋体" w:cs="宋体"/>
          <w:bCs/>
          <w:szCs w:val="21"/>
        </w:rPr>
        <w:t>岁、</w:t>
      </w:r>
      <w:r>
        <w:rPr>
          <w:rFonts w:ascii="宋体" w:hAnsi="宋体" w:cs="宋体"/>
          <w:bCs/>
          <w:szCs w:val="21"/>
        </w:rPr>
        <w:t>3</w:t>
      </w:r>
      <w:r>
        <w:rPr>
          <w:rFonts w:hint="eastAsia" w:ascii="宋体" w:hAnsi="宋体" w:cs="宋体"/>
          <w:bCs/>
          <w:szCs w:val="21"/>
        </w:rPr>
        <w:t>岁、</w:t>
      </w:r>
      <w:r>
        <w:rPr>
          <w:rFonts w:ascii="宋体" w:hAnsi="宋体" w:cs="宋体"/>
          <w:bCs/>
          <w:szCs w:val="21"/>
        </w:rPr>
        <w:t>10</w:t>
      </w:r>
      <w:r>
        <w:rPr>
          <w:rFonts w:hint="eastAsia" w:ascii="宋体" w:hAnsi="宋体" w:cs="宋体"/>
          <w:bCs/>
          <w:szCs w:val="21"/>
        </w:rPr>
        <w:t>岁三组假人各进行了一次试验，结果不能全面反映两种假人的差异，仅为参考。</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头部加速度，有一定差异，</w:t>
      </w:r>
      <w:r>
        <w:rPr>
          <w:rFonts w:ascii="宋体" w:hAnsi="宋体" w:cs="宋体"/>
          <w:bCs/>
          <w:szCs w:val="21"/>
        </w:rPr>
        <w:t>P3</w:t>
      </w:r>
      <w:r>
        <w:rPr>
          <w:rFonts w:hint="eastAsia" w:ascii="宋体" w:hAnsi="宋体" w:cs="宋体"/>
          <w:bCs/>
          <w:szCs w:val="21"/>
        </w:rPr>
        <w:t>、</w:t>
      </w:r>
      <w:r>
        <w:rPr>
          <w:rFonts w:ascii="宋体" w:hAnsi="宋体" w:cs="宋体"/>
          <w:bCs/>
          <w:szCs w:val="21"/>
        </w:rPr>
        <w:t>Q3</w:t>
      </w:r>
      <w:r>
        <w:rPr>
          <w:rFonts w:hint="eastAsia" w:ascii="宋体" w:hAnsi="宋体" w:cs="宋体"/>
          <w:bCs/>
          <w:szCs w:val="21"/>
        </w:rPr>
        <w:t>差异最小，</w:t>
      </w:r>
      <w:r>
        <w:rPr>
          <w:rFonts w:ascii="宋体" w:hAnsi="宋体" w:cs="宋体"/>
          <w:bCs/>
          <w:szCs w:val="21"/>
        </w:rPr>
        <w:t>P10</w:t>
      </w:r>
      <w:r>
        <w:rPr>
          <w:rFonts w:hint="eastAsia" w:ascii="宋体" w:hAnsi="宋体" w:cs="宋体"/>
          <w:bCs/>
          <w:szCs w:val="21"/>
        </w:rPr>
        <w:t>、</w:t>
      </w:r>
      <w:r>
        <w:rPr>
          <w:rFonts w:ascii="宋体" w:hAnsi="宋体" w:cs="宋体"/>
          <w:bCs/>
          <w:szCs w:val="21"/>
        </w:rPr>
        <w:t>Q10</w:t>
      </w:r>
      <w:r>
        <w:rPr>
          <w:rFonts w:hint="eastAsia" w:ascii="宋体" w:hAnsi="宋体" w:cs="宋体"/>
          <w:bCs/>
          <w:szCs w:val="21"/>
        </w:rPr>
        <w:t>差异最大。</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胸部加速度，</w:t>
      </w:r>
      <w:r>
        <w:rPr>
          <w:rFonts w:ascii="宋体" w:hAnsi="宋体" w:cs="宋体"/>
          <w:bCs/>
          <w:szCs w:val="21"/>
        </w:rPr>
        <w:t>P</w:t>
      </w:r>
      <w:r>
        <w:rPr>
          <w:rFonts w:hint="eastAsia" w:ascii="宋体" w:hAnsi="宋体" w:cs="宋体"/>
          <w:bCs/>
          <w:szCs w:val="21"/>
        </w:rPr>
        <w:t>、</w:t>
      </w:r>
      <w:r>
        <w:rPr>
          <w:rFonts w:ascii="宋体" w:hAnsi="宋体" w:cs="宋体"/>
          <w:bCs/>
          <w:szCs w:val="21"/>
        </w:rPr>
        <w:t>Q</w:t>
      </w:r>
      <w:r>
        <w:rPr>
          <w:rFonts w:hint="eastAsia" w:ascii="宋体" w:hAnsi="宋体" w:cs="宋体"/>
          <w:bCs/>
          <w:szCs w:val="21"/>
        </w:rPr>
        <w:t>假人一致性很好，响应基本相同。</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颈部</w:t>
      </w:r>
      <w:r>
        <w:rPr>
          <w:rFonts w:ascii="宋体" w:hAnsi="宋体" w:cs="宋体"/>
          <w:bCs/>
          <w:szCs w:val="21"/>
        </w:rPr>
        <w:t>Fz</w:t>
      </w:r>
      <w:r>
        <w:rPr>
          <w:rFonts w:hint="eastAsia" w:ascii="宋体" w:hAnsi="宋体" w:cs="宋体"/>
          <w:bCs/>
          <w:szCs w:val="21"/>
        </w:rPr>
        <w:t>，由于</w:t>
      </w:r>
      <w:r>
        <w:rPr>
          <w:rFonts w:ascii="宋体" w:hAnsi="宋体" w:cs="宋体"/>
          <w:bCs/>
          <w:szCs w:val="21"/>
        </w:rPr>
        <w:t>P</w:t>
      </w:r>
      <w:r>
        <w:rPr>
          <w:rFonts w:hint="eastAsia" w:ascii="宋体" w:hAnsi="宋体" w:cs="宋体"/>
          <w:bCs/>
          <w:szCs w:val="21"/>
        </w:rPr>
        <w:t>假人采用头</w:t>
      </w:r>
      <w:r>
        <w:rPr>
          <w:rFonts w:ascii="宋体" w:hAnsi="宋体" w:cs="宋体"/>
          <w:bCs/>
          <w:szCs w:val="21"/>
        </w:rPr>
        <w:t>Z</w:t>
      </w:r>
      <w:r>
        <w:rPr>
          <w:rFonts w:hint="eastAsia" w:ascii="宋体" w:hAnsi="宋体" w:cs="宋体"/>
          <w:bCs/>
          <w:szCs w:val="21"/>
        </w:rPr>
        <w:t>向加速度×头部质量，所以只能做参考。</w:t>
      </w:r>
      <w:r>
        <w:rPr>
          <w:rFonts w:ascii="宋体" w:hAnsi="宋体" w:cs="宋体"/>
          <w:bCs/>
          <w:szCs w:val="21"/>
        </w:rPr>
        <w:t xml:space="preserve"> </w:t>
      </w:r>
    </w:p>
    <w:p>
      <w:pPr>
        <w:pStyle w:val="27"/>
        <w:keepNext w:val="0"/>
        <w:keepLines w:val="0"/>
        <w:pageBreakBefore w:val="0"/>
        <w:widowControl w:val="0"/>
        <w:numPr>
          <w:ilvl w:val="1"/>
          <w:numId w:val="11"/>
        </w:numPr>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P1.5</w:t>
      </w:r>
      <w:r>
        <w:rPr>
          <w:rFonts w:hint="eastAsia" w:ascii="宋体" w:hAnsi="宋体" w:cs="宋体"/>
          <w:bCs/>
          <w:szCs w:val="21"/>
        </w:rPr>
        <w:t>约为</w:t>
      </w:r>
      <w:r>
        <w:rPr>
          <w:rFonts w:ascii="宋体" w:hAnsi="宋体" w:cs="宋体"/>
          <w:bCs/>
          <w:szCs w:val="21"/>
        </w:rPr>
        <w:t>Q1.5</w:t>
      </w:r>
      <w:r>
        <w:rPr>
          <w:rFonts w:hint="eastAsia" w:ascii="宋体" w:hAnsi="宋体" w:cs="宋体"/>
          <w:bCs/>
          <w:szCs w:val="21"/>
        </w:rPr>
        <w:t>的</w:t>
      </w:r>
      <w:r>
        <w:rPr>
          <w:rFonts w:ascii="宋体" w:hAnsi="宋体" w:cs="宋体"/>
          <w:bCs/>
          <w:szCs w:val="21"/>
        </w:rPr>
        <w:t>2</w:t>
      </w:r>
      <w:r>
        <w:rPr>
          <w:rFonts w:hint="eastAsia" w:ascii="宋体" w:hAnsi="宋体" w:cs="宋体"/>
          <w:bCs/>
          <w:szCs w:val="21"/>
        </w:rPr>
        <w:t>倍；</w:t>
      </w:r>
    </w:p>
    <w:p>
      <w:pPr>
        <w:pStyle w:val="27"/>
        <w:keepNext w:val="0"/>
        <w:keepLines w:val="0"/>
        <w:pageBreakBefore w:val="0"/>
        <w:widowControl w:val="0"/>
        <w:numPr>
          <w:ilvl w:val="1"/>
          <w:numId w:val="11"/>
        </w:numPr>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P3</w:t>
      </w:r>
      <w:r>
        <w:rPr>
          <w:rFonts w:hint="eastAsia" w:ascii="宋体" w:hAnsi="宋体" w:cs="宋体"/>
          <w:bCs/>
          <w:szCs w:val="21"/>
        </w:rPr>
        <w:t>、</w:t>
      </w:r>
      <w:r>
        <w:rPr>
          <w:rFonts w:ascii="宋体" w:hAnsi="宋体" w:cs="宋体"/>
          <w:bCs/>
          <w:szCs w:val="21"/>
        </w:rPr>
        <w:t>Q3</w:t>
      </w:r>
      <w:r>
        <w:rPr>
          <w:rFonts w:hint="eastAsia" w:ascii="宋体" w:hAnsi="宋体" w:cs="宋体"/>
          <w:bCs/>
          <w:szCs w:val="21"/>
        </w:rPr>
        <w:t>基本相同；</w:t>
      </w:r>
    </w:p>
    <w:p>
      <w:pPr>
        <w:pStyle w:val="27"/>
        <w:keepNext w:val="0"/>
        <w:keepLines w:val="0"/>
        <w:pageBreakBefore w:val="0"/>
        <w:widowControl w:val="0"/>
        <w:numPr>
          <w:ilvl w:val="1"/>
          <w:numId w:val="11"/>
        </w:numPr>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ascii="宋体" w:hAnsi="宋体" w:cs="宋体"/>
          <w:bCs/>
          <w:szCs w:val="21"/>
        </w:rPr>
        <w:t>Q10</w:t>
      </w:r>
      <w:r>
        <w:rPr>
          <w:rFonts w:hint="eastAsia" w:ascii="宋体" w:hAnsi="宋体" w:cs="宋体"/>
          <w:bCs/>
          <w:szCs w:val="21"/>
        </w:rPr>
        <w:t>约为</w:t>
      </w:r>
      <w:r>
        <w:rPr>
          <w:rFonts w:ascii="宋体" w:hAnsi="宋体" w:cs="宋体"/>
          <w:bCs/>
          <w:szCs w:val="21"/>
        </w:rPr>
        <w:t>P10</w:t>
      </w:r>
      <w:r>
        <w:rPr>
          <w:rFonts w:hint="eastAsia" w:ascii="宋体" w:hAnsi="宋体" w:cs="宋体"/>
          <w:bCs/>
          <w:szCs w:val="21"/>
        </w:rPr>
        <w:t>的</w:t>
      </w:r>
      <w:r>
        <w:rPr>
          <w:rFonts w:ascii="宋体" w:hAnsi="宋体" w:cs="宋体"/>
          <w:bCs/>
          <w:szCs w:val="21"/>
        </w:rPr>
        <w:t>2</w:t>
      </w:r>
      <w:r>
        <w:rPr>
          <w:rFonts w:hint="eastAsia" w:ascii="宋体" w:hAnsi="宋体" w:cs="宋体"/>
          <w:bCs/>
          <w:szCs w:val="21"/>
        </w:rPr>
        <w:t>倍。</w:t>
      </w:r>
      <w:r>
        <w:rPr>
          <w:rFonts w:ascii="宋体" w:hAnsi="宋体" w:cs="宋体"/>
          <w:bCs/>
          <w:szCs w:val="21"/>
        </w:rPr>
        <w:t xml:space="preserve"> </w:t>
      </w:r>
    </w:p>
    <w:p>
      <w:pPr>
        <w:pStyle w:val="27"/>
        <w:keepNext w:val="0"/>
        <w:keepLines w:val="0"/>
        <w:pageBreakBefore w:val="0"/>
        <w:widowControl w:val="0"/>
        <w:numPr>
          <w:ilvl w:val="0"/>
          <w:numId w:val="11"/>
        </w:numPr>
        <w:tabs>
          <w:tab w:val="left" w:pos="720"/>
        </w:tabs>
        <w:kinsoku/>
        <w:wordWrap/>
        <w:overflowPunct/>
        <w:topLinePunct w:val="0"/>
        <w:autoSpaceDE/>
        <w:autoSpaceDN/>
        <w:bidi w:val="0"/>
        <w:adjustRightInd/>
        <w:snapToGrid w:val="0"/>
        <w:spacing w:line="400" w:lineRule="exact"/>
        <w:ind w:firstLineChars="0"/>
        <w:textAlignment w:val="auto"/>
        <w:rPr>
          <w:rFonts w:ascii="宋体" w:hAnsi="宋体" w:cs="宋体"/>
          <w:bCs/>
          <w:szCs w:val="21"/>
        </w:rPr>
      </w:pPr>
      <w:r>
        <w:rPr>
          <w:rFonts w:hint="eastAsia" w:ascii="宋体" w:hAnsi="宋体" w:cs="宋体"/>
          <w:bCs/>
          <w:szCs w:val="21"/>
        </w:rPr>
        <w:t>整体而言，</w:t>
      </w:r>
      <w:r>
        <w:rPr>
          <w:rFonts w:ascii="宋体" w:hAnsi="宋体" w:cs="宋体"/>
          <w:bCs/>
          <w:szCs w:val="21"/>
        </w:rPr>
        <w:t>Q</w:t>
      </w:r>
      <w:r>
        <w:rPr>
          <w:rFonts w:hint="eastAsia" w:ascii="宋体" w:hAnsi="宋体" w:cs="宋体"/>
          <w:bCs/>
          <w:szCs w:val="21"/>
        </w:rPr>
        <w:t>假人整体性更好，曲线平滑，</w:t>
      </w:r>
      <w:r>
        <w:rPr>
          <w:rFonts w:ascii="宋体" w:hAnsi="宋体" w:cs="宋体"/>
          <w:bCs/>
          <w:szCs w:val="21"/>
        </w:rPr>
        <w:t>P</w:t>
      </w:r>
      <w:r>
        <w:rPr>
          <w:rFonts w:hint="eastAsia" w:ascii="宋体" w:hAnsi="宋体" w:cs="宋体"/>
          <w:bCs/>
          <w:szCs w:val="21"/>
        </w:rPr>
        <w:t>假人毛刺干扰严重。</w:t>
      </w:r>
      <w:r>
        <w:rPr>
          <w:rFonts w:ascii="宋体" w:hAnsi="宋体" w:cs="宋体"/>
          <w:bCs/>
          <w:szCs w:val="21"/>
        </w:rPr>
        <w:t xml:space="preserve"> </w:t>
      </w:r>
      <w:r>
        <w:rPr>
          <w:rFonts w:hint="eastAsia" w:ascii="宋体" w:hAnsi="宋体" w:cs="宋体"/>
          <w:bCs/>
          <w:szCs w:val="21"/>
        </w:rPr>
        <w:t>Q假人应能更好体现儿童伤害特征。</w:t>
      </w:r>
    </w:p>
    <w:p>
      <w:pPr>
        <w:numPr>
          <w:ilvl w:val="2"/>
          <w:numId w:val="9"/>
        </w:numPr>
        <w:tabs>
          <w:tab w:val="left" w:pos="720"/>
        </w:tabs>
        <w:spacing w:line="240" w:lineRule="auto"/>
        <w:ind w:left="0" w:firstLine="420" w:firstLineChars="0"/>
        <w:rPr>
          <w:rFonts w:hint="default" w:ascii="黑体" w:hAnsi="黑体" w:eastAsia="黑体"/>
          <w:bCs/>
          <w:szCs w:val="21"/>
          <w:lang w:val="en-US" w:eastAsia="zh-CN"/>
        </w:rPr>
      </w:pPr>
      <w:r>
        <w:rPr>
          <w:rFonts w:hint="eastAsia" w:ascii="黑体" w:hAnsi="黑体" w:eastAsia="黑体"/>
          <w:bCs/>
          <w:szCs w:val="21"/>
          <w:lang w:val="en-US" w:eastAsia="zh-CN"/>
        </w:rPr>
        <w:t>正面、后面及侧面碰撞试验验证</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标准制定过程中，牵头单位组织开展了儿童约束系统正面、后面、侧面碰撞试验验证，目前共涉及63次正面碰撞、27次后面碰撞和36次侧面碰撞。产品总体动态试验符合性较好，部分指标超出规定限值。经过分析，这些超标产品经过一定的改进可以满足标准要求。下一阶段，标准起草组还将按照标准全部内容进行符合性试验验证。验证试验总体情况及三项碰撞试验数据表见表4至表7，三项试验数据统计表见附件一。</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黑体" w:hAnsi="黑体" w:eastAsia="黑体"/>
        </w:rPr>
      </w:pPr>
      <w:r>
        <w:rPr>
          <w:rFonts w:ascii="黑体" w:hAnsi="黑体" w:eastAsia="黑体"/>
        </w:rPr>
        <w:t>表</w:t>
      </w:r>
      <w:r>
        <w:rPr>
          <w:rFonts w:hint="eastAsia" w:ascii="黑体" w:hAnsi="黑体" w:eastAsia="黑体"/>
          <w:lang w:val="en-US" w:eastAsia="zh-CN"/>
        </w:rPr>
        <w:t>4</w:t>
      </w:r>
      <w:r>
        <w:rPr>
          <w:rFonts w:ascii="黑体" w:hAnsi="黑体" w:eastAsia="黑体"/>
        </w:rPr>
        <w:t xml:space="preserve">  </w:t>
      </w:r>
      <w:r>
        <w:rPr>
          <w:rFonts w:hint="eastAsia" w:ascii="黑体" w:hAnsi="黑体" w:eastAsia="黑体"/>
        </w:rPr>
        <w:t>验证试验</w:t>
      </w:r>
      <w:r>
        <w:rPr>
          <w:rFonts w:ascii="黑体" w:hAnsi="黑体" w:eastAsia="黑体"/>
        </w:rPr>
        <w:t>总体情况</w:t>
      </w:r>
    </w:p>
    <w:tbl>
      <w:tblPr>
        <w:tblStyle w:val="17"/>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2238"/>
        <w:gridCol w:w="223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试验总数</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不合格数量</w:t>
            </w:r>
          </w:p>
        </w:tc>
        <w:tc>
          <w:tcPr>
            <w:tcW w:w="1204"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通过率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正</w:t>
            </w:r>
            <w:r>
              <w:rPr>
                <w:rFonts w:hint="eastAsia"/>
                <w:lang w:val="en-US" w:eastAsia="zh-CN"/>
              </w:rPr>
              <w:t>面</w:t>
            </w:r>
            <w:r>
              <w:rPr>
                <w:rFonts w:hint="default"/>
              </w:rPr>
              <w:t>碰</w:t>
            </w:r>
            <w:r>
              <w:rPr>
                <w:rFonts w:hint="eastAsia"/>
                <w:lang w:val="en-US" w:eastAsia="zh-CN"/>
              </w:rPr>
              <w:t>撞</w:t>
            </w:r>
            <w:r>
              <w:rPr>
                <w:rFonts w:hint="default"/>
              </w:rPr>
              <w:t>试验</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eastAsia"/>
              </w:rPr>
              <w:t>6</w:t>
            </w:r>
            <w:r>
              <w:rPr>
                <w:rFonts w:hint="default"/>
              </w:rPr>
              <w:t>3</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eastAsia"/>
              </w:rPr>
              <w:t>9</w:t>
            </w:r>
          </w:p>
        </w:tc>
        <w:tc>
          <w:tcPr>
            <w:tcW w:w="1204" w:type="pct"/>
            <w:vAlign w:val="center"/>
          </w:tcPr>
          <w:p>
            <w:pPr>
              <w:keepNext w:val="0"/>
              <w:keepLines w:val="0"/>
              <w:pageBreakBefore w:val="0"/>
              <w:widowControl/>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ascii="Calibri" w:hAnsi="Calibri" w:cs="Calibri"/>
                <w:color w:val="000000"/>
                <w:szCs w:val="21"/>
              </w:rPr>
            </w:pPr>
            <w:r>
              <w:rPr>
                <w:rFonts w:hint="default" w:ascii="Calibri" w:hAnsi="Calibri" w:cs="Calibri"/>
                <w:color w:val="000000"/>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后</w:t>
            </w:r>
            <w:r>
              <w:rPr>
                <w:rFonts w:hint="eastAsia"/>
                <w:lang w:val="en-US" w:eastAsia="zh-CN"/>
              </w:rPr>
              <w:t>面</w:t>
            </w:r>
            <w:r>
              <w:rPr>
                <w:rFonts w:hint="default"/>
              </w:rPr>
              <w:t>碰</w:t>
            </w:r>
            <w:r>
              <w:rPr>
                <w:rFonts w:hint="eastAsia"/>
                <w:lang w:val="en-US" w:eastAsia="zh-CN"/>
              </w:rPr>
              <w:t>撞</w:t>
            </w:r>
            <w:r>
              <w:rPr>
                <w:rFonts w:hint="default"/>
              </w:rPr>
              <w:t>试验</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eastAsia"/>
              </w:rPr>
              <w:t>2</w:t>
            </w:r>
            <w:r>
              <w:rPr>
                <w:rFonts w:hint="default"/>
              </w:rPr>
              <w:t>7</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eastAsia"/>
              </w:rPr>
              <w:t>5</w:t>
            </w:r>
          </w:p>
        </w:tc>
        <w:tc>
          <w:tcPr>
            <w:tcW w:w="1204"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ascii="Calibri" w:hAnsi="Calibri" w:cs="Calibri"/>
                <w:color w:val="000000"/>
                <w:szCs w:val="21"/>
              </w:rPr>
            </w:pPr>
            <w:r>
              <w:rPr>
                <w:rFonts w:hint="default" w:ascii="Calibri" w:hAnsi="Calibri" w:cs="Calibri"/>
                <w:color w:val="000000"/>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侧</w:t>
            </w:r>
            <w:r>
              <w:rPr>
                <w:rFonts w:hint="eastAsia"/>
                <w:lang w:val="en-US" w:eastAsia="zh-CN"/>
              </w:rPr>
              <w:t>面</w:t>
            </w:r>
            <w:r>
              <w:rPr>
                <w:rFonts w:hint="default"/>
              </w:rPr>
              <w:t>碰</w:t>
            </w:r>
            <w:r>
              <w:rPr>
                <w:rFonts w:hint="eastAsia"/>
                <w:lang w:val="en-US" w:eastAsia="zh-CN"/>
              </w:rPr>
              <w:t>撞</w:t>
            </w:r>
            <w:r>
              <w:rPr>
                <w:rFonts w:hint="default"/>
              </w:rPr>
              <w:t>试验</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eastAsia"/>
              </w:rPr>
              <w:t>3</w:t>
            </w:r>
            <w:r>
              <w:rPr>
                <w:rFonts w:hint="default"/>
              </w:rPr>
              <w:t>6</w:t>
            </w:r>
          </w:p>
        </w:tc>
        <w:tc>
          <w:tcPr>
            <w:tcW w:w="1265"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rPr>
            </w:pPr>
            <w:r>
              <w:rPr>
                <w:rFonts w:hint="default"/>
              </w:rPr>
              <w:t>6</w:t>
            </w:r>
          </w:p>
        </w:tc>
        <w:tc>
          <w:tcPr>
            <w:tcW w:w="1204" w:type="pct"/>
            <w:vAlign w:val="center"/>
          </w:tcPr>
          <w:p>
            <w:pPr>
              <w:keepNext w:val="0"/>
              <w:keepLines w:val="0"/>
              <w:pageBreakBefore w:val="0"/>
              <w:suppressLineNumbers w:val="0"/>
              <w:kinsoku/>
              <w:wordWrap/>
              <w:overflowPunct/>
              <w:topLinePunct w:val="0"/>
              <w:autoSpaceDE/>
              <w:autoSpaceDN/>
              <w:bidi w:val="0"/>
              <w:adjustRightInd/>
              <w:snapToGrid w:val="0"/>
              <w:spacing w:before="48" w:beforeLines="15" w:beforeAutospacing="0" w:after="48" w:afterLines="15" w:afterAutospacing="0"/>
              <w:ind w:left="0" w:right="0"/>
              <w:jc w:val="center"/>
              <w:textAlignment w:val="auto"/>
              <w:rPr>
                <w:rFonts w:hint="default" w:ascii="Calibri" w:hAnsi="Calibri" w:cs="Calibri"/>
                <w:color w:val="000000"/>
                <w:szCs w:val="21"/>
              </w:rPr>
            </w:pPr>
            <w:r>
              <w:rPr>
                <w:rFonts w:hint="default" w:ascii="Calibri" w:hAnsi="Calibri" w:cs="Calibri"/>
                <w:color w:val="000000"/>
                <w:szCs w:val="21"/>
              </w:rPr>
              <w:t>83%</w:t>
            </w:r>
          </w:p>
        </w:tc>
      </w:tr>
    </w:tbl>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黑体" w:hAnsi="黑体" w:eastAsia="黑体"/>
        </w:rPr>
      </w:pPr>
      <w:r>
        <w:rPr>
          <w:rFonts w:ascii="黑体" w:hAnsi="黑体" w:eastAsia="黑体"/>
        </w:rPr>
        <w:t>表</w:t>
      </w:r>
      <w:r>
        <w:rPr>
          <w:rFonts w:hint="eastAsia" w:ascii="黑体" w:hAnsi="黑体" w:eastAsia="黑体"/>
          <w:lang w:val="en-US" w:eastAsia="zh-CN"/>
        </w:rPr>
        <w:t>5</w:t>
      </w:r>
      <w:r>
        <w:rPr>
          <w:rFonts w:ascii="黑体" w:hAnsi="黑体" w:eastAsia="黑体"/>
        </w:rPr>
        <w:t xml:space="preserve">  正</w:t>
      </w:r>
      <w:r>
        <w:rPr>
          <w:rFonts w:hint="default" w:ascii="黑体" w:hAnsi="黑体" w:eastAsia="黑体"/>
          <w:lang w:val="en-US" w:eastAsia="zh-CN"/>
        </w:rPr>
        <w:t>面</w:t>
      </w:r>
      <w:r>
        <w:rPr>
          <w:rFonts w:hint="default" w:ascii="黑体" w:hAnsi="黑体" w:eastAsia="黑体"/>
        </w:rPr>
        <w:t>碰</w:t>
      </w:r>
      <w:r>
        <w:rPr>
          <w:rFonts w:hint="default" w:ascii="黑体" w:hAnsi="黑体" w:eastAsia="黑体"/>
          <w:lang w:val="en-US" w:eastAsia="zh-CN"/>
        </w:rPr>
        <w:t>撞</w:t>
      </w:r>
      <w:r>
        <w:rPr>
          <w:rFonts w:ascii="黑体" w:hAnsi="黑体" w:eastAsia="黑体"/>
        </w:rPr>
        <w:t>试验数据表</w:t>
      </w:r>
    </w:p>
    <w:tbl>
      <w:tblPr>
        <w:tblStyle w:val="16"/>
        <w:tblW w:w="48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8"/>
        <w:gridCol w:w="690"/>
        <w:gridCol w:w="692"/>
        <w:gridCol w:w="919"/>
        <w:gridCol w:w="919"/>
        <w:gridCol w:w="806"/>
        <w:gridCol w:w="1086"/>
        <w:gridCol w:w="964"/>
        <w:gridCol w:w="1059"/>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blHeader/>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编号</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假人</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安装</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方向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移动量</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X(mm)</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移动量</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Z(mm)</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HIC15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头部3ms</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加速度</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(g)</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胸部3ms</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加速度</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(g)</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腹部压力</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（Bar）</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418.8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545.2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197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49.0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42.0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366.1</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534.1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111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36.3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41.1</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454.9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561.6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191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52.6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46.6</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396.7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551.2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48.2</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43.3</w:t>
            </w:r>
          </w:p>
        </w:tc>
        <w:tc>
          <w:tcPr>
            <w:tcW w:w="615" w:type="pct"/>
            <w:shd w:val="clear" w:color="auto" w:fill="auto"/>
          </w:tcPr>
          <w:p>
            <w:pPr>
              <w:keepNext w:val="0"/>
              <w:keepLines w:val="0"/>
              <w:widowControl/>
              <w:suppressLineNumbers w:val="0"/>
              <w:spacing w:before="0" w:beforeAutospacing="0" w:after="0" w:afterAutospacing="0"/>
              <w:ind w:left="-99" w:leftChars="-47" w:right="-122" w:rightChars="-58" w:firstLine="0" w:firstLineChars="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423.9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542.6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43.0</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441.4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562.9</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160</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42.4</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426.4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554.5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112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40.8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43.6</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381.4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580.3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91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38.7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39.1</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392.9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536.0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98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40.3</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525.8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682.0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309</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58.1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47.6</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534.4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675.7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266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54.1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37.2</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626.9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728.9</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233</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50.0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40.8</w:t>
            </w:r>
          </w:p>
        </w:tc>
        <w:tc>
          <w:tcPr>
            <w:tcW w:w="615"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555.3</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697.3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320</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57.6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640.6</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734.4</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204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46.2</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46.4</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545.5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716.4</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59.2</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44.1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562.8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719.1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353</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45.4</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533.7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718.1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547.3</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710.3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41.2</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538.2</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714.0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40.1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546.5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670.9</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200</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46.8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508.0</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733.9</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238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53.5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36.9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0.04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576.5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685.7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50.4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0.12</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613.4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737.5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263</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53.3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470.4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761.7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198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47.6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0.87</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721.6</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779.3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45.9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666.0</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763.7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46.7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41.4</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0.11</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614.4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704.5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387.7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712.0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61.8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0.31</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369.8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683.7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53.1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30.6</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359.5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677.5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28.7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0.53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356.8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691.0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55.4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29.9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0.41</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449.7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739.3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52.7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36.3</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0.31</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432.1</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742.2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55.7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30.1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0.27</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453.9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761.6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53.2</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32.6</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463.1</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762.5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363</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59.6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33.2</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533.8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778.3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29.2</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0.42</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428.5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762.4</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339</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58.6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31.3</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437.4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762.2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60.6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34.5</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0.37</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444.4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760.8</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58.8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0.36</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463.4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769.0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54.6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0.35</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432.7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763.0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56.1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36.9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0.30</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428.9</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761.5</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59.2</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34.5</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408.0</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710.6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419</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66.6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401.3</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732.1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63.1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39.7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489.6</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720.2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466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35.4</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0.84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376.7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750.6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64.9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329.5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745.1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33.6</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0.39</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333.6</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714.2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359</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33.3</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0.22</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339.2</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746.2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36.2</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0.27</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440.2</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720.2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194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30.1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402.2</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698.3</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64.0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38.7</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0.25</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402.4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700.8</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40.6</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0.25</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402.5</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693.2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63.9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37.2</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400.4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698.9</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371</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63.4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0.25</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55</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80.4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33.4</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0.41</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351.3</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845.1</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518</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0.53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675</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81.3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0.35</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58</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351.2</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832.4</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703</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87.4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31.1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0.50</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377.8</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835.2</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472</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31.5</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0.36</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383.7</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847.6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827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93.3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33.0</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0.98</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61</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371.6</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838.7</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676</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83.9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34.9</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0.43</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62</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380.4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836.6</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714</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85.1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33.1</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0.44</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63</w:t>
            </w:r>
          </w:p>
        </w:tc>
        <w:tc>
          <w:tcPr>
            <w:tcW w:w="40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40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前向</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370.4</w:t>
            </w:r>
          </w:p>
        </w:tc>
        <w:tc>
          <w:tcPr>
            <w:tcW w:w="53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840.0</w:t>
            </w:r>
          </w:p>
        </w:tc>
        <w:tc>
          <w:tcPr>
            <w:tcW w:w="46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787</w:t>
            </w:r>
          </w:p>
        </w:tc>
        <w:tc>
          <w:tcPr>
            <w:tcW w:w="63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91.0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33.8</w:t>
            </w:r>
          </w:p>
        </w:tc>
        <w:tc>
          <w:tcPr>
            <w:tcW w:w="61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0.60</w:t>
            </w:r>
          </w:p>
        </w:tc>
        <w:tc>
          <w:tcPr>
            <w:tcW w:w="451"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bl>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pPr>
      <w:r>
        <w:rPr>
          <w:rFonts w:ascii="黑体" w:hAnsi="黑体" w:eastAsia="黑体"/>
        </w:rPr>
        <w:t>表</w:t>
      </w:r>
      <w:r>
        <w:rPr>
          <w:rFonts w:hint="eastAsia" w:ascii="黑体" w:hAnsi="黑体" w:eastAsia="黑体"/>
          <w:lang w:val="en-US" w:eastAsia="zh-CN"/>
        </w:rPr>
        <w:t>6</w:t>
      </w:r>
      <w:r>
        <w:rPr>
          <w:rFonts w:ascii="黑体" w:hAnsi="黑体" w:eastAsia="黑体"/>
        </w:rPr>
        <w:t xml:space="preserve">  后</w:t>
      </w:r>
      <w:r>
        <w:rPr>
          <w:rFonts w:hint="default" w:ascii="黑体" w:hAnsi="黑体" w:eastAsia="黑体"/>
          <w:lang w:val="en-US" w:eastAsia="zh-CN"/>
        </w:rPr>
        <w:t>面</w:t>
      </w:r>
      <w:r>
        <w:rPr>
          <w:rFonts w:hint="default" w:ascii="黑体" w:hAnsi="黑体" w:eastAsia="黑体"/>
        </w:rPr>
        <w:t>碰</w:t>
      </w:r>
      <w:r>
        <w:rPr>
          <w:rFonts w:hint="default" w:ascii="黑体" w:hAnsi="黑体" w:eastAsia="黑体"/>
          <w:lang w:val="en-US" w:eastAsia="zh-CN"/>
        </w:rPr>
        <w:t>撞</w:t>
      </w:r>
      <w:r>
        <w:rPr>
          <w:rFonts w:ascii="黑体" w:hAnsi="黑体" w:eastAsia="黑体"/>
        </w:rPr>
        <w:t>试验数据表</w:t>
      </w:r>
    </w:p>
    <w:tbl>
      <w:tblPr>
        <w:tblStyle w:val="16"/>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11"/>
        <w:gridCol w:w="705"/>
        <w:gridCol w:w="701"/>
        <w:gridCol w:w="814"/>
        <w:gridCol w:w="814"/>
        <w:gridCol w:w="714"/>
        <w:gridCol w:w="966"/>
        <w:gridCol w:w="899"/>
        <w:gridCol w:w="987"/>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blHeader/>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编号</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假人</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安装</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方向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移动量</w:t>
            </w:r>
            <w:r>
              <w:rPr>
                <w:rFonts w:hint="eastAsia" w:ascii="宋体" w:hAnsi="宋体" w:eastAsia="宋体" w:cs="宋体"/>
                <w:kern w:val="0"/>
                <w:sz w:val="18"/>
                <w:szCs w:val="18"/>
              </w:rPr>
              <w:br w:type="textWrapping"/>
            </w:r>
            <w:r>
              <w:rPr>
                <w:rFonts w:hint="eastAsia" w:ascii="宋体" w:hAnsi="宋体" w:eastAsia="宋体" w:cs="宋体"/>
                <w:kern w:val="0"/>
                <w:sz w:val="18"/>
                <w:szCs w:val="18"/>
              </w:rPr>
              <w:t>X(mm)</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移动量</w:t>
            </w:r>
            <w:r>
              <w:rPr>
                <w:rFonts w:hint="eastAsia" w:ascii="宋体" w:hAnsi="宋体" w:eastAsia="宋体" w:cs="宋体"/>
                <w:kern w:val="0"/>
                <w:sz w:val="18"/>
                <w:szCs w:val="18"/>
              </w:rPr>
              <w:br w:type="textWrapping"/>
            </w:r>
            <w:r>
              <w:rPr>
                <w:rFonts w:hint="eastAsia" w:ascii="宋体" w:hAnsi="宋体" w:eastAsia="宋体" w:cs="宋体"/>
                <w:kern w:val="0"/>
                <w:sz w:val="18"/>
                <w:szCs w:val="18"/>
              </w:rPr>
              <w:t>Z(mm)</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HIC15</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头部3ms</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加速度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(g)</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胸部3ms</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加速度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(g)</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腹部压力</w:t>
            </w:r>
            <w:r>
              <w:rPr>
                <w:rFonts w:hint="eastAsia" w:ascii="宋体" w:hAnsi="宋体" w:eastAsia="宋体" w:cs="宋体"/>
                <w:kern w:val="0"/>
                <w:sz w:val="18"/>
                <w:szCs w:val="18"/>
              </w:rPr>
              <w:br w:type="textWrapping"/>
            </w:r>
            <w:r>
              <w:rPr>
                <w:rFonts w:hint="eastAsia" w:ascii="宋体" w:hAnsi="宋体" w:eastAsia="宋体" w:cs="宋体"/>
                <w:kern w:val="0"/>
                <w:sz w:val="18"/>
                <w:szCs w:val="18"/>
              </w:rPr>
              <w:t>（Bar）</w:t>
            </w:r>
          </w:p>
        </w:tc>
        <w:tc>
          <w:tcPr>
            <w:tcW w:w="903"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273.6</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603.0</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151</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52.0</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29.7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309.3</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590.5</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163</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58.5</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318.9</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607.5</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187</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60.5</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34.4</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234.7</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605.5</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220</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66.2</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303.1</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618.1</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161</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56.4</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34.1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324.3</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621.9</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189</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62.6</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211.2</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603.6</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157</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54.2</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30.1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298</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77.0</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40.9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color w:val="FF0000"/>
                <w:sz w:val="18"/>
                <w:szCs w:val="18"/>
              </w:rPr>
            </w:pPr>
            <w:r>
              <w:rPr>
                <w:rFonts w:hint="eastAsia"/>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9</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405.1</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607.4</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196</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61.2</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10</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374</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82.9</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49.9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color w:val="FF0000"/>
                <w:sz w:val="18"/>
                <w:szCs w:val="18"/>
              </w:rPr>
            </w:pPr>
            <w:r>
              <w:rPr>
                <w:rFonts w:hint="eastAsia"/>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11</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398.7</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573.8</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172</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60.0</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54.1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12</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367.9</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549.4</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226</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65.7</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45.8</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13</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408.1</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582.6</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251</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66.2</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14</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239.1</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678.2</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46</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27.5</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25.3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15</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392.9</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715.1</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78</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31.7</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29.6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374.3</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709.7</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93</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41.6</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33.1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17</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286.6</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738.1</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75</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37.6</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32.1</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18</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339.1</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728.0</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77</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39.7</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32.0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19</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271</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75.1</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41.7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0.19</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color w:val="FF0000"/>
                <w:sz w:val="18"/>
                <w:szCs w:val="18"/>
              </w:rPr>
            </w:pPr>
            <w:r>
              <w:rPr>
                <w:rFonts w:hint="eastAsia"/>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497.7</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698.4</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234</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52.1</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38.6</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0.15</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146</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43.9</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46.0</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0.20</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color w:val="FF0000"/>
                <w:sz w:val="18"/>
                <w:szCs w:val="18"/>
              </w:rPr>
            </w:pPr>
            <w:r>
              <w:rPr>
                <w:rFonts w:hint="eastAsia"/>
                <w:color w:val="FF0000"/>
                <w:sz w:val="18"/>
                <w:szCs w:val="18"/>
              </w:rPr>
              <w:t>否，座椅角度滑档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487.9</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680.5</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169</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60.3</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43.5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0.21</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475.5</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697.6</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234</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52.6</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48.3</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0.30</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24</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110</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39.0</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44.5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0.29</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color w:val="FF0000"/>
                <w:sz w:val="18"/>
                <w:szCs w:val="18"/>
              </w:rPr>
            </w:pPr>
            <w:r>
              <w:rPr>
                <w:rFonts w:hint="eastAsia"/>
                <w:color w:val="FF0000"/>
                <w:sz w:val="18"/>
                <w:szCs w:val="18"/>
              </w:rPr>
              <w:t>否，座椅角度滑档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25</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538.4</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729.0</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120</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47.6</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46.7</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0.29</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26</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476.7</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739.2</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171</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62.3</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35.5</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0.22</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3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w:t>
            </w:r>
          </w:p>
        </w:tc>
        <w:tc>
          <w:tcPr>
            <w:tcW w:w="40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39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534.9</w:t>
            </w:r>
          </w:p>
        </w:tc>
        <w:tc>
          <w:tcPr>
            <w:tcW w:w="46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718.2</w:t>
            </w:r>
          </w:p>
        </w:tc>
        <w:tc>
          <w:tcPr>
            <w:tcW w:w="40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160</w:t>
            </w:r>
          </w:p>
        </w:tc>
        <w:tc>
          <w:tcPr>
            <w:tcW w:w="54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43.1</w:t>
            </w:r>
          </w:p>
        </w:tc>
        <w:tc>
          <w:tcPr>
            <w:tcW w:w="51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38.9</w:t>
            </w:r>
          </w:p>
        </w:tc>
        <w:tc>
          <w:tcPr>
            <w:tcW w:w="56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0.27</w:t>
            </w:r>
          </w:p>
        </w:tc>
        <w:tc>
          <w:tcPr>
            <w:tcW w:w="903" w:type="pct"/>
            <w:shd w:val="clear" w:color="auto" w:fill="auto"/>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是</w:t>
            </w:r>
          </w:p>
        </w:tc>
      </w:tr>
    </w:tbl>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pPr>
      <w:r>
        <w:rPr>
          <w:rFonts w:ascii="黑体" w:hAnsi="黑体" w:eastAsia="黑体"/>
        </w:rPr>
        <w:t xml:space="preserve">表4  </w:t>
      </w:r>
      <w:r>
        <w:rPr>
          <w:rFonts w:hint="eastAsia" w:ascii="黑体" w:hAnsi="黑体" w:eastAsia="黑体"/>
        </w:rPr>
        <w:t>侧</w:t>
      </w:r>
      <w:r>
        <w:rPr>
          <w:rFonts w:hint="default" w:ascii="黑体" w:hAnsi="黑体" w:eastAsia="黑体"/>
          <w:lang w:val="en-US" w:eastAsia="zh-CN"/>
        </w:rPr>
        <w:t>面</w:t>
      </w:r>
      <w:r>
        <w:rPr>
          <w:rFonts w:hint="default" w:ascii="黑体" w:hAnsi="黑体" w:eastAsia="黑体"/>
        </w:rPr>
        <w:t>碰</w:t>
      </w:r>
      <w:r>
        <w:rPr>
          <w:rFonts w:hint="default" w:ascii="黑体" w:hAnsi="黑体" w:eastAsia="黑体"/>
          <w:lang w:val="en-US" w:eastAsia="zh-CN"/>
        </w:rPr>
        <w:t>撞</w:t>
      </w:r>
      <w:r>
        <w:rPr>
          <w:rFonts w:ascii="黑体" w:hAnsi="黑体" w:eastAsia="黑体"/>
        </w:rPr>
        <w:t>试验数据表</w:t>
      </w:r>
    </w:p>
    <w:tbl>
      <w:tblPr>
        <w:tblStyle w:val="16"/>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3"/>
        <w:gridCol w:w="833"/>
        <w:gridCol w:w="1374"/>
        <w:gridCol w:w="1647"/>
        <w:gridCol w:w="970"/>
        <w:gridCol w:w="2016"/>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7" w:hRule="atLeast"/>
          <w:tblHeader/>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编号</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假人</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安装方向</w:t>
            </w:r>
          </w:p>
        </w:tc>
        <w:tc>
          <w:tcPr>
            <w:tcW w:w="93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头部包容性</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HIC15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头部3ms加速度(g)</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64.8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384</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71.6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294</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66.4</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521</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75.8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353</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66.4</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571</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78.2</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666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86.4</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539</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84.6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9</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497</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69.7</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10</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562</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79.6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11</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423</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73.4</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12</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476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74.6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13</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465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69.6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14</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327</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15</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204</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51.8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16</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203</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53.5</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17</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420</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69.3</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18</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386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66.0</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19</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392</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71.2</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512</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77.1</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FF0000"/>
                <w:kern w:val="0"/>
                <w:sz w:val="18"/>
                <w:szCs w:val="18"/>
              </w:rPr>
            </w:pPr>
            <w:r>
              <w:rPr>
                <w:rFonts w:hint="eastAsia" w:ascii="宋体" w:hAnsi="宋体" w:eastAsia="宋体" w:cs="宋体"/>
                <w:color w:val="FF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21</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463</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73.7</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456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73.0</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23</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456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72.8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24</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Q1.5</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356</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65.0</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25</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351</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60.8</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26</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后向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290</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58.9</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27</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425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69.5</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D0D0D"/>
                <w:kern w:val="0"/>
                <w:sz w:val="18"/>
                <w:szCs w:val="18"/>
              </w:rPr>
            </w:pPr>
            <w:r>
              <w:rPr>
                <w:rFonts w:hint="eastAsia" w:ascii="宋体" w:hAnsi="宋体" w:eastAsia="宋体" w:cs="宋体"/>
                <w:color w:val="0D0D0D"/>
                <w:kern w:val="0"/>
                <w:sz w:val="18"/>
                <w:szCs w:val="18"/>
              </w:rPr>
              <w:t>70.2</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29</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432</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70.3</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30</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328</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63.4</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31</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59.9</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32</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Q3</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287</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59.9</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Q6</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225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52.1</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Q6</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207</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50.1</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35</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85</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33.7</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jc w:val="center"/>
        </w:trPr>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36</w:t>
            </w:r>
          </w:p>
        </w:tc>
        <w:tc>
          <w:tcPr>
            <w:tcW w:w="47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Q10</w:t>
            </w:r>
          </w:p>
        </w:tc>
        <w:tc>
          <w:tcPr>
            <w:tcW w:w="78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正向</w:t>
            </w:r>
          </w:p>
        </w:tc>
        <w:tc>
          <w:tcPr>
            <w:tcW w:w="937" w:type="pct"/>
            <w:shd w:val="clear" w:color="auto" w:fill="auto"/>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OK</w:t>
            </w:r>
          </w:p>
        </w:tc>
        <w:tc>
          <w:tcPr>
            <w:tcW w:w="55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84</w:t>
            </w:r>
          </w:p>
        </w:tc>
        <w:tc>
          <w:tcPr>
            <w:tcW w:w="114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34.6</w:t>
            </w:r>
          </w:p>
        </w:tc>
        <w:tc>
          <w:tcPr>
            <w:tcW w:w="630"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rPr>
            </w:pPr>
            <w:r>
              <w:rPr>
                <w:rFonts w:hint="eastAsia" w:ascii="宋体" w:hAnsi="宋体" w:eastAsia="宋体" w:cs="宋体"/>
                <w:kern w:val="0"/>
                <w:sz w:val="18"/>
                <w:szCs w:val="18"/>
              </w:rPr>
              <w:t>是</w:t>
            </w:r>
          </w:p>
        </w:tc>
      </w:tr>
    </w:tbl>
    <w:p>
      <w:pPr>
        <w:autoSpaceDE w:val="0"/>
        <w:autoSpaceDN w:val="0"/>
        <w:adjustRightInd w:val="0"/>
        <w:spacing w:line="400" w:lineRule="exact"/>
        <w:ind w:firstLine="480" w:firstLineChars="200"/>
        <w:jc w:val="left"/>
        <w:outlineLvl w:val="0"/>
        <w:rPr>
          <w:rFonts w:hint="default" w:eastAsia="黑体"/>
          <w:bCs/>
          <w:color w:val="000000"/>
          <w:kern w:val="0"/>
          <w:sz w:val="24"/>
          <w:lang w:eastAsia="zh-CN"/>
        </w:rPr>
      </w:pPr>
      <w:bookmarkStart w:id="31" w:name="_Toc64898477"/>
      <w:r>
        <w:rPr>
          <w:rFonts w:hint="eastAsia" w:eastAsia="黑体"/>
          <w:bCs/>
          <w:color w:val="000000"/>
          <w:kern w:val="0"/>
          <w:sz w:val="24"/>
          <w:lang w:eastAsia="zh-CN"/>
        </w:rPr>
        <w:t>三、</w:t>
      </w:r>
      <w:r>
        <w:rPr>
          <w:rFonts w:hint="default" w:eastAsia="黑体"/>
          <w:bCs/>
          <w:color w:val="000000"/>
          <w:kern w:val="0"/>
          <w:sz w:val="24"/>
          <w:lang w:eastAsia="zh-CN"/>
        </w:rPr>
        <w:t>与有关法律、行政法规和其他标准的关系</w:t>
      </w:r>
      <w:bookmarkEnd w:id="31"/>
    </w:p>
    <w:p>
      <w:pPr>
        <w:spacing w:line="400" w:lineRule="exact"/>
        <w:ind w:firstLine="420" w:firstLineChars="200"/>
        <w:rPr>
          <w:rFonts w:hint="default" w:ascii="宋体" w:hAnsi="宋体"/>
          <w:szCs w:val="21"/>
        </w:rPr>
      </w:pPr>
      <w:r>
        <w:rPr>
          <w:rFonts w:hint="default" w:ascii="宋体" w:hAnsi="宋体"/>
          <w:szCs w:val="21"/>
          <w:lang w:eastAsia="zh-CN"/>
        </w:rPr>
        <w:t>本标准是</w:t>
      </w:r>
      <w:r>
        <w:rPr>
          <w:rFonts w:hint="eastAsia" w:ascii="宋体" w:hAnsi="宋体"/>
          <w:szCs w:val="21"/>
        </w:rPr>
        <w:t>汽车强制性标准体系被动安全标准子体系</w:t>
      </w:r>
      <w:r>
        <w:rPr>
          <w:rFonts w:hint="default" w:ascii="宋体" w:hAnsi="宋体"/>
          <w:szCs w:val="21"/>
          <w:lang w:eastAsia="zh-CN"/>
        </w:rPr>
        <w:t>的重要内容</w:t>
      </w:r>
      <w:r>
        <w:rPr>
          <w:rFonts w:hint="eastAsia" w:ascii="宋体" w:hAnsi="宋体"/>
          <w:szCs w:val="21"/>
          <w:lang w:eastAsia="zh-CN"/>
        </w:rPr>
        <w:t>，</w:t>
      </w:r>
      <w:r>
        <w:rPr>
          <w:rFonts w:hint="eastAsia" w:ascii="宋体" w:hAnsi="宋体"/>
          <w:szCs w:val="21"/>
        </w:rPr>
        <w:t xml:space="preserve">与GB14167《机动车乘员用安全带和约束系统安装固定点》和GB </w:t>
      </w:r>
      <w:r>
        <w:rPr>
          <w:rFonts w:hint="eastAsia" w:ascii="宋体" w:hAnsi="宋体"/>
          <w:szCs w:val="21"/>
          <w:lang w:val="en-US" w:eastAsia="zh-CN"/>
        </w:rPr>
        <w:t>14166</w:t>
      </w:r>
      <w:r>
        <w:rPr>
          <w:rFonts w:hint="eastAsia" w:ascii="宋体" w:hAnsi="宋体"/>
          <w:szCs w:val="21"/>
        </w:rPr>
        <w:t>《机动车乘员用安全带</w:t>
      </w:r>
      <w:r>
        <w:rPr>
          <w:rFonts w:hint="eastAsia" w:ascii="宋体" w:hAnsi="宋体"/>
          <w:szCs w:val="21"/>
          <w:lang w:val="en-US" w:eastAsia="zh-CN"/>
        </w:rPr>
        <w:t>和约束系统</w:t>
      </w:r>
      <w:r>
        <w:rPr>
          <w:rFonts w:hint="eastAsia" w:ascii="宋体" w:hAnsi="宋体"/>
          <w:szCs w:val="21"/>
        </w:rPr>
        <w:t>》等标准共同构成了汽车</w:t>
      </w:r>
      <w:r>
        <w:rPr>
          <w:rFonts w:hint="eastAsia" w:ascii="宋体" w:hAnsi="宋体"/>
          <w:szCs w:val="21"/>
          <w:lang w:val="en-US" w:eastAsia="zh-CN"/>
        </w:rPr>
        <w:t>车内乘员安全保护体系。</w:t>
      </w:r>
      <w:r>
        <w:rPr>
          <w:rFonts w:hint="default" w:ascii="宋体" w:hAnsi="宋体"/>
          <w:szCs w:val="21"/>
          <w:lang w:eastAsia="zh-CN"/>
        </w:rPr>
        <w:t>与现行相关法律、法规、规章及相关标准没有冲突或矛盾。</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32" w:name="_Toc64898478"/>
      <w:r>
        <w:rPr>
          <w:rFonts w:hint="eastAsia" w:eastAsia="黑体"/>
          <w:bCs/>
          <w:color w:val="000000"/>
          <w:kern w:val="0"/>
          <w:sz w:val="24"/>
          <w:lang w:val="en-US" w:eastAsia="zh-CN"/>
        </w:rPr>
        <w:t>四、</w:t>
      </w:r>
      <w:r>
        <w:rPr>
          <w:rFonts w:hint="eastAsia" w:eastAsia="黑体"/>
          <w:bCs/>
          <w:color w:val="000000"/>
          <w:kern w:val="0"/>
          <w:sz w:val="24"/>
        </w:rPr>
        <w:t>与国际标准化组织、其他国家或者地区有关法律法规和标准的比对分析</w:t>
      </w:r>
      <w:bookmarkEnd w:id="32"/>
    </w:p>
    <w:p>
      <w:pPr>
        <w:autoSpaceDE w:val="0"/>
        <w:autoSpaceDN w:val="0"/>
        <w:adjustRightInd w:val="0"/>
        <w:spacing w:line="400" w:lineRule="exact"/>
        <w:ind w:firstLine="422" w:firstLineChars="200"/>
        <w:jc w:val="left"/>
        <w:outlineLvl w:val="0"/>
        <w:rPr>
          <w:rFonts w:hint="default"/>
          <w:b/>
          <w:szCs w:val="21"/>
          <w:lang w:val="en-US" w:eastAsia="zh-CN"/>
        </w:rPr>
      </w:pPr>
      <w:r>
        <w:rPr>
          <w:rFonts w:hint="eastAsia"/>
          <w:b/>
          <w:szCs w:val="21"/>
          <w:lang w:val="en-US" w:eastAsia="zh-CN"/>
        </w:rPr>
        <w:t>（一）联合国法规情况以及标准对比</w:t>
      </w:r>
    </w:p>
    <w:p>
      <w:pPr>
        <w:spacing w:line="400" w:lineRule="exact"/>
        <w:ind w:firstLine="420" w:firstLineChars="200"/>
        <w:rPr>
          <w:rFonts w:hint="default" w:ascii="宋体" w:hAnsi="宋体"/>
          <w:szCs w:val="21"/>
          <w:lang w:val="en-US" w:eastAsia="zh-CN"/>
        </w:rPr>
      </w:pPr>
      <w:r>
        <w:rPr>
          <w:rFonts w:hint="eastAsia" w:ascii="宋体" w:hAnsi="宋体"/>
          <w:szCs w:val="21"/>
        </w:rPr>
        <w:t>GB 27887-2011制定时修改采用了</w:t>
      </w:r>
      <w:r>
        <w:rPr>
          <w:rFonts w:hint="eastAsia" w:ascii="宋体" w:hAnsi="宋体"/>
          <w:szCs w:val="21"/>
          <w:lang w:val="en-US" w:eastAsia="zh-CN"/>
        </w:rPr>
        <w:t>联合国</w:t>
      </w:r>
      <w:r>
        <w:rPr>
          <w:rFonts w:hint="eastAsia" w:ascii="宋体" w:hAnsi="宋体"/>
          <w:szCs w:val="21"/>
          <w:lang w:eastAsia="zh-CN"/>
        </w:rPr>
        <w:t>UN</w:t>
      </w:r>
      <w:r>
        <w:rPr>
          <w:rFonts w:hint="eastAsia" w:ascii="宋体" w:hAnsi="宋体"/>
          <w:szCs w:val="21"/>
        </w:rPr>
        <w:t xml:space="preserve"> R44法规</w:t>
      </w:r>
      <w:r>
        <w:rPr>
          <w:rFonts w:hint="eastAsia" w:ascii="宋体" w:hAnsi="宋体"/>
          <w:szCs w:val="21"/>
          <w:lang w:eastAsia="zh-CN"/>
        </w:rPr>
        <w:t>。</w:t>
      </w:r>
      <w:r>
        <w:rPr>
          <w:rFonts w:hint="eastAsia" w:ascii="宋体" w:hAnsi="宋体"/>
          <w:szCs w:val="21"/>
          <w:lang w:val="en-US" w:eastAsia="zh-CN"/>
        </w:rPr>
        <w:t>2013年，</w:t>
      </w:r>
      <w:r>
        <w:rPr>
          <w:rFonts w:hint="default" w:ascii="宋体" w:hAnsi="宋体"/>
          <w:szCs w:val="21"/>
          <w:lang w:val="en-US" w:eastAsia="zh-CN"/>
        </w:rPr>
        <w:t>联合国</w:t>
      </w:r>
      <w:r>
        <w:rPr>
          <w:rFonts w:hint="eastAsia" w:ascii="宋体" w:hAnsi="宋体"/>
          <w:szCs w:val="21"/>
          <w:lang w:val="en-US" w:eastAsia="zh-CN"/>
        </w:rPr>
        <w:t>组织制定UN R</w:t>
      </w:r>
      <w:r>
        <w:rPr>
          <w:rFonts w:hint="default" w:ascii="宋体" w:hAnsi="宋体"/>
          <w:szCs w:val="21"/>
          <w:lang w:val="en-US" w:eastAsia="zh-CN"/>
        </w:rPr>
        <w:t>129</w:t>
      </w:r>
      <w:r>
        <w:rPr>
          <w:rFonts w:hint="eastAsia" w:ascii="宋体" w:hAnsi="宋体"/>
          <w:szCs w:val="21"/>
          <w:lang w:val="en-US" w:eastAsia="zh-CN"/>
        </w:rPr>
        <w:t>法规第一阶段，第一阶段UN R 129法规仅</w:t>
      </w:r>
      <w:r>
        <w:rPr>
          <w:rFonts w:hint="default" w:ascii="宋体" w:hAnsi="宋体"/>
          <w:szCs w:val="21"/>
          <w:lang w:val="en-US" w:eastAsia="zh-CN"/>
        </w:rPr>
        <w:t>包括</w:t>
      </w:r>
      <w:r>
        <w:rPr>
          <w:rFonts w:hint="eastAsia" w:ascii="宋体" w:hAnsi="宋体"/>
          <w:szCs w:val="21"/>
          <w:lang w:val="en-US" w:eastAsia="zh-CN"/>
        </w:rPr>
        <w:t>整体式</w:t>
      </w:r>
      <w:r>
        <w:rPr>
          <w:rFonts w:hint="default" w:ascii="宋体" w:hAnsi="宋体"/>
          <w:szCs w:val="21"/>
          <w:lang w:val="en-US" w:eastAsia="zh-CN"/>
        </w:rPr>
        <w:t>ISOFIX</w:t>
      </w:r>
      <w:r>
        <w:rPr>
          <w:rFonts w:hint="eastAsia" w:ascii="宋体" w:hAnsi="宋体"/>
          <w:szCs w:val="21"/>
          <w:lang w:val="en-US" w:eastAsia="zh-CN"/>
        </w:rPr>
        <w:t>儿童约束系统，</w:t>
      </w:r>
      <w:r>
        <w:rPr>
          <w:rFonts w:hint="default" w:ascii="宋体" w:hAnsi="宋体"/>
          <w:szCs w:val="21"/>
          <w:lang w:val="en-US" w:eastAsia="zh-CN"/>
        </w:rPr>
        <w:t>即那些配备</w:t>
      </w:r>
      <w:r>
        <w:rPr>
          <w:rFonts w:hint="eastAsia" w:ascii="宋体" w:hAnsi="宋体"/>
          <w:szCs w:val="21"/>
          <w:lang w:val="en-US" w:eastAsia="zh-CN"/>
        </w:rPr>
        <w:t>有儿童约束带</w:t>
      </w:r>
      <w:r>
        <w:rPr>
          <w:rFonts w:hint="default" w:ascii="宋体" w:hAnsi="宋体"/>
          <w:szCs w:val="21"/>
          <w:lang w:val="en-US" w:eastAsia="zh-CN"/>
        </w:rPr>
        <w:t>系统或</w:t>
      </w:r>
      <w:r>
        <w:rPr>
          <w:rFonts w:hint="eastAsia" w:ascii="宋体" w:hAnsi="宋体"/>
          <w:szCs w:val="21"/>
          <w:lang w:val="en-US" w:eastAsia="zh-CN"/>
        </w:rPr>
        <w:t>碰撞防护栏的儿童约束系统（i-Size），</w:t>
      </w:r>
      <w:r>
        <w:rPr>
          <w:rFonts w:hint="default" w:ascii="宋体" w:hAnsi="宋体"/>
          <w:szCs w:val="21"/>
          <w:lang w:val="en-US" w:eastAsia="zh-CN"/>
        </w:rPr>
        <w:t>用于年龄较小儿童的</w:t>
      </w:r>
      <w:r>
        <w:rPr>
          <w:rFonts w:hint="eastAsia" w:ascii="宋体" w:hAnsi="宋体"/>
          <w:szCs w:val="21"/>
          <w:lang w:val="en-US" w:eastAsia="zh-CN"/>
        </w:rPr>
        <w:t>儿童约束系统</w:t>
      </w:r>
      <w:r>
        <w:rPr>
          <w:rFonts w:hint="default" w:ascii="宋体" w:hAnsi="宋体"/>
          <w:szCs w:val="21"/>
          <w:lang w:val="en-US" w:eastAsia="zh-CN"/>
        </w:rPr>
        <w:t>。在</w:t>
      </w:r>
      <w:r>
        <w:rPr>
          <w:rFonts w:hint="eastAsia" w:ascii="宋体" w:hAnsi="宋体"/>
          <w:szCs w:val="21"/>
          <w:lang w:val="en-US" w:eastAsia="zh-CN"/>
        </w:rPr>
        <w:t>后来的</w:t>
      </w:r>
      <w:r>
        <w:rPr>
          <w:rFonts w:hint="default" w:ascii="宋体" w:hAnsi="宋体"/>
          <w:szCs w:val="21"/>
          <w:lang w:val="en-US" w:eastAsia="zh-CN"/>
        </w:rPr>
        <w:t>过渡阶段，联合国</w:t>
      </w:r>
      <w:r>
        <w:rPr>
          <w:rFonts w:hint="eastAsia" w:ascii="宋体" w:hAnsi="宋体"/>
          <w:szCs w:val="21"/>
          <w:lang w:val="en-US" w:eastAsia="zh-CN"/>
        </w:rPr>
        <w:t>法规UN R</w:t>
      </w:r>
      <w:r>
        <w:rPr>
          <w:rFonts w:hint="default" w:ascii="宋体" w:hAnsi="宋体"/>
          <w:szCs w:val="21"/>
          <w:lang w:val="en-US" w:eastAsia="zh-CN"/>
        </w:rPr>
        <w:t>44</w:t>
      </w:r>
      <w:r>
        <w:rPr>
          <w:rFonts w:hint="eastAsia" w:ascii="宋体" w:hAnsi="宋体"/>
          <w:szCs w:val="21"/>
          <w:lang w:val="en-US" w:eastAsia="zh-CN"/>
        </w:rPr>
        <w:t>和UN R129同时继续</w:t>
      </w:r>
      <w:r>
        <w:rPr>
          <w:rFonts w:hint="default" w:ascii="宋体" w:hAnsi="宋体"/>
          <w:szCs w:val="21"/>
          <w:lang w:val="en-US" w:eastAsia="zh-CN"/>
        </w:rPr>
        <w:t>修订</w:t>
      </w:r>
      <w:r>
        <w:rPr>
          <w:rFonts w:hint="eastAsia" w:ascii="宋体" w:hAnsi="宋体"/>
          <w:szCs w:val="21"/>
          <w:lang w:val="en-US" w:eastAsia="zh-CN"/>
        </w:rPr>
        <w:t>，互相配合。在UN R129的后续工作过程中，又陆续进行</w:t>
      </w:r>
      <w:r>
        <w:rPr>
          <w:rFonts w:hint="default" w:ascii="宋体" w:hAnsi="宋体"/>
          <w:szCs w:val="21"/>
          <w:lang w:val="en-US" w:eastAsia="zh-CN"/>
        </w:rPr>
        <w:t>第二阶段</w:t>
      </w:r>
      <w:r>
        <w:rPr>
          <w:rFonts w:hint="eastAsia" w:ascii="宋体" w:hAnsi="宋体"/>
          <w:szCs w:val="21"/>
          <w:lang w:val="en-US" w:eastAsia="zh-CN"/>
        </w:rPr>
        <w:t>工作，纳入</w:t>
      </w:r>
      <w:r>
        <w:rPr>
          <w:rFonts w:hint="default" w:ascii="宋体" w:hAnsi="宋体"/>
          <w:szCs w:val="21"/>
          <w:lang w:val="en-US" w:eastAsia="zh-CN"/>
        </w:rPr>
        <w:t>非整体</w:t>
      </w:r>
      <w:r>
        <w:rPr>
          <w:rFonts w:hint="eastAsia" w:ascii="宋体" w:hAnsi="宋体"/>
          <w:szCs w:val="21"/>
          <w:lang w:val="en-US" w:eastAsia="zh-CN"/>
        </w:rPr>
        <w:t>式儿童约束系统</w:t>
      </w:r>
      <w:r>
        <w:rPr>
          <w:rFonts w:hint="default" w:ascii="宋体" w:hAnsi="宋体"/>
          <w:szCs w:val="21"/>
          <w:lang w:val="en-US" w:eastAsia="zh-CN"/>
        </w:rPr>
        <w:t>（</w:t>
      </w:r>
      <w:r>
        <w:rPr>
          <w:rFonts w:hint="eastAsia" w:ascii="宋体" w:hAnsi="宋体"/>
          <w:szCs w:val="21"/>
          <w:lang w:val="en-US" w:eastAsia="zh-CN"/>
        </w:rPr>
        <w:t>增高椅和增高</w:t>
      </w:r>
      <w:r>
        <w:rPr>
          <w:rFonts w:hint="default" w:ascii="宋体" w:hAnsi="宋体"/>
          <w:szCs w:val="21"/>
          <w:lang w:val="en-US" w:eastAsia="zh-CN"/>
        </w:rPr>
        <w:t>垫）</w:t>
      </w:r>
      <w:r>
        <w:rPr>
          <w:rFonts w:hint="eastAsia" w:ascii="宋体" w:hAnsi="宋体"/>
          <w:szCs w:val="21"/>
          <w:lang w:val="en-US" w:eastAsia="zh-CN"/>
        </w:rPr>
        <w:t>，用于</w:t>
      </w:r>
      <w:r>
        <w:rPr>
          <w:rFonts w:hint="default" w:ascii="宋体" w:hAnsi="宋体"/>
          <w:szCs w:val="21"/>
          <w:lang w:val="en-US" w:eastAsia="zh-CN"/>
        </w:rPr>
        <w:t>较大儿童的</w:t>
      </w:r>
      <w:r>
        <w:rPr>
          <w:rFonts w:hint="eastAsia" w:ascii="宋体" w:hAnsi="宋体"/>
          <w:szCs w:val="21"/>
          <w:lang w:val="en-US" w:eastAsia="zh-CN"/>
        </w:rPr>
        <w:t>儿童约束系统；以及</w:t>
      </w:r>
      <w:r>
        <w:rPr>
          <w:rFonts w:hint="default" w:ascii="宋体" w:hAnsi="宋体"/>
          <w:szCs w:val="21"/>
          <w:lang w:val="en-US" w:eastAsia="zh-CN"/>
        </w:rPr>
        <w:t>第三阶段</w:t>
      </w:r>
      <w:r>
        <w:rPr>
          <w:rFonts w:hint="eastAsia" w:ascii="宋体" w:hAnsi="宋体"/>
          <w:szCs w:val="21"/>
          <w:lang w:val="en-US" w:eastAsia="zh-CN"/>
        </w:rPr>
        <w:t>工作，纳入</w:t>
      </w:r>
      <w:r>
        <w:rPr>
          <w:rFonts w:hint="default" w:ascii="宋体" w:hAnsi="宋体"/>
          <w:szCs w:val="21"/>
          <w:lang w:val="en-US" w:eastAsia="zh-CN"/>
        </w:rPr>
        <w:t>整体</w:t>
      </w:r>
      <w:r>
        <w:rPr>
          <w:rFonts w:hint="eastAsia" w:ascii="宋体" w:hAnsi="宋体"/>
          <w:szCs w:val="21"/>
          <w:lang w:val="en-US" w:eastAsia="zh-CN"/>
        </w:rPr>
        <w:t>式通用安全带固定儿童约束系统。至此，UN R129形成完整的车用儿童约束系统法规，全面覆盖UN R44。新法规的生效日期为2022年9月1日。</w:t>
      </w:r>
    </w:p>
    <w:p>
      <w:pPr>
        <w:spacing w:line="400" w:lineRule="exact"/>
        <w:ind w:firstLine="420" w:firstLineChars="200"/>
        <w:rPr>
          <w:rFonts w:hint="eastAsia" w:ascii="宋体" w:hAnsi="宋体"/>
          <w:szCs w:val="21"/>
          <w:lang w:val="en-US"/>
        </w:rPr>
      </w:pPr>
      <w:r>
        <w:rPr>
          <w:rFonts w:hint="eastAsia" w:ascii="宋体" w:hAnsi="宋体"/>
          <w:szCs w:val="21"/>
          <w:lang w:eastAsia="zh-CN"/>
        </w:rPr>
        <w:t>本</w:t>
      </w:r>
      <w:r>
        <w:rPr>
          <w:rFonts w:hint="eastAsia" w:ascii="宋体" w:hAnsi="宋体"/>
          <w:szCs w:val="21"/>
          <w:lang w:val="en-US" w:eastAsia="zh-CN"/>
        </w:rPr>
        <w:t>标准</w:t>
      </w:r>
      <w:r>
        <w:rPr>
          <w:rFonts w:hint="eastAsia" w:ascii="宋体" w:hAnsi="宋体"/>
          <w:szCs w:val="21"/>
        </w:rPr>
        <w:t>修订综合考虑了上述</w:t>
      </w:r>
      <w:r>
        <w:rPr>
          <w:rFonts w:hint="eastAsia" w:ascii="宋体" w:hAnsi="宋体"/>
          <w:szCs w:val="21"/>
          <w:lang w:eastAsia="zh-CN"/>
        </w:rPr>
        <w:t>UN</w:t>
      </w:r>
      <w:r>
        <w:rPr>
          <w:rFonts w:hint="eastAsia" w:ascii="宋体" w:hAnsi="宋体"/>
          <w:szCs w:val="21"/>
        </w:rPr>
        <w:t>法规的情况，参考</w:t>
      </w:r>
      <w:r>
        <w:rPr>
          <w:rFonts w:hint="eastAsia" w:ascii="宋体" w:hAnsi="宋体"/>
          <w:szCs w:val="21"/>
          <w:lang w:eastAsia="zh-CN"/>
        </w:rPr>
        <w:t>UN</w:t>
      </w:r>
      <w:r>
        <w:rPr>
          <w:rFonts w:hint="eastAsia" w:ascii="宋体" w:hAnsi="宋体"/>
          <w:szCs w:val="21"/>
        </w:rPr>
        <w:t xml:space="preserve"> R129法规</w:t>
      </w:r>
      <w:r>
        <w:rPr>
          <w:rFonts w:hint="eastAsia" w:ascii="宋体" w:hAnsi="宋体"/>
          <w:szCs w:val="21"/>
          <w:lang w:val="en-US" w:eastAsia="zh-CN"/>
        </w:rPr>
        <w:t>全部技术</w:t>
      </w:r>
      <w:r>
        <w:rPr>
          <w:rFonts w:hint="eastAsia" w:ascii="宋体" w:hAnsi="宋体"/>
          <w:szCs w:val="21"/>
        </w:rPr>
        <w:t>内容，</w:t>
      </w:r>
      <w:r>
        <w:rPr>
          <w:rFonts w:hint="eastAsia" w:ascii="宋体" w:hAnsi="宋体"/>
          <w:szCs w:val="21"/>
          <w:lang w:val="en-US" w:eastAsia="zh-CN"/>
        </w:rPr>
        <w:t>即UN R129《关于增强性儿童约束系统(ECRS)》（英文版）03系列及其随后的修改单、增补件，</w:t>
      </w:r>
      <w:r>
        <w:rPr>
          <w:rFonts w:hint="eastAsia" w:ascii="宋体" w:hAnsi="宋体"/>
          <w:szCs w:val="21"/>
        </w:rPr>
        <w:t>实现国际接轨。</w:t>
      </w:r>
      <w:r>
        <w:rPr>
          <w:rFonts w:hint="eastAsia" w:ascii="宋体" w:hAnsi="宋体"/>
          <w:szCs w:val="21"/>
          <w:lang w:val="en-US" w:eastAsia="zh-CN"/>
        </w:rPr>
        <w:t>附件一列出了本标准与联合国法规UN R129的章条编号对照一览表。</w:t>
      </w:r>
    </w:p>
    <w:p>
      <w:pPr>
        <w:spacing w:line="400" w:lineRule="exact"/>
        <w:ind w:firstLine="420" w:firstLineChars="200"/>
        <w:rPr>
          <w:rFonts w:hint="eastAsia" w:ascii="宋体" w:hAnsi="宋体"/>
          <w:szCs w:val="21"/>
          <w:lang w:val="en-US"/>
        </w:rPr>
      </w:pPr>
      <w:r>
        <w:rPr>
          <w:rFonts w:hint="eastAsia" w:ascii="宋体" w:hAnsi="宋体"/>
          <w:szCs w:val="21"/>
          <w:lang w:val="en-US" w:eastAsia="zh-CN"/>
        </w:rPr>
        <w:t>本标准与UN R129的差异及其原因如下：</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——由于中国的认证管理体制与欧盟不同，对UN R129中有关认证管理程序和生产一致性的内容不宜采纳，因此，删除UN R129中相关内容；</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——按中国标准编写规则，调整了GB 27887的文本结构和部分文字描述；</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——增加了Q假人标定程序；</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——按中国国情提出过渡期建议。</w:t>
      </w:r>
    </w:p>
    <w:p>
      <w:pPr>
        <w:autoSpaceDE w:val="0"/>
        <w:autoSpaceDN w:val="0"/>
        <w:adjustRightInd w:val="0"/>
        <w:spacing w:line="400" w:lineRule="exact"/>
        <w:ind w:firstLine="422" w:firstLineChars="200"/>
        <w:jc w:val="left"/>
        <w:outlineLvl w:val="0"/>
        <w:rPr>
          <w:rFonts w:hint="default"/>
          <w:b/>
          <w:szCs w:val="21"/>
          <w:lang w:val="en-US" w:eastAsia="zh-CN"/>
        </w:rPr>
      </w:pPr>
      <w:r>
        <w:rPr>
          <w:rFonts w:hint="eastAsia"/>
          <w:b/>
          <w:szCs w:val="21"/>
          <w:lang w:val="en-US" w:eastAsia="zh-CN"/>
        </w:rPr>
        <w:t>（二）各国法律规定</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1）欧盟：理事会指令91/671/EEC涉及车辆强制使用安全带和儿童约束系统，由指令2014/37/EC修订，其中身高135厘米或150厘米以下（取决于国家）的儿童乘坐M1、N1、N2和N3车辆时应采用适合儿童的身体特征的整体式或非整体式的儿童约束系统。如果使用儿童约束系统，应符合联合国法规UN R44或联合国法规UN R129或任何后续修订的标准。欧盟成员国因国家不同可以自行决定135厘米或150厘米的高度限制，对乘坐出租车的儿童可以有例外情况。</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2）德国：所有12岁以下的儿童，如果身高小于150厘米，就必须使用按照联合国法规UN R44或联合国法规UN R129或法规的任何修订进行批准的适合的儿童约束系统乘车。</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3）日本：6岁以下的儿童车辆乘客必须使用儿童约束系统。</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4）俄罗斯联邦：12岁以下和150厘米以下的儿童必须使用符合联合国法规UN R44 04系列的儿童约束系统。根据俄罗斯联邦现行的国家立法，儿童乘车在确保安全的前提下，可以考虑车辆设计的特点。12岁以下的儿童乘坐装配有安全带的车辆时，应按照儿童的重量和身高使用儿童约束系统或通过与车辆安全带等方式为儿童提供约束。只有在使用儿童约束系统时，才允许将儿童放在前排座位上。禁止12岁以下的儿童乘坐在摩托车的后座上。</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5）美国：法律规定了儿童乘车要求。通常情况下，一定年龄以下的儿童乘车必须使用符合联邦机动车安全标准(FMVSS)No.213“儿童约束系统”标准的儿童约束系统或增高垫。儿童被要求使用儿童约束系统或增高垫的年龄因州而异，通常从4岁到8岁不等。大多数州要求不再需要使用儿童约束系统或增高垫的儿童要使用车辆安全带。一些州要求（州之间不同）一定年龄以下的儿童应被约束在后排座位上。</w:t>
      </w:r>
    </w:p>
    <w:p>
      <w:pPr>
        <w:spacing w:line="400" w:lineRule="exact"/>
        <w:ind w:firstLine="420" w:firstLineChars="200"/>
        <w:rPr>
          <w:rFonts w:hint="default" w:ascii="宋体" w:hAnsi="宋体"/>
          <w:szCs w:val="21"/>
          <w:lang w:val="en-US" w:eastAsia="zh-CN"/>
        </w:rPr>
      </w:pPr>
      <w:r>
        <w:rPr>
          <w:rFonts w:hint="eastAsia" w:ascii="宋体" w:hAnsi="宋体"/>
          <w:szCs w:val="21"/>
          <w:lang w:val="en-US" w:eastAsia="zh-CN"/>
        </w:rPr>
        <w:t>6）乌拉圭：根据《国家交通和道路安全法》（第19,601号）及其执行该法律的法令（第81/014号），强制要求使用儿童约束系统。</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33" w:name="_Toc64898479"/>
      <w:r>
        <w:rPr>
          <w:rFonts w:hint="eastAsia" w:eastAsia="黑体"/>
          <w:bCs/>
          <w:color w:val="000000"/>
          <w:kern w:val="0"/>
          <w:sz w:val="24"/>
          <w:lang w:val="en-US" w:eastAsia="zh-CN"/>
        </w:rPr>
        <w:t>五、</w:t>
      </w:r>
      <w:r>
        <w:rPr>
          <w:rFonts w:hint="eastAsia" w:eastAsia="黑体"/>
          <w:bCs/>
          <w:color w:val="000000"/>
          <w:kern w:val="0"/>
          <w:sz w:val="24"/>
        </w:rPr>
        <w:t>重大分歧</w:t>
      </w:r>
      <w:r>
        <w:rPr>
          <w:rFonts w:hint="eastAsia" w:eastAsia="黑体"/>
          <w:bCs/>
          <w:color w:val="000000"/>
          <w:kern w:val="0"/>
          <w:sz w:val="24"/>
        </w:rPr>
        <w:t>意见的处理过程、处理意见及其依据</w:t>
      </w:r>
      <w:bookmarkEnd w:id="33"/>
    </w:p>
    <w:p>
      <w:pPr>
        <w:spacing w:line="400" w:lineRule="exact"/>
        <w:ind w:firstLine="420" w:firstLineChars="200"/>
        <w:rPr>
          <w:rFonts w:hint="eastAsia" w:ascii="宋体" w:hAnsi="宋体"/>
          <w:szCs w:val="21"/>
        </w:rPr>
      </w:pPr>
      <w:r>
        <w:rPr>
          <w:rFonts w:hint="eastAsia" w:ascii="宋体" w:hAnsi="宋体"/>
          <w:szCs w:val="21"/>
        </w:rPr>
        <w:t>本标准修订过程中无重大分歧意见。</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34" w:name="_Toc64898480"/>
      <w:r>
        <w:rPr>
          <w:rFonts w:hint="eastAsia" w:eastAsia="黑体"/>
          <w:bCs/>
          <w:color w:val="000000"/>
          <w:kern w:val="0"/>
          <w:sz w:val="24"/>
          <w:lang w:val="en-US" w:eastAsia="zh-CN"/>
        </w:rPr>
        <w:t>六、</w:t>
      </w:r>
      <w:r>
        <w:rPr>
          <w:rFonts w:hint="eastAsia" w:eastAsia="黑体"/>
          <w:bCs/>
          <w:color w:val="000000"/>
          <w:kern w:val="0"/>
          <w:sz w:val="24"/>
        </w:rPr>
        <w:t>对强制性国家标准自发布日期至实施日期之间的过渡期的建议及理由</w:t>
      </w:r>
      <w:bookmarkEnd w:id="34"/>
    </w:p>
    <w:p>
      <w:pPr>
        <w:spacing w:line="400" w:lineRule="exact"/>
        <w:ind w:firstLine="420" w:firstLineChars="200"/>
        <w:rPr>
          <w:rFonts w:hint="eastAsia" w:ascii="宋体" w:hAnsi="宋体"/>
          <w:szCs w:val="21"/>
        </w:rPr>
      </w:pPr>
      <w:r>
        <w:rPr>
          <w:rFonts w:hint="eastAsia" w:ascii="宋体" w:hAnsi="宋体"/>
          <w:szCs w:val="21"/>
        </w:rPr>
        <w:t>标准在起草过程中广泛征求了各</w:t>
      </w:r>
      <w:r>
        <w:rPr>
          <w:rFonts w:hint="eastAsia" w:ascii="宋体" w:hAnsi="宋体"/>
          <w:szCs w:val="21"/>
          <w:lang w:val="en-US" w:eastAsia="zh-CN"/>
        </w:rPr>
        <w:t>儿童约束系统制造商、</w:t>
      </w:r>
      <w:r>
        <w:rPr>
          <w:rFonts w:hint="eastAsia" w:ascii="宋体" w:hAnsi="宋体"/>
          <w:szCs w:val="21"/>
        </w:rPr>
        <w:t>主要车辆制造企业、检测机构</w:t>
      </w:r>
      <w:r>
        <w:rPr>
          <w:rFonts w:hint="eastAsia" w:ascii="宋体" w:hAnsi="宋体"/>
          <w:szCs w:val="21"/>
          <w:lang w:eastAsia="zh-CN"/>
        </w:rPr>
        <w:t>、</w:t>
      </w:r>
      <w:r>
        <w:rPr>
          <w:rFonts w:hint="eastAsia" w:ascii="宋体" w:hAnsi="宋体"/>
          <w:szCs w:val="21"/>
          <w:lang w:val="en-US" w:eastAsia="zh-CN"/>
        </w:rPr>
        <w:t>产品认证专家</w:t>
      </w:r>
      <w:r>
        <w:rPr>
          <w:rFonts w:hint="eastAsia" w:ascii="宋体" w:hAnsi="宋体"/>
          <w:szCs w:val="21"/>
        </w:rPr>
        <w:t>的意见，标准技术内容充分考虑了我国</w:t>
      </w:r>
      <w:r>
        <w:rPr>
          <w:rFonts w:hint="eastAsia" w:ascii="宋体" w:hAnsi="宋体"/>
          <w:szCs w:val="21"/>
          <w:lang w:val="en-US" w:eastAsia="zh-CN"/>
        </w:rPr>
        <w:t>儿童约束系统</w:t>
      </w:r>
      <w:r>
        <w:rPr>
          <w:rFonts w:hint="eastAsia" w:ascii="宋体" w:hAnsi="宋体"/>
          <w:szCs w:val="21"/>
        </w:rPr>
        <w:t>的设计、制造的技术水平</w:t>
      </w:r>
      <w:r>
        <w:rPr>
          <w:rFonts w:hint="eastAsia" w:ascii="宋体" w:hAnsi="宋体"/>
          <w:szCs w:val="21"/>
          <w:lang w:eastAsia="zh-CN"/>
        </w:rPr>
        <w:t>、</w:t>
      </w:r>
      <w:r>
        <w:rPr>
          <w:rFonts w:hint="eastAsia" w:ascii="宋体" w:hAnsi="宋体"/>
          <w:szCs w:val="21"/>
        </w:rPr>
        <w:t>检测机构</w:t>
      </w:r>
      <w:r>
        <w:rPr>
          <w:rFonts w:hint="eastAsia" w:ascii="宋体" w:hAnsi="宋体"/>
          <w:szCs w:val="21"/>
          <w:lang w:val="en-US" w:eastAsia="zh-CN"/>
        </w:rPr>
        <w:t>开展</w:t>
      </w:r>
      <w:r>
        <w:rPr>
          <w:rFonts w:hint="eastAsia" w:ascii="宋体" w:hAnsi="宋体"/>
          <w:szCs w:val="21"/>
        </w:rPr>
        <w:t>相关试验的检测能力</w:t>
      </w:r>
      <w:r>
        <w:rPr>
          <w:rFonts w:hint="eastAsia" w:ascii="宋体" w:hAnsi="宋体"/>
          <w:szCs w:val="21"/>
          <w:lang w:eastAsia="zh-CN"/>
        </w:rPr>
        <w:t>、</w:t>
      </w:r>
      <w:r>
        <w:rPr>
          <w:rFonts w:hint="eastAsia" w:ascii="宋体" w:hAnsi="宋体"/>
          <w:szCs w:val="21"/>
          <w:lang w:val="en-US" w:eastAsia="zh-CN"/>
        </w:rPr>
        <w:t>管理的需要，</w:t>
      </w:r>
      <w:r>
        <w:rPr>
          <w:rFonts w:hint="eastAsia" w:ascii="宋体" w:hAnsi="宋体"/>
          <w:szCs w:val="21"/>
        </w:rPr>
        <w:t>标准实施的基础条件已具备。</w:t>
      </w:r>
      <w:bookmarkStart w:id="35" w:name="_Toc64898481"/>
      <w:r>
        <w:rPr>
          <w:rFonts w:hint="eastAsia" w:ascii="宋体" w:hAnsi="宋体"/>
          <w:szCs w:val="21"/>
        </w:rPr>
        <w:t>考虑</w:t>
      </w:r>
      <w:r>
        <w:rPr>
          <w:rFonts w:hint="eastAsia" w:ascii="宋体" w:hAnsi="宋体"/>
          <w:szCs w:val="21"/>
          <w:lang w:val="en-US" w:eastAsia="zh-CN"/>
        </w:rPr>
        <w:t>到儿童约束系统</w:t>
      </w:r>
      <w:r>
        <w:rPr>
          <w:rFonts w:hint="eastAsia" w:ascii="宋体" w:hAnsi="宋体"/>
          <w:szCs w:val="21"/>
        </w:rPr>
        <w:t>制造企业</w:t>
      </w:r>
      <w:r>
        <w:rPr>
          <w:rFonts w:hint="eastAsia" w:ascii="宋体" w:hAnsi="宋体"/>
          <w:szCs w:val="21"/>
          <w:lang w:val="en-US" w:eastAsia="zh-CN"/>
        </w:rPr>
        <w:t>适应新要求</w:t>
      </w:r>
      <w:r>
        <w:rPr>
          <w:rFonts w:hint="eastAsia" w:ascii="宋体" w:hAnsi="宋体"/>
          <w:szCs w:val="21"/>
        </w:rPr>
        <w:t>需要设计和验证的时间准备，建议本标准的实施时间为：</w:t>
      </w:r>
    </w:p>
    <w:p>
      <w:pPr>
        <w:spacing w:line="400" w:lineRule="exact"/>
        <w:ind w:firstLine="420" w:firstLineChars="200"/>
        <w:rPr>
          <w:rFonts w:hint="eastAsia" w:ascii="宋体" w:hAnsi="宋体"/>
          <w:szCs w:val="21"/>
          <w:lang w:val="en-US"/>
        </w:rPr>
      </w:pPr>
      <w:bookmarkStart w:id="36" w:name="_Toc95720158"/>
      <w:bookmarkEnd w:id="36"/>
      <w:bookmarkStart w:id="37" w:name="_Toc276799186"/>
      <w:bookmarkEnd w:id="37"/>
      <w:bookmarkStart w:id="38" w:name="_Toc65859131"/>
      <w:bookmarkEnd w:id="38"/>
      <w:bookmarkStart w:id="39" w:name="_Toc86059628"/>
      <w:bookmarkStart w:id="40" w:name="_Toc93872586"/>
      <w:bookmarkStart w:id="41" w:name="_Toc8871"/>
      <w:bookmarkStart w:id="42" w:name="_Toc517187582"/>
      <w:bookmarkStart w:id="43" w:name="_Toc517427539"/>
      <w:bookmarkStart w:id="44" w:name="_Toc36038809"/>
      <w:bookmarkStart w:id="45" w:name="_Toc35936525"/>
      <w:bookmarkStart w:id="46" w:name="_Toc517190965"/>
      <w:r>
        <w:rPr>
          <w:rFonts w:hint="eastAsia" w:ascii="宋体" w:hAnsi="宋体"/>
          <w:szCs w:val="21"/>
          <w:lang w:eastAsia="zh-CN"/>
        </w:rPr>
        <w:t>对于带有内置式儿童约束系统的新申请型式批准的车型，自本文件实施之日起开始执行；对于带有内置式儿童约束系统的已获得型式批准的车型，自本文件实施之日起第</w:t>
      </w:r>
      <w:r>
        <w:rPr>
          <w:rFonts w:hint="eastAsia" w:ascii="宋体" w:hAnsi="宋体"/>
          <w:szCs w:val="21"/>
          <w:lang w:val="en-US" w:eastAsia="zh-CN"/>
        </w:rPr>
        <w:t>13</w:t>
      </w:r>
      <w:r>
        <w:rPr>
          <w:rFonts w:hint="eastAsia" w:ascii="宋体" w:hAnsi="宋体"/>
          <w:szCs w:val="21"/>
          <w:lang w:eastAsia="zh-CN"/>
        </w:rPr>
        <w:t>个月开始执行。</w:t>
      </w:r>
      <w:bookmarkEnd w:id="39"/>
      <w:bookmarkEnd w:id="40"/>
      <w:bookmarkEnd w:id="41"/>
    </w:p>
    <w:p>
      <w:pPr>
        <w:spacing w:line="400" w:lineRule="exact"/>
        <w:ind w:firstLine="420" w:firstLineChars="200"/>
        <w:rPr>
          <w:rFonts w:hint="eastAsia" w:ascii="宋体" w:hAnsi="宋体"/>
          <w:szCs w:val="21"/>
        </w:rPr>
      </w:pPr>
      <w:bookmarkStart w:id="47" w:name="_Toc93872587"/>
      <w:bookmarkStart w:id="48" w:name="_Toc86059629"/>
      <w:r>
        <w:rPr>
          <w:rFonts w:hint="eastAsia" w:ascii="宋体" w:hAnsi="宋体"/>
          <w:szCs w:val="21"/>
          <w:lang w:val="en-US" w:eastAsia="zh-CN"/>
        </w:rPr>
        <w:t>对于新申请型式试验和认证的产品，</w:t>
      </w:r>
      <w:bookmarkStart w:id="49" w:name="OLE_LINK68"/>
      <w:r>
        <w:rPr>
          <w:rFonts w:hint="eastAsia" w:ascii="宋体" w:hAnsi="宋体"/>
          <w:szCs w:val="21"/>
          <w:lang w:val="en-US" w:eastAsia="zh-CN"/>
        </w:rPr>
        <w:t>自本文件实施之日起开始</w:t>
      </w:r>
      <w:bookmarkEnd w:id="49"/>
      <w:r>
        <w:rPr>
          <w:rFonts w:hint="eastAsia" w:ascii="宋体" w:hAnsi="宋体"/>
          <w:szCs w:val="21"/>
          <w:lang w:val="en-US" w:eastAsia="zh-CN"/>
        </w:rPr>
        <w:t>执行；对于已获得认证批准的产品，至认证期满</w:t>
      </w:r>
      <w:bookmarkEnd w:id="42"/>
      <w:bookmarkEnd w:id="43"/>
      <w:bookmarkEnd w:id="44"/>
      <w:bookmarkEnd w:id="45"/>
      <w:bookmarkEnd w:id="46"/>
      <w:bookmarkEnd w:id="47"/>
      <w:bookmarkEnd w:id="48"/>
      <w:r>
        <w:rPr>
          <w:rFonts w:hint="eastAsia" w:ascii="宋体" w:hAnsi="宋体"/>
          <w:szCs w:val="21"/>
          <w:lang w:val="en-US" w:eastAsia="zh-CN"/>
        </w:rPr>
        <w:t>。</w:t>
      </w:r>
    </w:p>
    <w:p>
      <w:pPr>
        <w:autoSpaceDE w:val="0"/>
        <w:autoSpaceDN w:val="0"/>
        <w:adjustRightInd w:val="0"/>
        <w:spacing w:line="400" w:lineRule="exact"/>
        <w:ind w:firstLine="480" w:firstLineChars="200"/>
        <w:jc w:val="left"/>
        <w:outlineLvl w:val="0"/>
        <w:rPr>
          <w:rFonts w:hint="eastAsia" w:eastAsia="黑体"/>
          <w:bCs/>
          <w:color w:val="000000"/>
          <w:kern w:val="0"/>
          <w:sz w:val="24"/>
        </w:rPr>
      </w:pPr>
      <w:r>
        <w:rPr>
          <w:rFonts w:hint="eastAsia" w:eastAsia="黑体"/>
          <w:bCs/>
          <w:color w:val="000000"/>
          <w:kern w:val="0"/>
          <w:sz w:val="24"/>
        </w:rPr>
        <w:t>七、与实施强制性国家标准有关的政策措施</w:t>
      </w:r>
      <w:bookmarkEnd w:id="35"/>
    </w:p>
    <w:p>
      <w:pPr>
        <w:spacing w:line="400" w:lineRule="exact"/>
        <w:ind w:firstLine="420" w:firstLineChars="200"/>
        <w:rPr>
          <w:rFonts w:hint="eastAsia" w:ascii="宋体" w:hAnsi="宋体"/>
          <w:szCs w:val="21"/>
          <w:lang w:eastAsia="zh-CN"/>
        </w:rPr>
      </w:pPr>
      <w:r>
        <w:rPr>
          <w:rFonts w:hint="eastAsia" w:ascii="宋体" w:hAnsi="宋体"/>
          <w:szCs w:val="21"/>
        </w:rPr>
        <w:t>本标准的实施监督管理部门是中华人民共和国工业和信息化部和国家市场监督管理总局。本标准依据的法律法规及配套措施如下</w:t>
      </w:r>
      <w:r>
        <w:rPr>
          <w:rFonts w:hint="eastAsia" w:ascii="宋体" w:hAnsi="宋体"/>
          <w:szCs w:val="21"/>
          <w:lang w:eastAsia="zh-CN"/>
        </w:rPr>
        <w:t>：</w:t>
      </w:r>
    </w:p>
    <w:p>
      <w:pPr>
        <w:spacing w:line="400" w:lineRule="exact"/>
        <w:ind w:firstLine="420" w:firstLineChars="200"/>
        <w:rPr>
          <w:rFonts w:hint="eastAsia" w:ascii="宋体" w:hAnsi="宋体"/>
          <w:szCs w:val="21"/>
        </w:rPr>
      </w:pPr>
      <w:r>
        <w:rPr>
          <w:rFonts w:hint="eastAsia" w:ascii="宋体" w:hAnsi="宋体"/>
          <w:szCs w:val="21"/>
        </w:rPr>
        <w:t>1）《中华人民共和国标准化法》第二章第十条规定，对保障人身健康和生命财产安全、国家安全、生态环境安全以及满足经济社会管理基本需要的技术要求，应当制定强制性国家标准。</w:t>
      </w:r>
    </w:p>
    <w:p>
      <w:pPr>
        <w:spacing w:line="400" w:lineRule="exact"/>
        <w:ind w:firstLine="420" w:firstLineChars="200"/>
        <w:rPr>
          <w:rFonts w:hint="eastAsia" w:ascii="宋体" w:hAnsi="宋体"/>
          <w:szCs w:val="21"/>
        </w:rPr>
      </w:pPr>
      <w:r>
        <w:rPr>
          <w:rFonts w:hint="eastAsia" w:ascii="宋体" w:hAnsi="宋体"/>
          <w:szCs w:val="21"/>
        </w:rPr>
        <w:t>2）“工业和信息化部关于调整《道路机动车辆生产企业及产品准入许可》事项审批流程及技术规范的通知”（工信部装〔2015〕492号）的附件2</w:t>
      </w:r>
      <w:r>
        <w:rPr>
          <w:rFonts w:hint="eastAsia" w:ascii="宋体" w:hAnsi="宋体"/>
          <w:szCs w:val="21"/>
          <w:lang w:val="en-US" w:eastAsia="zh-CN"/>
        </w:rPr>
        <w:t>“</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"http://www.shanxieic.gov.cn/promanage/ProUpload/file/20160126/20160126165137_9574.doc" \t "_blank" </w:instrText>
      </w:r>
      <w:r>
        <w:rPr>
          <w:rFonts w:hint="eastAsia" w:ascii="宋体" w:hAnsi="宋体"/>
          <w:szCs w:val="21"/>
          <w:lang w:val="en-US" w:eastAsia="zh-CN"/>
        </w:rPr>
        <w:fldChar w:fldCharType="separate"/>
      </w:r>
      <w:r>
        <w:rPr>
          <w:rFonts w:hint="eastAsia" w:ascii="宋体" w:hAnsi="宋体"/>
          <w:szCs w:val="21"/>
          <w:lang w:val="en-US" w:eastAsia="zh-CN"/>
        </w:rPr>
        <w:t>汽车产品同一型式判定技术条件_汽车产品同一型号判定技术条件（2015修订版）</w:t>
      </w:r>
      <w:r>
        <w:rPr>
          <w:rFonts w:hint="eastAsia" w:ascii="宋体" w:hAnsi="宋体"/>
          <w:szCs w:val="21"/>
          <w:lang w:val="en-US" w:eastAsia="zh-CN"/>
        </w:rPr>
        <w:fldChar w:fldCharType="end"/>
      </w:r>
      <w:r>
        <w:rPr>
          <w:rFonts w:hint="eastAsia" w:ascii="宋体" w:hAnsi="宋体"/>
          <w:szCs w:val="21"/>
          <w:lang w:val="en-US" w:eastAsia="zh-CN"/>
        </w:rPr>
        <w:t>”中将GB 27887-2011《机动车儿童乘员用约束系统》作为《车辆生产企业及产品公告》管理所要求的强制性标准，是汽车产品准入的必要条件</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3）《车辆生产企业及产品生产一致性监督管理办法》（工产业〔2010〕第109号）附件3</w:t>
      </w:r>
      <w:r>
        <w:rPr>
          <w:rFonts w:hint="eastAsia" w:ascii="宋体" w:hAnsi="宋体"/>
          <w:szCs w:val="21"/>
          <w:lang w:val="en-US" w:eastAsia="zh-CN"/>
        </w:rPr>
        <w:t>中规定，《公告》规定的强制性标准项目的检验结果均符合要求时，判定为性能符合要求。即在汽车产品在一致性监督中，也应满足GB 27887的要求</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4）</w:t>
      </w:r>
      <w:r>
        <w:rPr>
          <w:rFonts w:hint="eastAsia" w:ascii="宋体" w:hAnsi="宋体"/>
          <w:szCs w:val="21"/>
          <w:lang w:val="en-US" w:eastAsia="zh-CN"/>
        </w:rPr>
        <w:t>国家认监委根据《中华人民共和国认证认可条例》、《强制性产品认证管理规定》，以2014年第16号公告发布了《强制性产品认证实施规则 机动车儿童乘员用约束系统》（编号：CNCA-C22-03：2014）</w:t>
      </w:r>
      <w:r>
        <w:rPr>
          <w:rFonts w:hint="eastAsia" w:ascii="宋体" w:hAnsi="宋体"/>
          <w:szCs w:val="21"/>
        </w:rPr>
        <w:t>，</w:t>
      </w:r>
      <w:r>
        <w:rPr>
          <w:rFonts w:hint="eastAsia" w:ascii="宋体" w:hAnsi="宋体"/>
          <w:szCs w:val="21"/>
          <w:lang w:val="en-US" w:eastAsia="zh-CN"/>
        </w:rPr>
        <w:t>明确认证所依据的标准为GB 27887</w:t>
      </w:r>
      <w:r>
        <w:rPr>
          <w:rFonts w:hint="eastAsia" w:ascii="宋体" w:hAnsi="宋体"/>
          <w:szCs w:val="21"/>
        </w:rPr>
        <w:t>。</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50" w:name="_Toc64898482"/>
      <w:r>
        <w:rPr>
          <w:rFonts w:hint="eastAsia" w:eastAsia="黑体"/>
          <w:bCs/>
          <w:color w:val="000000"/>
          <w:kern w:val="0"/>
          <w:sz w:val="24"/>
          <w:lang w:val="en-US" w:eastAsia="zh-CN"/>
        </w:rPr>
        <w:t>八、</w:t>
      </w:r>
      <w:r>
        <w:rPr>
          <w:rFonts w:hint="eastAsia" w:eastAsia="黑体"/>
          <w:bCs/>
          <w:color w:val="000000"/>
          <w:kern w:val="0"/>
          <w:sz w:val="24"/>
        </w:rPr>
        <w:t>是否需要对外通报的建议及理由</w:t>
      </w:r>
      <w:bookmarkEnd w:id="50"/>
    </w:p>
    <w:p>
      <w:pPr>
        <w:spacing w:line="400" w:lineRule="exact"/>
        <w:ind w:firstLine="420" w:firstLineChars="200"/>
        <w:rPr>
          <w:rFonts w:hint="eastAsia" w:ascii="宋体" w:hAnsi="宋体"/>
          <w:szCs w:val="21"/>
        </w:rPr>
      </w:pPr>
      <w:r>
        <w:rPr>
          <w:rFonts w:hint="eastAsia" w:ascii="宋体" w:hAnsi="宋体"/>
          <w:szCs w:val="21"/>
        </w:rPr>
        <w:t>本标准涉及</w:t>
      </w:r>
      <w:r>
        <w:rPr>
          <w:rFonts w:hint="eastAsia" w:ascii="宋体" w:hAnsi="宋体"/>
          <w:szCs w:val="21"/>
          <w:lang w:val="en-US" w:eastAsia="zh-CN"/>
        </w:rPr>
        <w:t>儿童</w:t>
      </w:r>
      <w:r>
        <w:rPr>
          <w:rFonts w:hint="eastAsia" w:ascii="宋体" w:hAnsi="宋体"/>
          <w:szCs w:val="21"/>
        </w:rPr>
        <w:t>乘员安全和</w:t>
      </w:r>
      <w:r>
        <w:rPr>
          <w:rFonts w:hint="eastAsia" w:ascii="宋体" w:hAnsi="宋体"/>
          <w:szCs w:val="21"/>
          <w:lang w:val="en-US" w:eastAsia="zh-CN"/>
        </w:rPr>
        <w:t>儿童约束系统</w:t>
      </w:r>
      <w:r>
        <w:rPr>
          <w:rFonts w:hint="eastAsia" w:ascii="宋体" w:hAnsi="宋体"/>
          <w:szCs w:val="21"/>
        </w:rPr>
        <w:t>进出口贸易，建议对外通报。</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51" w:name="_Toc64898483"/>
      <w:r>
        <w:rPr>
          <w:rFonts w:hint="eastAsia" w:eastAsia="黑体"/>
          <w:bCs/>
          <w:color w:val="000000"/>
          <w:kern w:val="0"/>
          <w:sz w:val="24"/>
          <w:lang w:val="en-US" w:eastAsia="zh-CN"/>
        </w:rPr>
        <w:t>九、</w:t>
      </w:r>
      <w:r>
        <w:rPr>
          <w:rFonts w:hint="eastAsia" w:eastAsia="黑体"/>
          <w:bCs/>
          <w:color w:val="000000"/>
          <w:kern w:val="0"/>
          <w:sz w:val="24"/>
        </w:rPr>
        <w:t>废止现行有关标准的建议</w:t>
      </w:r>
      <w:bookmarkEnd w:id="51"/>
    </w:p>
    <w:p>
      <w:pPr>
        <w:spacing w:line="400" w:lineRule="exact"/>
        <w:ind w:firstLine="420" w:firstLineChars="200"/>
        <w:rPr>
          <w:rFonts w:hint="eastAsia" w:ascii="宋体" w:hAnsi="宋体"/>
          <w:szCs w:val="21"/>
        </w:rPr>
      </w:pPr>
      <w:r>
        <w:rPr>
          <w:rFonts w:hint="eastAsia" w:ascii="宋体" w:hAnsi="宋体"/>
          <w:szCs w:val="21"/>
          <w:lang w:eastAsia="zh-CN"/>
        </w:rPr>
        <w:t>本文件</w:t>
      </w:r>
      <w:r>
        <w:rPr>
          <w:rFonts w:hint="eastAsia" w:ascii="宋体" w:hAnsi="宋体"/>
          <w:szCs w:val="21"/>
        </w:rPr>
        <w:t>修订完成并发布实施后，将替代现行的GB 27887-2011。</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52" w:name="_Toc64898484"/>
      <w:r>
        <w:rPr>
          <w:rFonts w:hint="eastAsia" w:eastAsia="黑体"/>
          <w:bCs/>
          <w:color w:val="000000"/>
          <w:kern w:val="0"/>
          <w:sz w:val="24"/>
          <w:lang w:val="en-US" w:eastAsia="zh-CN"/>
        </w:rPr>
        <w:t>十、</w:t>
      </w:r>
      <w:r>
        <w:rPr>
          <w:rFonts w:hint="eastAsia" w:eastAsia="黑体"/>
          <w:bCs/>
          <w:color w:val="000000"/>
          <w:kern w:val="0"/>
          <w:sz w:val="24"/>
        </w:rPr>
        <w:t>涉及专利的有关说明</w:t>
      </w:r>
      <w:bookmarkEnd w:id="52"/>
    </w:p>
    <w:p>
      <w:pPr>
        <w:spacing w:line="400" w:lineRule="exact"/>
        <w:ind w:firstLine="420" w:firstLineChars="200"/>
        <w:rPr>
          <w:rFonts w:hint="eastAsia" w:ascii="宋体" w:hAnsi="宋体"/>
          <w:szCs w:val="21"/>
        </w:rPr>
      </w:pPr>
      <w:r>
        <w:rPr>
          <w:rFonts w:hint="eastAsia" w:ascii="宋体" w:hAnsi="宋体"/>
          <w:szCs w:val="21"/>
          <w:lang w:eastAsia="zh-CN"/>
        </w:rPr>
        <w:t>本文件</w:t>
      </w:r>
      <w:r>
        <w:rPr>
          <w:rFonts w:hint="eastAsia" w:ascii="宋体" w:hAnsi="宋体"/>
          <w:szCs w:val="21"/>
        </w:rPr>
        <w:t>的主要技术内容</w:t>
      </w:r>
      <w:r>
        <w:rPr>
          <w:rFonts w:hint="eastAsia" w:ascii="宋体" w:hAnsi="宋体"/>
          <w:szCs w:val="21"/>
          <w:lang w:val="en-US" w:eastAsia="zh-CN"/>
        </w:rPr>
        <w:t>尚未发现</w:t>
      </w:r>
      <w:r>
        <w:rPr>
          <w:rFonts w:hint="eastAsia" w:ascii="宋体" w:hAnsi="宋体"/>
          <w:szCs w:val="21"/>
        </w:rPr>
        <w:t>涉及专利。</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53" w:name="_Toc64898485"/>
      <w:r>
        <w:rPr>
          <w:rFonts w:hint="eastAsia" w:eastAsia="黑体"/>
          <w:bCs/>
          <w:color w:val="000000"/>
          <w:kern w:val="0"/>
          <w:sz w:val="24"/>
          <w:lang w:val="en-US" w:eastAsia="zh-CN"/>
        </w:rPr>
        <w:t>十一、</w:t>
      </w:r>
      <w:r>
        <w:rPr>
          <w:rFonts w:hint="eastAsia" w:eastAsia="黑体"/>
          <w:bCs/>
          <w:color w:val="000000"/>
          <w:kern w:val="0"/>
          <w:sz w:val="24"/>
        </w:rPr>
        <w:t>强制性国家标准所涉及的产品、过程或者服务目录</w:t>
      </w:r>
      <w:bookmarkEnd w:id="53"/>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本标准适用于适合</w:t>
      </w:r>
      <w:bookmarkStart w:id="54" w:name="OLE_LINK306"/>
      <w:bookmarkStart w:id="55" w:name="OLE_LINK309"/>
      <w:r>
        <w:rPr>
          <w:rFonts w:hint="eastAsia" w:ascii="宋体" w:hAnsi="宋体"/>
          <w:szCs w:val="21"/>
          <w:lang w:val="en-US" w:eastAsia="zh-CN"/>
        </w:rPr>
        <w:t>安装在机动车上的</w:t>
      </w:r>
      <w:bookmarkEnd w:id="54"/>
      <w:bookmarkEnd w:id="55"/>
      <w:r>
        <w:rPr>
          <w:rFonts w:hint="eastAsia" w:ascii="宋体" w:hAnsi="宋体"/>
          <w:szCs w:val="21"/>
          <w:lang w:val="en-US" w:eastAsia="zh-CN"/>
        </w:rPr>
        <w:t>下列类型的儿童乘员用约束系统：</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a）整体式通用ISOFIX儿童约束系统（i-Size）；</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b）整体式特殊车型用ISOFIX儿童约束系统；</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c）整体式通用安全带固定式儿童约束系统；</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d）整体式特殊车型用安全带固定式儿童约束系统；</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e）非整体式带靠背通用儿童约束系统（i-Size增高椅）；</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f）非整体式带靠背特殊车型用儿童约束系统（特殊车型用增高椅）；</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g）非整体式无靠背通用儿童约束系统（通用增高垫）；</w:t>
      </w:r>
    </w:p>
    <w:p>
      <w:pPr>
        <w:spacing w:line="400" w:lineRule="exact"/>
        <w:ind w:firstLine="420" w:firstLineChars="200"/>
        <w:rPr>
          <w:rFonts w:hint="eastAsia" w:ascii="宋体" w:hAnsi="宋体"/>
          <w:szCs w:val="21"/>
        </w:rPr>
      </w:pPr>
      <w:r>
        <w:rPr>
          <w:rFonts w:hint="eastAsia" w:ascii="宋体" w:hAnsi="宋体"/>
          <w:szCs w:val="21"/>
          <w:lang w:val="en-US" w:eastAsia="zh-CN"/>
        </w:rPr>
        <w:t>h) 非整体式无靠背特殊车型用儿童约束系统（特殊车型用增高垫）。</w:t>
      </w:r>
    </w:p>
    <w:p>
      <w:pPr>
        <w:autoSpaceDE w:val="0"/>
        <w:autoSpaceDN w:val="0"/>
        <w:adjustRightInd w:val="0"/>
        <w:spacing w:line="400" w:lineRule="exact"/>
        <w:ind w:firstLine="480" w:firstLineChars="200"/>
        <w:jc w:val="left"/>
        <w:outlineLvl w:val="0"/>
        <w:rPr>
          <w:rFonts w:hint="eastAsia" w:eastAsia="黑体"/>
          <w:bCs/>
          <w:color w:val="000000"/>
          <w:kern w:val="0"/>
          <w:sz w:val="24"/>
        </w:rPr>
      </w:pPr>
      <w:bookmarkStart w:id="56" w:name="_Toc64898486"/>
      <w:r>
        <w:rPr>
          <w:rFonts w:hint="eastAsia" w:eastAsia="黑体"/>
          <w:bCs/>
          <w:color w:val="000000"/>
          <w:kern w:val="0"/>
          <w:sz w:val="24"/>
          <w:lang w:val="en-US" w:eastAsia="zh-CN"/>
        </w:rPr>
        <w:t>十二、</w:t>
      </w:r>
      <w:r>
        <w:rPr>
          <w:rFonts w:hint="eastAsia" w:eastAsia="黑体"/>
          <w:bCs/>
          <w:color w:val="000000"/>
          <w:kern w:val="0"/>
          <w:sz w:val="24"/>
        </w:rPr>
        <w:t>其他应当予以说明的事项</w:t>
      </w:r>
      <w:bookmarkEnd w:id="56"/>
    </w:p>
    <w:p>
      <w:pPr>
        <w:spacing w:line="400" w:lineRule="exact"/>
        <w:ind w:firstLine="420" w:firstLineChars="200"/>
        <w:rPr>
          <w:rFonts w:hint="eastAsia" w:ascii="宋体" w:hAnsi="宋体"/>
          <w:szCs w:val="21"/>
        </w:rPr>
      </w:pPr>
      <w:r>
        <w:rPr>
          <w:rFonts w:hint="eastAsia" w:ascii="宋体" w:hAnsi="宋体"/>
          <w:szCs w:val="21"/>
        </w:rPr>
        <w:t>无。</w:t>
      </w:r>
    </w:p>
    <w:p>
      <w:pPr>
        <w:shd w:val="clear" w:color="auto" w:fill="FFFFFF"/>
        <w:spacing w:beforeLines="50" w:afterLines="50" w:line="360" w:lineRule="auto"/>
        <w:rPr>
          <w:rFonts w:hint="default" w:ascii="黑体" w:hAnsi="黑体" w:eastAsia="黑体" w:cs="宋体"/>
          <w:b/>
          <w:bCs/>
          <w:szCs w:val="21"/>
          <w:lang w:val="en-US"/>
        </w:rPr>
      </w:pPr>
    </w:p>
    <w:p>
      <w:pPr>
        <w:shd w:val="clear" w:color="auto" w:fill="FFFFFF"/>
        <w:spacing w:line="360" w:lineRule="auto"/>
        <w:ind w:firstLine="420"/>
        <w:rPr>
          <w:rFonts w:hint="eastAsia" w:ascii="宋体" w:hAnsi="宋体" w:cs="宋体"/>
          <w:kern w:val="0"/>
          <w:szCs w:val="21"/>
        </w:rPr>
      </w:pPr>
    </w:p>
    <w:p>
      <w:pPr>
        <w:shd w:val="clear" w:color="auto" w:fill="auto"/>
        <w:spacing w:line="240" w:lineRule="auto"/>
        <w:ind w:firstLine="0"/>
        <w:rPr>
          <w:rFonts w:hint="eastAsia" w:ascii="宋体" w:hAnsi="宋体" w:cs="宋体"/>
          <w:kern w:val="0"/>
          <w:szCs w:val="21"/>
        </w:rPr>
      </w:pPr>
      <w:r>
        <w:rPr>
          <w:rFonts w:hint="eastAsia" w:ascii="宋体" w:hAnsi="宋体" w:cs="宋体"/>
          <w:kern w:val="0"/>
          <w:szCs w:val="21"/>
        </w:rPr>
        <w:br w:type="page"/>
      </w:r>
    </w:p>
    <w:p>
      <w:pPr>
        <w:pStyle w:val="39"/>
        <w:widowControl/>
        <w:numPr>
          <w:ilvl w:val="0"/>
          <w:numId w:val="0"/>
        </w:numPr>
        <w:snapToGrid w:val="0"/>
        <w:spacing w:before="120" w:beforeLines="50" w:after="120" w:afterLines="50"/>
        <w:jc w:val="left"/>
        <w:rPr>
          <w:rFonts w:hint="eastAsia"/>
          <w:lang w:val="en-US" w:eastAsia="zh-CN"/>
        </w:rPr>
      </w:pPr>
      <w:r>
        <w:rPr>
          <w:rFonts w:hint="eastAsia"/>
          <w:lang w:val="en-US" w:eastAsia="zh-CN"/>
        </w:rPr>
        <w:t>附件一</w:t>
      </w:r>
    </w:p>
    <w:p>
      <w:pPr>
        <w:spacing w:before="157" w:beforeLines="50" w:after="157" w:afterLines="50"/>
        <w:jc w:val="center"/>
        <w:rPr>
          <w:rFonts w:hint="default" w:ascii="黑体" w:hAnsi="黑体" w:eastAsia="黑体"/>
          <w:lang w:val="en-US" w:eastAsia="zh-CN"/>
        </w:rPr>
      </w:pPr>
      <w:r>
        <w:rPr>
          <w:rFonts w:hint="default" w:ascii="黑体" w:hAnsi="黑体" w:eastAsia="黑体"/>
          <w:lang w:val="en-US" w:eastAsia="zh-CN"/>
        </w:rPr>
        <w:t>标准试验验证数据</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widowControl/>
              <w:suppressLineNumbers w:val="0"/>
              <w:spacing w:before="0" w:beforeAutospacing="0" w:after="0" w:afterAutospacing="0"/>
              <w:ind w:left="0" w:right="0"/>
              <w:jc w:val="left"/>
              <w:rPr>
                <w:rFonts w:hint="default"/>
                <w:sz w:val="21"/>
                <w:szCs w:val="21"/>
              </w:rPr>
            </w:pPr>
            <w:r>
              <w:rPr>
                <w:rFonts w:hint="default"/>
              </w:rPr>
              <w:br w:type="page"/>
            </w:r>
            <w:r>
              <w:rPr>
                <w:rFonts w:hint="default"/>
                <w:sz w:val="21"/>
                <w:szCs w:val="21"/>
              </w:rPr>
              <w:t>假人</w:t>
            </w:r>
            <w:r>
              <w:rPr>
                <w:rFonts w:hint="eastAsia"/>
                <w:sz w:val="21"/>
                <w:szCs w:val="21"/>
              </w:rPr>
              <w:t>：</w:t>
            </w:r>
            <w:r>
              <w:rPr>
                <w:rFonts w:hint="default"/>
                <w:sz w:val="21"/>
                <w:szCs w:val="21"/>
              </w:rPr>
              <w:t>Q0</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w:t>
            </w:r>
            <w:r>
              <w:rPr>
                <w:rFonts w:hint="eastAsia"/>
                <w:sz w:val="21"/>
                <w:szCs w:val="21"/>
              </w:rPr>
              <w:t>：</w:t>
            </w:r>
            <w:r>
              <w:rPr>
                <w:rFonts w:hint="default"/>
                <w:sz w:val="21"/>
                <w:szCs w:val="21"/>
              </w:rPr>
              <w:t>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w:t>
            </w:r>
            <w:r>
              <w:rPr>
                <w:rFonts w:hint="eastAsia"/>
                <w:sz w:val="21"/>
                <w:szCs w:val="21"/>
              </w:rPr>
              <w:t>：</w:t>
            </w:r>
            <w:r>
              <w:rPr>
                <w:rFonts w:hint="default"/>
                <w:sz w:val="21"/>
                <w:szCs w:val="21"/>
              </w:rPr>
              <w:t>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eastAsia"/>
                <w:sz w:val="24"/>
              </w:rPr>
              <w:t>——</w:t>
            </w: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假人：Q1</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rPr>
              <w:drawing>
                <wp:inline distT="0" distB="0" distL="0" distR="0">
                  <wp:extent cx="2889885" cy="2176145"/>
                  <wp:effectExtent l="0" t="0" r="571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rPr>
              <w:drawing>
                <wp:inline distT="0" distB="0" distL="0" distR="0">
                  <wp:extent cx="2889885" cy="2176145"/>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rPr>
              <w:drawing>
                <wp:inline distT="0" distB="0" distL="0" distR="0">
                  <wp:extent cx="2889885" cy="2170430"/>
                  <wp:effectExtent l="0" t="0" r="571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eastAsia"/>
                <w:sz w:val="24"/>
              </w:rPr>
              <w:t>——</w:t>
            </w: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rPr>
              <w:drawing>
                <wp:inline distT="0" distB="0" distL="0" distR="0">
                  <wp:extent cx="2889885" cy="2176145"/>
                  <wp:effectExtent l="0" t="0" r="571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rPr>
              <w:drawing>
                <wp:inline distT="0" distB="0" distL="0" distR="0">
                  <wp:extent cx="2889885" cy="2176145"/>
                  <wp:effectExtent l="0" t="0" r="571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假人：Q1.5</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6145"/>
                  <wp:effectExtent l="0" t="0" r="571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6145"/>
                  <wp:effectExtent l="0" t="0" r="5715"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6145"/>
                  <wp:effectExtent l="0" t="0" r="571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6145"/>
                  <wp:effectExtent l="0" t="0" r="5715"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6145"/>
                  <wp:effectExtent l="0" t="0" r="571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89885" cy="217614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假人：Q1.5</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安装方向：前向安装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假人：Q3</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89885" cy="2170430"/>
                  <wp:effectExtent l="0" t="0" r="571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89885" cy="2170430"/>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假人：Q3</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安装方向：前向安装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假人：Q10</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安装方向：前向安装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碰撞形式：正</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假人：Q0</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碰撞形式：后</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eastAsia"/>
                <w:sz w:val="24"/>
              </w:rPr>
              <w:t>——</w:t>
            </w: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假人：Q1</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碰撞形式：后</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2" w:hRule="atLeast"/>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eastAsia"/>
                <w:sz w:val="24"/>
              </w:rPr>
              <w:t>——</w:t>
            </w: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47340" cy="2304415"/>
                  <wp:effectExtent l="0" t="0" r="1016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847340"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w:t>
            </w:r>
            <w:r>
              <w:rPr>
                <w:rFonts w:hint="eastAsia"/>
                <w:sz w:val="21"/>
                <w:szCs w:val="21"/>
              </w:rPr>
              <w:t>：</w:t>
            </w:r>
            <w:r>
              <w:rPr>
                <w:rFonts w:hint="default"/>
                <w:sz w:val="21"/>
                <w:szCs w:val="21"/>
              </w:rPr>
              <w:t>Q1.5</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w:t>
            </w:r>
            <w:r>
              <w:rPr>
                <w:rFonts w:hint="eastAsia"/>
                <w:sz w:val="21"/>
                <w:szCs w:val="21"/>
              </w:rPr>
              <w:t>：</w:t>
            </w:r>
            <w:r>
              <w:rPr>
                <w:rFonts w:hint="default"/>
                <w:sz w:val="21"/>
                <w:szCs w:val="21"/>
              </w:rPr>
              <w:t>后向安装</w:t>
            </w:r>
          </w:p>
          <w:p>
            <w:pPr>
              <w:keepNext w:val="0"/>
              <w:keepLines w:val="0"/>
              <w:suppressLineNumbers w:val="0"/>
              <w:spacing w:before="0" w:beforeAutospacing="0" w:after="0" w:afterAutospacing="0"/>
              <w:ind w:left="0" w:right="0"/>
              <w:jc w:val="left"/>
              <w:rPr>
                <w:rFonts w:hint="default"/>
                <w:sz w:val="24"/>
              </w:rPr>
            </w:pPr>
            <w:r>
              <w:rPr>
                <w:rFonts w:hint="default"/>
                <w:sz w:val="21"/>
                <w:szCs w:val="21"/>
              </w:rPr>
              <w:t>碰撞形式</w:t>
            </w:r>
            <w:r>
              <w:rPr>
                <w:rFonts w:hint="eastAsia"/>
                <w:sz w:val="21"/>
                <w:szCs w:val="21"/>
              </w:rPr>
              <w:t>：</w:t>
            </w:r>
            <w:r>
              <w:rPr>
                <w:rFonts w:hint="default"/>
                <w:sz w:val="21"/>
                <w:szCs w:val="21"/>
              </w:rPr>
              <w:t>后</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2"/>
            <w:vAlign w:val="bottom"/>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假人</w:t>
            </w:r>
            <w:r>
              <w:rPr>
                <w:rFonts w:hint="eastAsia"/>
                <w:sz w:val="21"/>
                <w:szCs w:val="21"/>
              </w:rPr>
              <w:t>：</w:t>
            </w:r>
            <w:r>
              <w:rPr>
                <w:rFonts w:hint="default"/>
                <w:sz w:val="21"/>
                <w:szCs w:val="21"/>
              </w:rPr>
              <w:t>Q3</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安装方向</w:t>
            </w:r>
            <w:r>
              <w:rPr>
                <w:rFonts w:hint="eastAsia"/>
                <w:sz w:val="21"/>
                <w:szCs w:val="21"/>
              </w:rPr>
              <w:t>：</w:t>
            </w:r>
            <w:r>
              <w:rPr>
                <w:rFonts w:hint="default"/>
                <w:sz w:val="21"/>
                <w:szCs w:val="21"/>
              </w:rPr>
              <w:t>后向安装</w:t>
            </w:r>
          </w:p>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碰撞形式</w:t>
            </w:r>
            <w:r>
              <w:rPr>
                <w:rFonts w:hint="eastAsia"/>
                <w:sz w:val="21"/>
                <w:szCs w:val="21"/>
              </w:rPr>
              <w:t>：</w:t>
            </w:r>
            <w:r>
              <w:rPr>
                <w:rFonts w:hint="default"/>
                <w:sz w:val="21"/>
                <w:szCs w:val="21"/>
              </w:rPr>
              <w:t>后</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胸部3ms加速度</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腹部压强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头部移动量X</w:t>
            </w:r>
          </w:p>
        </w:tc>
        <w:tc>
          <w:tcPr>
            <w:tcW w:w="481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头部移动量Z</w:t>
            </w:r>
          </w:p>
        </w:tc>
      </w:tr>
    </w:tbl>
    <w:p/>
    <w:p>
      <w:pPr>
        <w:widowControl/>
        <w:jc w:val="left"/>
      </w:pPr>
      <w:r>
        <w:br w:type="page"/>
      </w:r>
    </w:p>
    <w:tbl>
      <w:tblPr>
        <w:tblStyle w:val="17"/>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4716"/>
        <w:gridCol w:w="4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2" w:type="dxa"/>
            <w:gridSpan w:val="3"/>
          </w:tcPr>
          <w:p>
            <w:pPr>
              <w:keepNext w:val="0"/>
              <w:keepLines w:val="0"/>
              <w:suppressLineNumbers w:val="0"/>
              <w:spacing w:before="0" w:beforeAutospacing="0" w:after="0" w:afterAutospacing="0"/>
              <w:ind w:left="0" w:right="0"/>
              <w:jc w:val="left"/>
              <w:rPr>
                <w:rFonts w:hint="default"/>
                <w:sz w:val="21"/>
                <w:szCs w:val="21"/>
              </w:rPr>
            </w:pPr>
            <w:r>
              <w:rPr>
                <w:rFonts w:hint="default"/>
                <w:sz w:val="21"/>
                <w:szCs w:val="21"/>
              </w:rPr>
              <w:t>碰撞形式</w:t>
            </w:r>
            <w:r>
              <w:rPr>
                <w:rFonts w:hint="eastAsia"/>
                <w:sz w:val="21"/>
                <w:szCs w:val="21"/>
              </w:rPr>
              <w:t>：</w:t>
            </w:r>
            <w:r>
              <w:rPr>
                <w:rFonts w:hint="default"/>
                <w:sz w:val="21"/>
                <w:szCs w:val="21"/>
              </w:rPr>
              <w:t>侧</w:t>
            </w:r>
            <w:r>
              <w:rPr>
                <w:rFonts w:hint="eastAsia"/>
                <w:sz w:val="21"/>
                <w:szCs w:val="21"/>
                <w:lang w:val="en-US" w:eastAsia="zh-CN"/>
              </w:rPr>
              <w:t>面碰撞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lang w:val="en-US" w:eastAsia="zh-CN"/>
              </w:rPr>
              <w:t>假人：</w:t>
            </w:r>
            <w:r>
              <w:rPr>
                <w:rFonts w:hint="eastAsia" w:ascii="宋体" w:hAnsi="宋体" w:cs="宋体"/>
                <w:sz w:val="21"/>
                <w:szCs w:val="21"/>
              </w:rPr>
              <w:t>Q0</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Q1</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Q1.5</w:t>
            </w:r>
          </w:p>
        </w:tc>
        <w:tc>
          <w:tcPr>
            <w:tcW w:w="464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头部HIC</w:t>
            </w:r>
          </w:p>
        </w:tc>
        <w:tc>
          <w:tcPr>
            <w:tcW w:w="4649" w:type="dxa"/>
            <w:vAlign w:val="bottom"/>
          </w:tcPr>
          <w:p>
            <w:pPr>
              <w:keepNext w:val="0"/>
              <w:keepLines w:val="0"/>
              <w:suppressLineNumbers w:val="0"/>
              <w:spacing w:before="0" w:beforeAutospacing="0" w:after="0" w:afterAutospacing="0"/>
              <w:ind w:left="0" w:right="0"/>
              <w:jc w:val="center"/>
              <w:rPr>
                <w:rFonts w:hint="default"/>
                <w:sz w:val="24"/>
              </w:rPr>
            </w:pPr>
            <w:r>
              <w:rPr>
                <w:rFonts w:hint="default"/>
                <w:sz w:val="24"/>
              </w:rPr>
              <w:drawing>
                <wp:inline distT="0" distB="0" distL="0" distR="0">
                  <wp:extent cx="2853055" cy="2304415"/>
                  <wp:effectExtent l="0" t="0" r="4445" b="698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4"/>
              </w:rPr>
            </w:pPr>
            <w:r>
              <w:rPr>
                <w:rFonts w:hint="eastAsia" w:ascii="黑体" w:hAnsi="黑体" w:eastAsia="黑体" w:cs="黑体"/>
                <w:sz w:val="21"/>
                <w:szCs w:val="21"/>
              </w:rPr>
              <w:t>头部3ms加速度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lang w:val="en-US" w:eastAsia="zh-CN"/>
              </w:rPr>
              <w:t>假人：</w:t>
            </w:r>
            <w:r>
              <w:rPr>
                <w:rFonts w:hint="eastAsia" w:ascii="宋体" w:hAnsi="宋体" w:cs="宋体"/>
                <w:sz w:val="21"/>
                <w:szCs w:val="21"/>
              </w:rPr>
              <w:t>Q3</w:t>
            </w:r>
          </w:p>
          <w:p>
            <w:pPr>
              <w:keepNext w:val="0"/>
              <w:keepLines w:val="0"/>
              <w:suppressLineNumbers w:val="0"/>
              <w:spacing w:before="0" w:beforeAutospacing="0" w:after="0" w:afterAutospacing="0"/>
              <w:ind w:left="0" w:right="0"/>
              <w:rPr>
                <w:rFonts w:hint="default"/>
                <w:sz w:val="21"/>
                <w:szCs w:val="21"/>
              </w:rPr>
            </w:pPr>
            <w:r>
              <w:rPr>
                <w:rFonts w:hint="eastAsia" w:ascii="宋体" w:hAnsi="宋体" w:cs="宋体"/>
                <w:sz w:val="21"/>
                <w:szCs w:val="21"/>
              </w:rPr>
              <w:t>Q6</w:t>
            </w:r>
          </w:p>
        </w:tc>
        <w:tc>
          <w:tcPr>
            <w:tcW w:w="4649" w:type="dxa"/>
            <w:vAlign w:val="bottom"/>
          </w:tcPr>
          <w:p>
            <w:pPr>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drawing>
                <wp:inline distT="0" distB="0" distL="0" distR="0">
                  <wp:extent cx="2853055" cy="2304415"/>
                  <wp:effectExtent l="0" t="0" r="4445" b="698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1"/>
                <w:szCs w:val="21"/>
              </w:rPr>
            </w:pPr>
            <w:r>
              <w:rPr>
                <w:rFonts w:hint="eastAsia" w:ascii="黑体" w:hAnsi="黑体" w:eastAsia="黑体" w:cs="黑体"/>
                <w:sz w:val="21"/>
                <w:szCs w:val="21"/>
              </w:rPr>
              <w:t>头部HIC</w:t>
            </w:r>
          </w:p>
        </w:tc>
        <w:tc>
          <w:tcPr>
            <w:tcW w:w="4649" w:type="dxa"/>
            <w:vAlign w:val="bottom"/>
          </w:tcPr>
          <w:p>
            <w:pPr>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drawing>
                <wp:inline distT="0" distB="0" distL="0" distR="0">
                  <wp:extent cx="2853055" cy="2304415"/>
                  <wp:effectExtent l="0" t="0" r="4445"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853055" cy="2304415"/>
                          </a:xfrm>
                          <a:prstGeom prst="rect">
                            <a:avLst/>
                          </a:prstGeom>
                          <a:noFill/>
                        </pic:spPr>
                      </pic:pic>
                    </a:graphicData>
                  </a:graphic>
                </wp:inline>
              </w:drawing>
            </w:r>
          </w:p>
          <w:p>
            <w:pPr>
              <w:keepNext w:val="0"/>
              <w:keepLines w:val="0"/>
              <w:suppressLineNumbers w:val="0"/>
              <w:spacing w:before="0" w:beforeAutospacing="0" w:after="0" w:afterAutospacing="0"/>
              <w:ind w:left="0" w:right="0"/>
              <w:jc w:val="center"/>
              <w:rPr>
                <w:rFonts w:hint="default"/>
                <w:sz w:val="21"/>
                <w:szCs w:val="21"/>
              </w:rPr>
            </w:pPr>
            <w:r>
              <w:rPr>
                <w:rFonts w:hint="eastAsia" w:ascii="黑体" w:hAnsi="黑体" w:eastAsia="黑体" w:cs="黑体"/>
                <w:sz w:val="21"/>
                <w:szCs w:val="21"/>
              </w:rPr>
              <w:t>头部3ms加速度</w:t>
            </w:r>
          </w:p>
        </w:tc>
      </w:tr>
    </w:tbl>
    <w:p/>
    <w:p>
      <w:pPr>
        <w:widowControl/>
        <w:jc w:val="left"/>
      </w:pPr>
    </w:p>
    <w:p>
      <w:pPr>
        <w:widowControl/>
        <w:jc w:val="left"/>
      </w:pPr>
    </w:p>
    <w:p>
      <w:r>
        <w:br w:type="page"/>
      </w:r>
    </w:p>
    <w:p>
      <w:pPr>
        <w:pStyle w:val="39"/>
        <w:widowControl/>
        <w:numPr>
          <w:ilvl w:val="0"/>
          <w:numId w:val="0"/>
        </w:numPr>
        <w:snapToGrid w:val="0"/>
        <w:spacing w:before="120" w:beforeLines="50" w:beforeAutospacing="0" w:after="120" w:afterLines="50" w:afterAutospacing="0"/>
        <w:ind w:left="0" w:right="0"/>
        <w:jc w:val="left"/>
        <w:rPr>
          <w:rFonts w:hint="eastAsia"/>
          <w:strike w:val="0"/>
          <w:dstrike w:val="0"/>
          <w:lang w:val="en-US" w:eastAsia="zh-CN"/>
        </w:rPr>
      </w:pPr>
      <w:bookmarkStart w:id="57" w:name="_Toc36038811"/>
      <w:r>
        <w:rPr>
          <w:strike w:val="0"/>
          <w:dstrike w:val="0"/>
          <w:lang w:val="en-US" w:eastAsia="zh-CN"/>
        </w:rPr>
        <w:t>附</w:t>
      </w:r>
      <w:bookmarkEnd w:id="57"/>
      <w:r>
        <w:rPr>
          <w:rFonts w:hint="eastAsia"/>
          <w:strike w:val="0"/>
          <w:dstrike w:val="0"/>
          <w:lang w:val="en-US" w:eastAsia="zh-CN"/>
        </w:rPr>
        <w:t>件二</w:t>
      </w:r>
    </w:p>
    <w:p>
      <w:pPr>
        <w:pStyle w:val="39"/>
        <w:widowControl/>
        <w:numPr>
          <w:ilvl w:val="0"/>
          <w:numId w:val="0"/>
        </w:numPr>
        <w:snapToGrid w:val="0"/>
        <w:spacing w:before="120" w:beforeLines="50" w:beforeAutospacing="0" w:after="120" w:afterLines="50" w:afterAutospacing="0"/>
        <w:ind w:left="0" w:right="0"/>
        <w:jc w:val="center"/>
        <w:rPr>
          <w:strike w:val="0"/>
          <w:dstrike w:val="0"/>
          <w:lang w:val="en-US"/>
        </w:rPr>
      </w:pPr>
      <w:bookmarkStart w:id="58" w:name="_Toc35936529"/>
      <w:bookmarkStart w:id="59" w:name="_Toc36038813"/>
      <w:r>
        <w:rPr>
          <w:strike w:val="0"/>
          <w:dstrike w:val="0"/>
          <w:lang w:val="en-US" w:eastAsia="zh-CN"/>
        </w:rPr>
        <w:t>本</w:t>
      </w:r>
      <w:r>
        <w:rPr>
          <w:rFonts w:hint="eastAsia"/>
          <w:strike w:val="0"/>
          <w:dstrike w:val="0"/>
          <w:lang w:val="en-US" w:eastAsia="zh-CN"/>
        </w:rPr>
        <w:t>标准</w:t>
      </w:r>
      <w:r>
        <w:rPr>
          <w:strike w:val="0"/>
          <w:dstrike w:val="0"/>
          <w:lang w:val="en-US" w:eastAsia="zh-CN"/>
        </w:rPr>
        <w:t>章条编号与</w:t>
      </w:r>
      <w:r>
        <w:rPr>
          <w:strike w:val="0"/>
          <w:dstrike w:val="0"/>
          <w:lang w:val="en-US"/>
        </w:rPr>
        <w:t>UN R129</w:t>
      </w:r>
      <w:r>
        <w:rPr>
          <w:strike w:val="0"/>
          <w:dstrike w:val="0"/>
          <w:lang w:val="en-US" w:eastAsia="zh-CN"/>
        </w:rPr>
        <w:t>相比的结构变化情况</w:t>
      </w:r>
      <w:bookmarkEnd w:id="58"/>
      <w:bookmarkEnd w:id="59"/>
    </w:p>
    <w:p>
      <w:pPr>
        <w:keepNext w:val="0"/>
        <w:keepLines w:val="0"/>
        <w:widowControl w:val="0"/>
        <w:suppressLineNumbers w:val="0"/>
        <w:spacing w:before="0" w:beforeAutospacing="0" w:after="0" w:afterAutospacing="0" w:line="264" w:lineRule="auto"/>
        <w:ind w:left="0" w:right="0" w:firstLine="403"/>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本</w:t>
      </w:r>
      <w:r>
        <w:rPr>
          <w:rFonts w:hint="eastAsia" w:ascii="宋体" w:hAnsi="宋体" w:cs="宋体"/>
          <w:kern w:val="2"/>
          <w:sz w:val="21"/>
          <w:szCs w:val="21"/>
          <w:lang w:val="en-US" w:eastAsia="zh-CN" w:bidi="ar"/>
        </w:rPr>
        <w:t>标准</w:t>
      </w:r>
      <w:r>
        <w:rPr>
          <w:rFonts w:hint="eastAsia" w:ascii="宋体" w:hAnsi="宋体" w:eastAsia="宋体" w:cs="宋体"/>
          <w:kern w:val="2"/>
          <w:sz w:val="21"/>
          <w:szCs w:val="21"/>
          <w:lang w:val="en-US" w:eastAsia="zh-CN" w:bidi="ar"/>
        </w:rPr>
        <w:t>与UN R129相比在结构上有一些调整，具体章条编号对照情况见表</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120" w:beforeLines="50" w:beforeAutospacing="0" w:after="120" w:afterLines="50" w:afterAutospacing="0"/>
        <w:ind w:left="0" w:right="0" w:firstLine="403"/>
        <w:jc w:val="center"/>
        <w:rPr>
          <w:rFonts w:hint="eastAsia" w:ascii="黑体" w:hAnsi="宋体" w:eastAsia="黑体" w:cs="黑体"/>
          <w:kern w:val="2"/>
          <w:sz w:val="21"/>
          <w:szCs w:val="21"/>
          <w:lang w:val="en-US" w:eastAsia="zh-CN" w:bidi="ar"/>
        </w:rPr>
      </w:pPr>
      <w:r>
        <w:rPr>
          <w:rFonts w:hint="eastAsia" w:ascii="黑体" w:hAnsi="宋体" w:eastAsia="黑体" w:cs="黑体"/>
          <w:kern w:val="2"/>
          <w:sz w:val="21"/>
          <w:szCs w:val="21"/>
          <w:lang w:val="en-US" w:eastAsia="zh-CN" w:bidi="ar"/>
        </w:rPr>
        <w:t>表5  本文件与UN R129的章条编号对照</w:t>
      </w:r>
    </w:p>
    <w:tbl>
      <w:tblPr>
        <w:tblStyle w:val="16"/>
        <w:tblW w:w="88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0"/>
        <w:gridCol w:w="2094"/>
        <w:gridCol w:w="4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GB27887章条编号</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UN R129章条编号</w:t>
            </w:r>
          </w:p>
        </w:tc>
        <w:tc>
          <w:tcPr>
            <w:tcW w:w="4665" w:type="dxa"/>
            <w:noWrap w:val="0"/>
            <w:vAlign w:val="center"/>
          </w:tcPr>
          <w:p>
            <w:pPr>
              <w:keepNext w:val="0"/>
              <w:keepLines w:val="0"/>
              <w:suppressLineNumbers w:val="0"/>
              <w:spacing w:before="0" w:beforeAutospacing="0" w:after="0" w:afterAutospacing="0" w:line="160" w:lineRule="atLeast"/>
              <w:ind w:left="0" w:right="0"/>
              <w:jc w:val="center"/>
              <w:rPr>
                <w:rFonts w:hint="eastAsia" w:ascii="宋体" w:hAnsi="宋体" w:eastAsia="宋体" w:cs="宋体"/>
                <w:b/>
                <w:bCs/>
                <w:color w:val="000000"/>
                <w:sz w:val="21"/>
                <w:szCs w:val="21"/>
              </w:rPr>
            </w:pPr>
            <w:r>
              <w:rPr>
                <w:rFonts w:hint="eastAsia" w:ascii="宋体" w:hAnsi="宋体" w:cs="宋体"/>
                <w:kern w:val="2"/>
                <w:sz w:val="21"/>
                <w:szCs w:val="21"/>
                <w:lang w:val="en-US" w:eastAsia="zh-CN" w:bidi="ar"/>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按GB/T 1.1的规定增加规范性引用文件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术语和定义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儿童约束系统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rPr>
            </w:pPr>
            <w:r>
              <w:rPr>
                <w:rFonts w:hint="eastAsia" w:ascii="宋体" w:hAnsi="宋体" w:cs="宋体"/>
                <w:sz w:val="21"/>
                <w:szCs w:val="21"/>
                <w:lang w:val="en-US" w:eastAsia="zh-CN"/>
              </w:rPr>
              <w:t>儿童约束系统同一型式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整体式和非整体式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ISOFIX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2.59</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内置式儿童约束系统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eastAsia" w:ascii="宋体" w:hAnsi="宋体" w:eastAsia="宋体" w:cs="宋体"/>
                <w:sz w:val="21"/>
                <w:szCs w:val="21"/>
                <w:lang w:val="en-US" w:eastAsia="zh-CN"/>
              </w:rPr>
            </w:pPr>
            <w:r>
              <w:rPr>
                <w:rFonts w:hint="eastAsia" w:ascii="宋体" w:hAnsi="宋体" w:cs="宋体"/>
                <w:sz w:val="21"/>
                <w:szCs w:val="21"/>
                <w:lang w:val="en-US" w:eastAsia="zh-CN"/>
              </w:rPr>
              <w:t>通用儿童约束系统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3.7.1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eastAsia" w:ascii="宋体" w:hAnsi="宋体" w:eastAsia="宋体" w:cs="宋体"/>
                <w:sz w:val="21"/>
                <w:szCs w:val="21"/>
                <w:lang w:val="en-GB"/>
              </w:rPr>
            </w:pPr>
            <w:r>
              <w:rPr>
                <w:rFonts w:hint="eastAsia" w:ascii="宋体" w:hAnsi="宋体" w:eastAsia="宋体" w:cs="宋体"/>
                <w:sz w:val="21"/>
                <w:szCs w:val="21"/>
              </w:rPr>
              <w:t>整体</w:t>
            </w:r>
            <w:r>
              <w:rPr>
                <w:rFonts w:hint="eastAsia" w:ascii="宋体" w:hAnsi="宋体" w:cs="宋体"/>
                <w:sz w:val="21"/>
                <w:szCs w:val="21"/>
                <w:lang w:val="en-US" w:eastAsia="zh-CN"/>
              </w:rPr>
              <w:t>式</w:t>
            </w:r>
            <w:r>
              <w:rPr>
                <w:rFonts w:hint="eastAsia" w:ascii="宋体" w:hAnsi="宋体" w:eastAsia="宋体" w:cs="宋体"/>
                <w:sz w:val="21"/>
                <w:szCs w:val="21"/>
              </w:rPr>
              <w:t>通用ISOFIX</w:t>
            </w:r>
            <w:r>
              <w:rPr>
                <w:rFonts w:hint="eastAsia" w:ascii="宋体" w:hAnsi="宋体" w:cs="宋体"/>
                <w:sz w:val="21"/>
                <w:szCs w:val="21"/>
                <w:lang w:val="en-US" w:eastAsia="zh-CN"/>
              </w:rPr>
              <w:t>儿童约束系统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2.7</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特殊车型用儿童约束系统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3.8</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2.8</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尺寸范围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3.9</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2.9</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安装方向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3.10</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2.10</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特殊需要约束系统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2.11</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ISOFIX固定点系统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2.12</w:t>
            </w:r>
          </w:p>
        </w:tc>
        <w:tc>
          <w:tcPr>
            <w:tcW w:w="4665" w:type="dxa"/>
            <w:noWrap w:val="0"/>
            <w:vAlign w:val="center"/>
          </w:tcPr>
          <w:p>
            <w:pPr>
              <w:keepNext w:val="0"/>
              <w:keepLines w:val="0"/>
              <w:suppressLineNumbers w:val="0"/>
              <w:spacing w:before="0" w:beforeAutospacing="0" w:after="0" w:afterAutospacing="0" w:line="160" w:lineRule="atLeast"/>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抗翻转装置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2.13</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ISOFIX上拉带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2.14</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张力释放装置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2.15</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支撑腿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2.16</w:t>
            </w:r>
          </w:p>
        </w:tc>
        <w:tc>
          <w:tcPr>
            <w:tcW w:w="4665" w:type="dxa"/>
            <w:noWrap w:val="0"/>
            <w:vAlign w:val="center"/>
          </w:tcPr>
          <w:p>
            <w:pPr>
              <w:keepNext w:val="0"/>
              <w:keepLines w:val="0"/>
              <w:widowControl w:val="0"/>
              <w:suppressLineNumbers w:val="0"/>
              <w:tabs>
                <w:tab w:val="left" w:pos="983"/>
              </w:tabs>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sz w:val="21"/>
                <w:szCs w:val="21"/>
                <w:lang w:val="en-US" w:eastAsia="zh-CN"/>
              </w:rPr>
              <w:t>儿童约束固定模块（CRF）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2.17</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车辆座位检具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3.18</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2.18</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儿童安全座椅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3.18.1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2.19</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座椅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3.18.2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2.20</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座椅支撑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3.19</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2.21</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儿童约束带系统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3.20</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2.22</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儿童全背带式约束带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2.23</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Y字形带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2.24</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便携床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2.25</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便携床约束装置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2.26</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婴儿提篮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2.27</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儿童支撑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2.28</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碰撞防护装置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2.29</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织带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3.28</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2.33</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儿童约束带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3.29</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2.30</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腰部约束带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3.30</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2.31</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肩部约束带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2.32</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跨部约束带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2.34</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带扣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3.32.1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2.35</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封闭式带扣解锁按钮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3.32.2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2.36</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非封闭式带扣解锁按钮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2.37</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调节装置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2.38</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快速调节器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2.39</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直接安装在儿童约束系统上的调节器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2.40</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rightChars="0" w:firstLine="0" w:firstLine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吸能装置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2.41</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rightChars="0" w:firstLine="0" w:firstLine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卷收器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2.55</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肩带定位器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3.38</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2.62</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衬垫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3.39</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2.42</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倾斜位置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3.40</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2.43</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睡姿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儿童约束系统位移系统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儿童约束系统锁止系统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限制载荷装置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2.56</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安全带锁止装置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2.57</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2.58</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基座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2.60</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安全带路径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3.48</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2.61</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织带通过区域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3.49</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6.3.1.2</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复合材料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3.50</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2.44</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2.45</w:t>
            </w:r>
          </w:p>
        </w:tc>
        <w:tc>
          <w:tcPr>
            <w:tcW w:w="4665"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座椅同一型式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2.46</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车辆座椅调节器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3.53</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2.47</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车辆座椅固定点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2.48</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车辆座椅移位系统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3.55</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2.49</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车辆座椅锁止系统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3.56</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2.50</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座椅分缝线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3.57</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2.51</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儿童约束系统座位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2.52</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型号认可测试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2.53</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生产合格性测试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2.54</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生产符合性测试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认证批准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5</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认证批准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4.1</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6.1</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在车辆上的安装位置及固定方式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4.2</w:t>
            </w:r>
          </w:p>
        </w:tc>
        <w:tc>
          <w:tcPr>
            <w:tcW w:w="2094" w:type="dxa"/>
            <w:noWrap w:val="0"/>
            <w:vAlign w:val="center"/>
          </w:tcPr>
          <w:p>
            <w:pPr>
              <w:keepNext w:val="0"/>
              <w:keepLines w:val="0"/>
              <w:widowControl w:val="0"/>
              <w:suppressLineNumbers w:val="0"/>
              <w:spacing w:before="0" w:beforeAutospacing="0" w:after="0" w:afterAutospacing="0" w:line="264" w:lineRule="auto"/>
              <w:ind w:left="0" w:leftChars="0" w:right="0" w:firstLine="0" w:firstLine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6.2</w:t>
            </w:r>
          </w:p>
        </w:tc>
        <w:tc>
          <w:tcPr>
            <w:tcW w:w="4665" w:type="dxa"/>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4.3</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6.3</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儿童约束系统性能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6.4</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标志的检查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6.5</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安装说明和使用说明的检查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5</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性能要求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5.1</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6.6</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约束系统总成的规定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5.2</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6.7</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适用于约束系统组成部件的规定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6.1</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7.1</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约束系统总成试验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6.2</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7.2</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部件的试验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6.3</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7.3</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试验座垫的标定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6.4</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rPr>
              <w:t>7.</w:t>
            </w:r>
            <w:r>
              <w:rPr>
                <w:rFonts w:hint="eastAsia" w:ascii="宋体" w:hAnsi="宋体" w:eastAsia="宋体" w:cs="宋体"/>
                <w:sz w:val="21"/>
                <w:szCs w:val="21"/>
                <w:lang w:val="en-US" w:eastAsia="zh-CN"/>
              </w:rPr>
              <w:t>4</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4"/>
                <w:lang w:val="en-US" w:eastAsia="zh-CN" w:bidi="ar"/>
              </w:rPr>
              <w:t>动态过程的记录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6.5</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7.5</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电测量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7</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8</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 xml:space="preserve">试验报告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8</w:t>
            </w:r>
          </w:p>
        </w:tc>
        <w:tc>
          <w:tcPr>
            <w:tcW w:w="2094"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4</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9</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产品质量控制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w:t>
            </w:r>
          </w:p>
        </w:tc>
        <w:tc>
          <w:tcPr>
            <w:tcW w:w="2094" w:type="dxa"/>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10</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产品一致性及运行管理试验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w:t>
            </w:r>
          </w:p>
        </w:tc>
        <w:tc>
          <w:tcPr>
            <w:tcW w:w="2094" w:type="dxa"/>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11</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儿童约束系统的认证、扩展及修订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w:t>
            </w:r>
          </w:p>
        </w:tc>
        <w:tc>
          <w:tcPr>
            <w:tcW w:w="2094" w:type="dxa"/>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12</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产品不一致的处罚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w:t>
            </w:r>
          </w:p>
        </w:tc>
        <w:tc>
          <w:tcPr>
            <w:tcW w:w="2094" w:type="dxa"/>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13</w:t>
            </w:r>
          </w:p>
        </w:tc>
        <w:tc>
          <w:tcPr>
            <w:tcW w:w="4665" w:type="dxa"/>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产品的停用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9</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14</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说明指导文件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15</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认证机构和认证检测机构的名称及地址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rPr>
            </w:pPr>
            <w:r>
              <w:rPr>
                <w:rFonts w:hint="eastAsia" w:ascii="宋体" w:hAnsi="宋体" w:eastAsia="宋体" w:cs="宋体"/>
                <w:sz w:val="21"/>
                <w:szCs w:val="21"/>
                <w:lang w:val="en-US"/>
              </w:rPr>
              <w:t>10</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过渡期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shd w:val="clear" w:color="auto" w:fill="auto"/>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附件1</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94" w:type="dxa"/>
            <w:shd w:val="clear" w:color="auto" w:fill="auto"/>
            <w:noWrap w:val="0"/>
            <w:vAlign w:val="top"/>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附件2</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认证标识布局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A</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附件2</w:t>
            </w:r>
            <w:r>
              <w:rPr>
                <w:rFonts w:hint="eastAsia" w:ascii="宋体" w:hAnsi="宋体" w:cs="宋体"/>
                <w:kern w:val="2"/>
                <w:sz w:val="21"/>
                <w:szCs w:val="21"/>
                <w:lang w:val="en-US" w:eastAsia="zh-CN" w:bidi="ar"/>
              </w:rPr>
              <w:t>4</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fldChar w:fldCharType="begin"/>
            </w:r>
            <w:r>
              <w:rPr>
                <w:rFonts w:hint="default" w:ascii="宋体" w:hAnsi="宋体" w:eastAsia="宋体" w:cs="宋体"/>
                <w:kern w:val="2"/>
                <w:sz w:val="21"/>
                <w:szCs w:val="21"/>
                <w:lang w:val="en-US" w:eastAsia="zh-CN" w:bidi="ar"/>
              </w:rPr>
              <w:instrText xml:space="preserve"> HYPERLINK "file:///E:/儿童约束系统/2012年新工作/标准/GB%2027887修订/征求意见初稿/机动车儿童乘员用约束系统--2022.4.18-孜附录序号.docx" \l "_Toc93872647" </w:instrText>
            </w:r>
            <w:r>
              <w:rPr>
                <w:rFonts w:hint="default" w:ascii="宋体" w:hAnsi="宋体" w:eastAsia="宋体" w:cs="宋体"/>
                <w:kern w:val="2"/>
                <w:sz w:val="21"/>
                <w:szCs w:val="21"/>
                <w:lang w:val="en-US" w:eastAsia="zh-CN" w:bidi="ar"/>
              </w:rPr>
              <w:fldChar w:fldCharType="separate"/>
            </w:r>
            <w:r>
              <w:rPr>
                <w:rFonts w:hint="eastAsia" w:ascii="宋体" w:hAnsi="宋体" w:eastAsia="宋体" w:cs="宋体"/>
                <w:kern w:val="2"/>
                <w:sz w:val="21"/>
                <w:szCs w:val="21"/>
                <w:lang w:val="en-US" w:eastAsia="zh-CN" w:bidi="ar"/>
              </w:rPr>
              <w:t>对特殊车型用安全带固定式的后向儿童约束系统的附加固定点要求</w:t>
            </w:r>
            <w:r>
              <w:rPr>
                <w:rFonts w:hint="default" w:ascii="宋体" w:hAnsi="宋体" w:eastAsia="宋体" w:cs="宋体"/>
                <w:kern w:val="2"/>
                <w:sz w:val="21"/>
                <w:szCs w:val="21"/>
                <w:lang w:val="en-US" w:eastAsia="zh-CN" w:bidi="ar"/>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B</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附件23</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标准安全带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C</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附件25</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增高垫高度测量装置及测量方法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D</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附件26</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下躯干体试验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E</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附件18</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内部几何尺寸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F</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附件19</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i-Size支撑腿尺寸评估体和支撑腿脚评估体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G</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附件13</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吸能测试方法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H</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附件14</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确定头部碰撞区域的方法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I</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附件6</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滑车的描述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附录J</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附件17</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动态试验性能指标的确定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K</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附件4</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腐蚀试验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L</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附件21</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载荷施加装置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M</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附件7</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滑车制动减速或加速的时间函数曲线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N</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附件9</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前面碰撞试验程序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O</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附件10</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后同碰撞试验程序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P</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附件8</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假人及标定程序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Q</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附件16</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带扣强度试验方法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R</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附件5</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微滑移试验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S</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附件3</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粉尘试验设备的布置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附录</w:t>
            </w:r>
            <w:r>
              <w:rPr>
                <w:rFonts w:hint="eastAsia" w:ascii="宋体" w:hAnsi="宋体" w:cs="宋体"/>
                <w:sz w:val="21"/>
                <w:szCs w:val="21"/>
                <w:lang w:val="en-US" w:eastAsia="zh-CN"/>
              </w:rPr>
              <w:t>T</w:t>
            </w:r>
          </w:p>
        </w:tc>
        <w:tc>
          <w:tcPr>
            <w:tcW w:w="2094" w:type="dxa"/>
            <w:shd w:val="clear" w:color="auto" w:fill="auto"/>
            <w:noWrap w:val="0"/>
            <w:vAlign w:val="center"/>
          </w:tcPr>
          <w:p>
            <w:pPr>
              <w:keepNext w:val="0"/>
              <w:keepLines w:val="0"/>
              <w:widowControl w:val="0"/>
              <w:suppressLineNumbers w:val="0"/>
              <w:snapToGrid w:val="0"/>
              <w:spacing w:before="19" w:beforeLines="8" w:beforeAutospacing="0" w:after="24" w:afterLines="1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附件5</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磨损试验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附录</w:t>
            </w:r>
            <w:r>
              <w:rPr>
                <w:rFonts w:hint="eastAsia" w:ascii="宋体" w:hAnsi="宋体" w:cs="宋体"/>
                <w:kern w:val="2"/>
                <w:sz w:val="21"/>
                <w:szCs w:val="21"/>
                <w:lang w:val="en-US" w:eastAsia="zh-CN" w:bidi="ar"/>
              </w:rPr>
              <w:t>U</w:t>
            </w:r>
          </w:p>
        </w:tc>
        <w:tc>
          <w:tcPr>
            <w:tcW w:w="2094" w:type="dxa"/>
            <w:shd w:val="clear" w:color="auto" w:fill="auto"/>
            <w:noWrap w:val="0"/>
            <w:vAlign w:val="center"/>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附件15</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调节装置耐久试验方法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w:t>
            </w:r>
          </w:p>
        </w:tc>
        <w:tc>
          <w:tcPr>
            <w:tcW w:w="2094" w:type="dxa"/>
            <w:shd w:val="clear" w:color="auto" w:fill="auto"/>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b/>
                <w:bCs/>
                <w:sz w:val="21"/>
                <w:szCs w:val="21"/>
              </w:rPr>
            </w:pPr>
            <w:r>
              <w:rPr>
                <w:rFonts w:hint="eastAsia" w:ascii="宋体" w:hAnsi="宋体" w:eastAsia="宋体" w:cs="宋体"/>
                <w:kern w:val="2"/>
                <w:sz w:val="21"/>
                <w:szCs w:val="21"/>
                <w:lang w:val="en-US" w:eastAsia="zh-CN" w:bidi="ar"/>
              </w:rPr>
              <w:t>附件11</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
              </w:rPr>
              <w:t>形式认证流程图（ISO 9002:2000流程图）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w:t>
            </w:r>
          </w:p>
        </w:tc>
        <w:tc>
          <w:tcPr>
            <w:tcW w:w="2094" w:type="dxa"/>
            <w:shd w:val="clear" w:color="auto" w:fill="auto"/>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center"/>
              <w:rPr>
                <w:rFonts w:hint="eastAsia" w:ascii="宋体" w:hAnsi="宋体" w:eastAsia="宋体" w:cs="宋体"/>
                <w:b/>
                <w:bCs/>
                <w:sz w:val="21"/>
                <w:szCs w:val="21"/>
              </w:rPr>
            </w:pPr>
            <w:r>
              <w:rPr>
                <w:rFonts w:hint="eastAsia" w:ascii="宋体" w:hAnsi="宋体" w:eastAsia="宋体" w:cs="宋体"/>
                <w:kern w:val="2"/>
                <w:sz w:val="21"/>
                <w:szCs w:val="21"/>
                <w:lang w:val="en-US" w:eastAsia="zh-CN" w:bidi="ar"/>
              </w:rPr>
              <w:t>附件12</w:t>
            </w:r>
          </w:p>
        </w:tc>
        <w:tc>
          <w:tcPr>
            <w:tcW w:w="4665" w:type="dxa"/>
            <w:shd w:val="clear" w:color="auto" w:fill="FFFFFF"/>
            <w:noWrap w:val="0"/>
            <w:vAlign w:val="top"/>
          </w:tcPr>
          <w:p>
            <w:pPr>
              <w:keepNext w:val="0"/>
              <w:keepLines w:val="0"/>
              <w:widowControl w:val="0"/>
              <w:suppressLineNumbers w:val="0"/>
              <w:snapToGrid w:val="0"/>
              <w:spacing w:before="24" w:beforeLines="10" w:beforeAutospacing="0" w:after="24" w:afterLines="1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
              </w:rPr>
              <w:t>形式认证流程图（ISO 9002:2000流程图）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w:t>
            </w:r>
          </w:p>
        </w:tc>
        <w:tc>
          <w:tcPr>
            <w:tcW w:w="209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kern w:val="2"/>
                <w:sz w:val="21"/>
                <w:szCs w:val="21"/>
                <w:lang w:val="en-US" w:eastAsia="zh-CN" w:bidi="ar"/>
              </w:rPr>
              <w:t>附件20</w:t>
            </w:r>
          </w:p>
        </w:tc>
        <w:tc>
          <w:tcPr>
            <w:tcW w:w="4665" w:type="dxa"/>
            <w:shd w:val="clear" w:color="auto" w:fill="FFFFFF"/>
            <w:noWrap w:val="0"/>
            <w:vAlign w:val="top"/>
          </w:tcPr>
          <w:p>
            <w:pPr>
              <w:keepNext w:val="0"/>
              <w:keepLines w:val="0"/>
              <w:suppressLineNumbers w:val="0"/>
              <w:spacing w:before="0" w:beforeAutospacing="0" w:after="0" w:afterAutospacing="0" w:line="160" w:lineRule="atLeast"/>
              <w:ind w:left="0" w:right="0"/>
              <w:rPr>
                <w:rFonts w:hint="eastAsia" w:ascii="宋体" w:hAnsi="宋体" w:eastAsia="宋体" w:cs="宋体"/>
                <w:sz w:val="21"/>
                <w:szCs w:val="21"/>
              </w:rPr>
            </w:pPr>
            <w:r>
              <w:rPr>
                <w:rFonts w:hint="eastAsia" w:ascii="宋体" w:hAnsi="宋体" w:eastAsia="宋体" w:cs="宋体"/>
                <w:kern w:val="2"/>
                <w:sz w:val="21"/>
                <w:szCs w:val="21"/>
                <w:lang w:val="en-US" w:eastAsia="zh-CN" w:bidi="ar"/>
              </w:rPr>
              <w:t>形式认证需要的最少文件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sz w:val="21"/>
                <w:szCs w:val="21"/>
                <w:lang w:eastAsia="zh-CN"/>
              </w:rPr>
            </w:pPr>
            <w:r>
              <w:rPr>
                <w:rFonts w:hint="eastAsia" w:ascii="宋体" w:hAnsi="宋体" w:cs="宋体"/>
                <w:b/>
                <w:bCs/>
                <w:sz w:val="21"/>
                <w:szCs w:val="21"/>
                <w:lang w:eastAsia="zh-CN"/>
              </w:rPr>
              <w:t>——</w:t>
            </w:r>
          </w:p>
        </w:tc>
        <w:tc>
          <w:tcPr>
            <w:tcW w:w="209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附件2</w:t>
            </w:r>
            <w:r>
              <w:rPr>
                <w:rFonts w:hint="eastAsia" w:ascii="宋体" w:hAnsi="宋体" w:cs="宋体"/>
                <w:kern w:val="2"/>
                <w:sz w:val="21"/>
                <w:szCs w:val="21"/>
                <w:lang w:val="en-US" w:eastAsia="zh-CN" w:bidi="ar"/>
              </w:rPr>
              <w:t>2</w:t>
            </w:r>
          </w:p>
        </w:tc>
        <w:tc>
          <w:tcPr>
            <w:tcW w:w="4665" w:type="dxa"/>
            <w:shd w:val="clear" w:color="auto" w:fill="FFFFFF"/>
            <w:noWrap w:val="0"/>
            <w:vAlign w:val="top"/>
          </w:tcPr>
          <w:p>
            <w:pPr>
              <w:keepNext w:val="0"/>
              <w:keepLines w:val="0"/>
              <w:suppressLineNumbers w:val="0"/>
              <w:spacing w:before="0" w:beforeAutospacing="0" w:after="0" w:afterAutospacing="0" w:line="160" w:lineRule="atLeast"/>
              <w:ind w:left="0" w:right="0"/>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内置</w:t>
            </w:r>
            <w:r>
              <w:rPr>
                <w:rFonts w:hint="eastAsia" w:ascii="宋体" w:hAnsi="宋体" w:cs="宋体"/>
                <w:kern w:val="2"/>
                <w:sz w:val="21"/>
                <w:szCs w:val="21"/>
                <w:lang w:val="en-US" w:eastAsia="zh-CN" w:bidi="ar"/>
              </w:rPr>
              <w:t>式</w:t>
            </w:r>
            <w:r>
              <w:rPr>
                <w:rFonts w:hint="eastAsia" w:ascii="宋体" w:hAnsi="宋体" w:eastAsia="宋体" w:cs="宋体"/>
                <w:kern w:val="2"/>
                <w:sz w:val="21"/>
                <w:szCs w:val="21"/>
                <w:lang w:val="en-US" w:eastAsia="zh-CN" w:bidi="ar"/>
              </w:rPr>
              <w:t>儿童约束系统的</w:t>
            </w:r>
            <w:r>
              <w:rPr>
                <w:rFonts w:hint="eastAsia" w:ascii="宋体" w:hAnsi="宋体" w:cs="宋体"/>
                <w:kern w:val="2"/>
                <w:sz w:val="21"/>
                <w:szCs w:val="21"/>
                <w:lang w:val="en-US" w:eastAsia="zh-CN" w:bidi="ar"/>
              </w:rPr>
              <w:t>燃烧特</w:t>
            </w:r>
            <w:r>
              <w:rPr>
                <w:rFonts w:hint="eastAsia" w:ascii="宋体" w:hAnsi="宋体" w:eastAsia="宋体" w:cs="宋体"/>
                <w:kern w:val="2"/>
                <w:sz w:val="21"/>
                <w:szCs w:val="21"/>
                <w:lang w:val="en-US" w:eastAsia="zh-CN" w:bidi="ar"/>
              </w:rPr>
              <w:t>性</w:t>
            </w:r>
          </w:p>
        </w:tc>
      </w:tr>
    </w:tbl>
    <w:p>
      <w:pPr>
        <w:keepNext w:val="0"/>
        <w:keepLines w:val="0"/>
        <w:widowControl w:val="0"/>
        <w:suppressLineNumbers w:val="0"/>
        <w:spacing w:before="0" w:beforeAutospacing="0" w:after="0" w:afterAutospacing="0" w:line="312" w:lineRule="auto"/>
        <w:ind w:left="0" w:right="0"/>
        <w:jc w:val="center"/>
        <w:rPr>
          <w:rFonts w:hint="default" w:ascii="Arial" w:hAnsi="Arial" w:cs="Arial"/>
          <w:kern w:val="0"/>
          <w:sz w:val="18"/>
          <w:szCs w:val="18"/>
          <w:lang w:val="en-US"/>
        </w:rPr>
      </w:pPr>
    </w:p>
    <w:p>
      <w:pPr>
        <w:widowControl/>
        <w:jc w:val="left"/>
      </w:pPr>
    </w:p>
    <w:p>
      <w:pPr>
        <w:shd w:val="clear" w:color="auto" w:fill="FFFFFF"/>
        <w:spacing w:line="360" w:lineRule="auto"/>
        <w:ind w:firstLine="420"/>
        <w:rPr>
          <w:rFonts w:hint="eastAsia" w:ascii="宋体" w:hAnsi="宋体" w:cs="宋体"/>
          <w:kern w:val="0"/>
          <w:szCs w:val="21"/>
        </w:rPr>
      </w:pPr>
    </w:p>
    <w:sectPr>
      <w:headerReference r:id="rId3" w:type="default"/>
      <w:pgSz w:w="11906" w:h="16838"/>
      <w:pgMar w:top="1247" w:right="1469" w:bottom="140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MyriadPro-Regular">
    <w:altName w:val="Segoe Print"/>
    <w:panose1 w:val="00000000000000000000"/>
    <w:charset w:val="00"/>
    <w:family w:val="auto"/>
    <w:pitch w:val="default"/>
    <w:sig w:usb0="00000000" w:usb1="00000000" w:usb2="00000000" w:usb3="00000000" w:csb0="00000000" w:csb1="00000000"/>
  </w:font>
  <w:font w:name="MyriadPro-BoldCon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274"/>
      </w:tabs>
      <w:spacing w:line="360" w:lineRule="auto"/>
      <w:jc w:val="center"/>
    </w:pPr>
    <w:r>
      <w:rPr>
        <w:rFonts w:hint="eastAsia" w:asciiTheme="minorEastAsia" w:hAnsiTheme="minorEastAsia" w:eastAsiaTheme="minorEastAsia" w:cstheme="minorEastAsia"/>
        <w:kern w:val="0"/>
        <w:sz w:val="18"/>
        <w:szCs w:val="18"/>
      </w:rPr>
      <w:t>《机动车儿童乘员用约束系统》</w:t>
    </w:r>
    <w:r>
      <w:rPr>
        <w:rFonts w:hint="eastAsia" w:asciiTheme="minorEastAsia" w:hAnsiTheme="minorEastAsia" w:eastAsiaTheme="minorEastAsia" w:cstheme="minorEastAsia"/>
        <w:kern w:val="0"/>
        <w:sz w:val="18"/>
        <w:szCs w:val="18"/>
        <w:lang w:val="en-US" w:eastAsia="zh-CN"/>
      </w:rPr>
      <w:t>（征求意见稿）</w:t>
    </w:r>
    <w:r>
      <w:rPr>
        <w:rFonts w:hint="eastAsia" w:asciiTheme="minorEastAsia" w:hAnsiTheme="minorEastAsia" w:eastAsiaTheme="minorEastAsia" w:cstheme="minorEastAsia"/>
        <w:kern w:val="0"/>
        <w:sz w:val="18"/>
        <w:szCs w:val="18"/>
      </w:rPr>
      <w:t>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8065F"/>
    <w:multiLevelType w:val="multilevel"/>
    <w:tmpl w:val="A2D8065F"/>
    <w:lvl w:ilvl="0" w:tentative="0">
      <w:start w:val="1"/>
      <w:numFmt w:val="none"/>
      <w:pStyle w:val="36"/>
      <w:suff w:val="nothing"/>
      <w:lvlText w:val="%1——"/>
      <w:lvlJc w:val="left"/>
      <w:pPr>
        <w:ind w:left="833" w:hanging="408"/>
      </w:pPr>
    </w:lvl>
    <w:lvl w:ilvl="1" w:tentative="0">
      <w:start w:val="1"/>
      <w:numFmt w:val="bullet"/>
      <w:lvlText w:val=""/>
      <w:lvlJc w:val="left"/>
      <w:pPr>
        <w:tabs>
          <w:tab w:val="left" w:pos="760"/>
        </w:tabs>
        <w:ind w:left="1264" w:hanging="413"/>
      </w:pPr>
      <w:rPr>
        <w:rFonts w:ascii="Symbol" w:hAnsi="Symbol" w:cs="Symbol"/>
        <w:color w:val="auto"/>
      </w:rPr>
    </w:lvl>
    <w:lvl w:ilvl="2" w:tentative="0">
      <w:start w:val="1"/>
      <w:numFmt w:val="bullet"/>
      <w:lvlText w:val=""/>
      <w:lvlJc w:val="left"/>
      <w:pPr>
        <w:tabs>
          <w:tab w:val="left" w:pos="1678"/>
        </w:tabs>
        <w:ind w:left="1678" w:hanging="414"/>
      </w:pPr>
      <w:rPr>
        <w:rFonts w:hint="default" w:ascii="Symbol" w:hAnsi="Symbol" w:cs="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1">
    <w:nsid w:val="E111DD7D"/>
    <w:multiLevelType w:val="multilevel"/>
    <w:tmpl w:val="E111DD7D"/>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lang w:val="en-US"/>
      </w:rPr>
    </w:lvl>
    <w:lvl w:ilvl="2" w:tentative="0">
      <w:start w:val="1"/>
      <w:numFmt w:val="decimal"/>
      <w:suff w:val="nothing"/>
      <w:lvlText w:val="%1.%2.%3　"/>
      <w:lvlJc w:val="left"/>
      <w:pPr>
        <w:ind w:left="0" w:firstLine="0"/>
      </w:pPr>
      <w:rPr>
        <w:rFonts w:hint="eastAsia" w:ascii="黑体" w:hAnsi="宋体" w:eastAsia="黑体" w:cs="黑体"/>
        <w:b w:val="0"/>
        <w:i w:val="0"/>
        <w:strike w:val="0"/>
        <w:dstrike w:val="0"/>
        <w:color w:val="000000"/>
        <w:sz w:val="21"/>
        <w:u w:val="none"/>
      </w:rPr>
    </w:lvl>
    <w:lvl w:ilvl="3" w:tentative="0">
      <w:start w:val="1"/>
      <w:numFmt w:val="decimal"/>
      <w:pStyle w:val="42"/>
      <w:suff w:val="nothing"/>
      <w:lvlText w:val="%1.%2.%3.%4　"/>
      <w:lvlJc w:val="left"/>
      <w:pPr>
        <w:ind w:left="0" w:firstLine="0"/>
      </w:pPr>
      <w:rPr>
        <w:rFonts w:hint="eastAsia" w:ascii="黑体" w:hAnsi="Times New Roman" w:eastAsia="黑体" w:cs="黑体"/>
        <w:b w:val="0"/>
        <w:i w:val="0"/>
        <w:strike w:val="0"/>
        <w:dstrike w:val="0"/>
        <w:color w:val="auto"/>
        <w:sz w:val="21"/>
        <w:u w:val="none"/>
      </w:rPr>
    </w:lvl>
    <w:lvl w:ilvl="4" w:tentative="0">
      <w:start w:val="1"/>
      <w:numFmt w:val="decimal"/>
      <w:suff w:val="nothing"/>
      <w:lvlText w:val="%1.%2.%3.%4.%5　"/>
      <w:lvlJc w:val="left"/>
      <w:pPr>
        <w:ind w:left="0" w:firstLine="0"/>
      </w:pPr>
      <w:rPr>
        <w:rFonts w:hint="eastAsia" w:ascii="黑体" w:hAnsi="Times New Roman" w:eastAsia="黑体" w:cs="黑体"/>
        <w:b w:val="0"/>
        <w:i w:val="0"/>
        <w:strike w:val="0"/>
        <w:dstrike w:val="0"/>
        <w:color w:val="auto"/>
        <w:sz w:val="21"/>
        <w:u w:val="none"/>
      </w:rPr>
    </w:lvl>
    <w:lvl w:ilvl="5" w:tentative="0">
      <w:start w:val="1"/>
      <w:numFmt w:val="decimal"/>
      <w:suff w:val="nothing"/>
      <w:lvlText w:val="%1.%2.%3.%4.%5.%6　"/>
      <w:lvlJc w:val="left"/>
      <w:pPr>
        <w:ind w:left="0" w:firstLine="0"/>
      </w:pPr>
      <w:rPr>
        <w:rFonts w:hint="eastAsia" w:ascii="黑体" w:hAnsi="Times New Roman" w:eastAsia="黑体" w:cs="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0E3E48EB"/>
    <w:multiLevelType w:val="multilevel"/>
    <w:tmpl w:val="0E3E48EB"/>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3">
    <w:nsid w:val="14591498"/>
    <w:multiLevelType w:val="multilevel"/>
    <w:tmpl w:val="14591498"/>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4">
    <w:nsid w:val="28A93426"/>
    <w:multiLevelType w:val="multilevel"/>
    <w:tmpl w:val="28A93426"/>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lang w:val="en-US"/>
      </w:rPr>
    </w:lvl>
    <w:lvl w:ilvl="2" w:tentative="0">
      <w:start w:val="1"/>
      <w:numFmt w:val="decimal"/>
      <w:suff w:val="nothing"/>
      <w:lvlText w:val="%1.%2.%3　"/>
      <w:lvlJc w:val="left"/>
      <w:pPr>
        <w:ind w:left="0" w:firstLine="0"/>
      </w:pPr>
      <w:rPr>
        <w:rFonts w:hint="eastAsia" w:ascii="黑体" w:hAnsi="宋体" w:eastAsia="黑体" w:cs="黑体"/>
        <w:b w:val="0"/>
        <w:i w:val="0"/>
        <w:strike w:val="0"/>
        <w:dstrike w:val="0"/>
        <w:color w:val="00000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trike w:val="0"/>
        <w:dstrike w:val="0"/>
        <w:color w:val="auto"/>
        <w:sz w:val="21"/>
        <w:u w:val="none"/>
      </w:rPr>
    </w:lvl>
    <w:lvl w:ilvl="4" w:tentative="0">
      <w:start w:val="1"/>
      <w:numFmt w:val="decimal"/>
      <w:pStyle w:val="43"/>
      <w:suff w:val="nothing"/>
      <w:lvlText w:val="%1.%2.%3.%4.%5　"/>
      <w:lvlJc w:val="left"/>
      <w:pPr>
        <w:ind w:left="0" w:firstLine="0"/>
      </w:pPr>
      <w:rPr>
        <w:rFonts w:hint="eastAsia" w:ascii="黑体" w:hAnsi="Times New Roman" w:eastAsia="黑体" w:cs="黑体"/>
        <w:b w:val="0"/>
        <w:i w:val="0"/>
        <w:strike w:val="0"/>
        <w:dstrike w:val="0"/>
        <w:color w:val="auto"/>
        <w:sz w:val="21"/>
        <w:u w:val="none"/>
      </w:rPr>
    </w:lvl>
    <w:lvl w:ilvl="5" w:tentative="0">
      <w:start w:val="1"/>
      <w:numFmt w:val="decimal"/>
      <w:suff w:val="nothing"/>
      <w:lvlText w:val="%1.%2.%3.%4.%5.%6　"/>
      <w:lvlJc w:val="left"/>
      <w:pPr>
        <w:ind w:left="0" w:firstLine="0"/>
      </w:pPr>
      <w:rPr>
        <w:rFonts w:hint="eastAsia" w:ascii="黑体" w:hAnsi="Times New Roman" w:eastAsia="黑体" w:cs="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5">
    <w:nsid w:val="2D1F5D1D"/>
    <w:multiLevelType w:val="multilevel"/>
    <w:tmpl w:val="2D1F5D1D"/>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46"/>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lang w:val="en-US"/>
      </w:rPr>
    </w:lvl>
    <w:lvl w:ilvl="2" w:tentative="0">
      <w:start w:val="1"/>
      <w:numFmt w:val="decimal"/>
      <w:suff w:val="nothing"/>
      <w:lvlText w:val="%1.%2.%3　"/>
      <w:lvlJc w:val="left"/>
      <w:pPr>
        <w:ind w:left="0" w:firstLine="0"/>
      </w:pPr>
      <w:rPr>
        <w:rFonts w:hint="eastAsia" w:ascii="黑体" w:hAnsi="宋体" w:eastAsia="黑体" w:cs="黑体"/>
        <w:b w:val="0"/>
        <w:i w:val="0"/>
        <w:strike w:val="0"/>
        <w:dstrike w:val="0"/>
        <w:color w:val="00000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trike w:val="0"/>
        <w:dstrike w:val="0"/>
        <w:color w:val="auto"/>
        <w:sz w:val="21"/>
        <w:u w:val="none"/>
      </w:rPr>
    </w:lvl>
    <w:lvl w:ilvl="4" w:tentative="0">
      <w:start w:val="1"/>
      <w:numFmt w:val="decimal"/>
      <w:suff w:val="nothing"/>
      <w:lvlText w:val="%1.%2.%3.%4.%5　"/>
      <w:lvlJc w:val="left"/>
      <w:pPr>
        <w:ind w:left="0" w:firstLine="0"/>
      </w:pPr>
      <w:rPr>
        <w:rFonts w:hint="eastAsia" w:ascii="黑体" w:hAnsi="Times New Roman" w:eastAsia="黑体" w:cs="黑体"/>
        <w:b w:val="0"/>
        <w:i w:val="0"/>
        <w:strike w:val="0"/>
        <w:dstrike w:val="0"/>
        <w:color w:val="auto"/>
        <w:sz w:val="21"/>
        <w:u w:val="none"/>
      </w:rPr>
    </w:lvl>
    <w:lvl w:ilvl="5" w:tentative="0">
      <w:start w:val="1"/>
      <w:numFmt w:val="decimal"/>
      <w:suff w:val="nothing"/>
      <w:lvlText w:val="%1.%2.%3.%4.%5.%6　"/>
      <w:lvlJc w:val="left"/>
      <w:pPr>
        <w:ind w:left="0" w:firstLine="0"/>
      </w:pPr>
      <w:rPr>
        <w:rFonts w:hint="eastAsia" w:ascii="黑体" w:hAnsi="Times New Roman" w:eastAsia="黑体" w:cs="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6">
    <w:nsid w:val="40537A23"/>
    <w:multiLevelType w:val="multilevel"/>
    <w:tmpl w:val="40537A23"/>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7">
    <w:nsid w:val="646260FA"/>
    <w:multiLevelType w:val="multilevel"/>
    <w:tmpl w:val="646260FA"/>
    <w:lvl w:ilvl="0" w:tentative="0">
      <w:start w:val="1"/>
      <w:numFmt w:val="decimal"/>
      <w:pStyle w:val="3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5E07C7C"/>
    <w:multiLevelType w:val="multilevel"/>
    <w:tmpl w:val="65E07C7C"/>
    <w:lvl w:ilvl="0" w:tentative="0">
      <w:start w:val="1"/>
      <w:numFmt w:val="decimal"/>
      <w:pStyle w:val="39"/>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lang w:val="en-US"/>
      </w:rPr>
    </w:lvl>
    <w:lvl w:ilvl="2" w:tentative="0">
      <w:start w:val="1"/>
      <w:numFmt w:val="decimal"/>
      <w:suff w:val="nothing"/>
      <w:lvlText w:val="%1.%2.%3　"/>
      <w:lvlJc w:val="left"/>
      <w:pPr>
        <w:ind w:left="0" w:firstLine="0"/>
      </w:pPr>
      <w:rPr>
        <w:rFonts w:hint="eastAsia" w:ascii="黑体" w:hAnsi="宋体" w:eastAsia="黑体" w:cs="黑体"/>
        <w:b w:val="0"/>
        <w:i w:val="0"/>
        <w:strike w:val="0"/>
        <w:dstrike w:val="0"/>
        <w:color w:val="00000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trike w:val="0"/>
        <w:dstrike w:val="0"/>
        <w:color w:val="auto"/>
        <w:sz w:val="21"/>
        <w:u w:val="none"/>
      </w:rPr>
    </w:lvl>
    <w:lvl w:ilvl="4" w:tentative="0">
      <w:start w:val="1"/>
      <w:numFmt w:val="decimal"/>
      <w:suff w:val="nothing"/>
      <w:lvlText w:val="%1.%2.%3.%4.%5　"/>
      <w:lvlJc w:val="left"/>
      <w:pPr>
        <w:ind w:left="0" w:firstLine="0"/>
      </w:pPr>
      <w:rPr>
        <w:rFonts w:hint="eastAsia" w:ascii="黑体" w:hAnsi="Times New Roman" w:eastAsia="黑体" w:cs="黑体"/>
        <w:b w:val="0"/>
        <w:i w:val="0"/>
        <w:strike w:val="0"/>
        <w:dstrike w:val="0"/>
        <w:color w:val="auto"/>
        <w:sz w:val="21"/>
        <w:u w:val="none"/>
      </w:rPr>
    </w:lvl>
    <w:lvl w:ilvl="5" w:tentative="0">
      <w:start w:val="1"/>
      <w:numFmt w:val="decimal"/>
      <w:suff w:val="nothing"/>
      <w:lvlText w:val="%1.%2.%3.%4.%5.%6　"/>
      <w:lvlJc w:val="left"/>
      <w:pPr>
        <w:ind w:left="0" w:firstLine="0"/>
      </w:pPr>
      <w:rPr>
        <w:rFonts w:hint="eastAsia" w:ascii="黑体" w:hAnsi="Times New Roman" w:eastAsia="黑体" w:cs="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9">
    <w:nsid w:val="75A16DA6"/>
    <w:multiLevelType w:val="multilevel"/>
    <w:tmpl w:val="75A16DA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7E0F3400"/>
    <w:multiLevelType w:val="singleLevel"/>
    <w:tmpl w:val="7E0F3400"/>
    <w:lvl w:ilvl="0" w:tentative="0">
      <w:start w:val="1"/>
      <w:numFmt w:val="decimal"/>
      <w:lvlText w:val="%1)"/>
      <w:lvlJc w:val="left"/>
      <w:pPr>
        <w:ind w:left="425" w:hanging="425"/>
      </w:pPr>
      <w:rPr>
        <w:rFonts w:hint="default"/>
      </w:rPr>
    </w:lvl>
  </w:abstractNum>
  <w:num w:numId="1">
    <w:abstractNumId w:val="7"/>
  </w:num>
  <w:num w:numId="2">
    <w:abstractNumId w:val="0"/>
  </w:num>
  <w:num w:numId="3">
    <w:abstractNumId w:val="8"/>
  </w:num>
  <w:num w:numId="4">
    <w:abstractNumId w:val="1"/>
  </w:num>
  <w:num w:numId="5">
    <w:abstractNumId w:val="4"/>
  </w:num>
  <w:num w:numId="6">
    <w:abstractNumId w:val="5"/>
  </w:num>
  <w:num w:numId="7">
    <w:abstractNumId w:val="6"/>
  </w:num>
  <w:num w:numId="8">
    <w:abstractNumId w:val="3"/>
  </w:num>
  <w:num w:numId="9">
    <w:abstractNumId w:val="2"/>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9C"/>
    <w:rsid w:val="00006111"/>
    <w:rsid w:val="0000621A"/>
    <w:rsid w:val="00015CE4"/>
    <w:rsid w:val="00032A3E"/>
    <w:rsid w:val="00032DEA"/>
    <w:rsid w:val="00034B61"/>
    <w:rsid w:val="000371B0"/>
    <w:rsid w:val="0004609C"/>
    <w:rsid w:val="00086A42"/>
    <w:rsid w:val="00092391"/>
    <w:rsid w:val="000A683D"/>
    <w:rsid w:val="000B3E44"/>
    <w:rsid w:val="000C4E48"/>
    <w:rsid w:val="000C64FC"/>
    <w:rsid w:val="000D14D3"/>
    <w:rsid w:val="000D2FC0"/>
    <w:rsid w:val="000D7755"/>
    <w:rsid w:val="000E1BA0"/>
    <w:rsid w:val="001069D0"/>
    <w:rsid w:val="00114D0A"/>
    <w:rsid w:val="00125C54"/>
    <w:rsid w:val="00131493"/>
    <w:rsid w:val="0015278D"/>
    <w:rsid w:val="001535F3"/>
    <w:rsid w:val="00156324"/>
    <w:rsid w:val="001579BA"/>
    <w:rsid w:val="00165636"/>
    <w:rsid w:val="00167520"/>
    <w:rsid w:val="00172A27"/>
    <w:rsid w:val="00182C22"/>
    <w:rsid w:val="00186660"/>
    <w:rsid w:val="001A0A46"/>
    <w:rsid w:val="001A0FB2"/>
    <w:rsid w:val="001A334E"/>
    <w:rsid w:val="001A345C"/>
    <w:rsid w:val="001A349B"/>
    <w:rsid w:val="001C6DAA"/>
    <w:rsid w:val="001D4B73"/>
    <w:rsid w:val="001D63D9"/>
    <w:rsid w:val="001F216D"/>
    <w:rsid w:val="00202C88"/>
    <w:rsid w:val="00204C65"/>
    <w:rsid w:val="002105B9"/>
    <w:rsid w:val="00216011"/>
    <w:rsid w:val="002170AF"/>
    <w:rsid w:val="00222D52"/>
    <w:rsid w:val="0022443E"/>
    <w:rsid w:val="00227EDE"/>
    <w:rsid w:val="00240886"/>
    <w:rsid w:val="002517F0"/>
    <w:rsid w:val="002626F6"/>
    <w:rsid w:val="00281ED9"/>
    <w:rsid w:val="0029373A"/>
    <w:rsid w:val="002B7749"/>
    <w:rsid w:val="002C742E"/>
    <w:rsid w:val="002D1810"/>
    <w:rsid w:val="002E11C4"/>
    <w:rsid w:val="002E738D"/>
    <w:rsid w:val="002F21A9"/>
    <w:rsid w:val="002F61BF"/>
    <w:rsid w:val="003014B9"/>
    <w:rsid w:val="00311350"/>
    <w:rsid w:val="00313CB4"/>
    <w:rsid w:val="00314F0E"/>
    <w:rsid w:val="003317F1"/>
    <w:rsid w:val="00331C2F"/>
    <w:rsid w:val="0033368B"/>
    <w:rsid w:val="003341CF"/>
    <w:rsid w:val="00336ED7"/>
    <w:rsid w:val="00337065"/>
    <w:rsid w:val="0034012E"/>
    <w:rsid w:val="003422A2"/>
    <w:rsid w:val="00342EEF"/>
    <w:rsid w:val="003574E5"/>
    <w:rsid w:val="003613ED"/>
    <w:rsid w:val="003669FF"/>
    <w:rsid w:val="00386271"/>
    <w:rsid w:val="003870EF"/>
    <w:rsid w:val="003A38DE"/>
    <w:rsid w:val="003C5BBB"/>
    <w:rsid w:val="003E4560"/>
    <w:rsid w:val="003F34F4"/>
    <w:rsid w:val="004071E1"/>
    <w:rsid w:val="00413617"/>
    <w:rsid w:val="004501D9"/>
    <w:rsid w:val="00450BBD"/>
    <w:rsid w:val="00454F8F"/>
    <w:rsid w:val="00474F67"/>
    <w:rsid w:val="00475301"/>
    <w:rsid w:val="00476077"/>
    <w:rsid w:val="0047692F"/>
    <w:rsid w:val="00480973"/>
    <w:rsid w:val="00480EB4"/>
    <w:rsid w:val="00487F25"/>
    <w:rsid w:val="0049259B"/>
    <w:rsid w:val="0049568B"/>
    <w:rsid w:val="004A34E9"/>
    <w:rsid w:val="004A35BB"/>
    <w:rsid w:val="004A740B"/>
    <w:rsid w:val="004B43F4"/>
    <w:rsid w:val="004C4A0A"/>
    <w:rsid w:val="004D2006"/>
    <w:rsid w:val="004D77BA"/>
    <w:rsid w:val="004E1858"/>
    <w:rsid w:val="004E3B6D"/>
    <w:rsid w:val="004E4448"/>
    <w:rsid w:val="004F2452"/>
    <w:rsid w:val="005078AB"/>
    <w:rsid w:val="00536EB9"/>
    <w:rsid w:val="00543D48"/>
    <w:rsid w:val="00545235"/>
    <w:rsid w:val="00552FF1"/>
    <w:rsid w:val="00560EBF"/>
    <w:rsid w:val="00567C39"/>
    <w:rsid w:val="00582B65"/>
    <w:rsid w:val="00591A0A"/>
    <w:rsid w:val="005A4FC0"/>
    <w:rsid w:val="005B3531"/>
    <w:rsid w:val="005B7160"/>
    <w:rsid w:val="005E04FD"/>
    <w:rsid w:val="005F573C"/>
    <w:rsid w:val="00604FCF"/>
    <w:rsid w:val="00606A6C"/>
    <w:rsid w:val="0062404D"/>
    <w:rsid w:val="006332BF"/>
    <w:rsid w:val="00636DC6"/>
    <w:rsid w:val="0065057E"/>
    <w:rsid w:val="00650928"/>
    <w:rsid w:val="00650A84"/>
    <w:rsid w:val="006552C6"/>
    <w:rsid w:val="006578E6"/>
    <w:rsid w:val="00675760"/>
    <w:rsid w:val="0068225B"/>
    <w:rsid w:val="00683530"/>
    <w:rsid w:val="00683DDD"/>
    <w:rsid w:val="006A0DD2"/>
    <w:rsid w:val="006B01E2"/>
    <w:rsid w:val="006C03AA"/>
    <w:rsid w:val="006C5864"/>
    <w:rsid w:val="006C59CD"/>
    <w:rsid w:val="006D6BB8"/>
    <w:rsid w:val="006D6BE6"/>
    <w:rsid w:val="006E004D"/>
    <w:rsid w:val="006E2980"/>
    <w:rsid w:val="00710974"/>
    <w:rsid w:val="00710EE3"/>
    <w:rsid w:val="00713FC1"/>
    <w:rsid w:val="00715991"/>
    <w:rsid w:val="00725757"/>
    <w:rsid w:val="0072738C"/>
    <w:rsid w:val="00732439"/>
    <w:rsid w:val="007463D4"/>
    <w:rsid w:val="00751E27"/>
    <w:rsid w:val="00765856"/>
    <w:rsid w:val="00776FCD"/>
    <w:rsid w:val="0077730F"/>
    <w:rsid w:val="00782603"/>
    <w:rsid w:val="00784184"/>
    <w:rsid w:val="00790F6E"/>
    <w:rsid w:val="00797DD5"/>
    <w:rsid w:val="007A4B2D"/>
    <w:rsid w:val="007D1475"/>
    <w:rsid w:val="007D2E42"/>
    <w:rsid w:val="007D59AE"/>
    <w:rsid w:val="007E0817"/>
    <w:rsid w:val="007E2345"/>
    <w:rsid w:val="007E3B88"/>
    <w:rsid w:val="007F5A0C"/>
    <w:rsid w:val="008124B2"/>
    <w:rsid w:val="00817BA5"/>
    <w:rsid w:val="00822070"/>
    <w:rsid w:val="008234B9"/>
    <w:rsid w:val="00826B0F"/>
    <w:rsid w:val="00854F15"/>
    <w:rsid w:val="00856FE2"/>
    <w:rsid w:val="00862E5A"/>
    <w:rsid w:val="00876E3C"/>
    <w:rsid w:val="00882B79"/>
    <w:rsid w:val="00891116"/>
    <w:rsid w:val="008A3FDF"/>
    <w:rsid w:val="008B4A84"/>
    <w:rsid w:val="008B4D7E"/>
    <w:rsid w:val="008B761F"/>
    <w:rsid w:val="008C1801"/>
    <w:rsid w:val="008C1AE1"/>
    <w:rsid w:val="008E253E"/>
    <w:rsid w:val="008E47E8"/>
    <w:rsid w:val="008F3203"/>
    <w:rsid w:val="008F4F27"/>
    <w:rsid w:val="009004E3"/>
    <w:rsid w:val="00914CAF"/>
    <w:rsid w:val="00953EF4"/>
    <w:rsid w:val="0096459E"/>
    <w:rsid w:val="00971E49"/>
    <w:rsid w:val="009915FD"/>
    <w:rsid w:val="009A239D"/>
    <w:rsid w:val="009A5EA0"/>
    <w:rsid w:val="009B04DB"/>
    <w:rsid w:val="009C605D"/>
    <w:rsid w:val="009C7B47"/>
    <w:rsid w:val="009D4819"/>
    <w:rsid w:val="009E0486"/>
    <w:rsid w:val="009E05A0"/>
    <w:rsid w:val="009F500A"/>
    <w:rsid w:val="00A146CD"/>
    <w:rsid w:val="00A2584F"/>
    <w:rsid w:val="00A31C16"/>
    <w:rsid w:val="00A41B3E"/>
    <w:rsid w:val="00A4752C"/>
    <w:rsid w:val="00A50213"/>
    <w:rsid w:val="00A64C59"/>
    <w:rsid w:val="00A709C8"/>
    <w:rsid w:val="00A72342"/>
    <w:rsid w:val="00A85D4D"/>
    <w:rsid w:val="00A861E2"/>
    <w:rsid w:val="00AA0735"/>
    <w:rsid w:val="00AA64D6"/>
    <w:rsid w:val="00AA65ED"/>
    <w:rsid w:val="00AB236F"/>
    <w:rsid w:val="00AB39DC"/>
    <w:rsid w:val="00AC2A30"/>
    <w:rsid w:val="00AC465F"/>
    <w:rsid w:val="00AD5F2F"/>
    <w:rsid w:val="00AD6A75"/>
    <w:rsid w:val="00AE2A2B"/>
    <w:rsid w:val="00AE3F30"/>
    <w:rsid w:val="00AE7E55"/>
    <w:rsid w:val="00AF1DBE"/>
    <w:rsid w:val="00AF5D98"/>
    <w:rsid w:val="00AF671D"/>
    <w:rsid w:val="00B026FE"/>
    <w:rsid w:val="00B02B6D"/>
    <w:rsid w:val="00B13CCC"/>
    <w:rsid w:val="00B14F19"/>
    <w:rsid w:val="00B17C92"/>
    <w:rsid w:val="00B21E34"/>
    <w:rsid w:val="00B33BE9"/>
    <w:rsid w:val="00B36F0E"/>
    <w:rsid w:val="00B87B51"/>
    <w:rsid w:val="00BA7B15"/>
    <w:rsid w:val="00BB01D3"/>
    <w:rsid w:val="00BB3B20"/>
    <w:rsid w:val="00BC23C9"/>
    <w:rsid w:val="00BC49F1"/>
    <w:rsid w:val="00BD6A08"/>
    <w:rsid w:val="00BE23F1"/>
    <w:rsid w:val="00BF3849"/>
    <w:rsid w:val="00BF3F88"/>
    <w:rsid w:val="00C1658D"/>
    <w:rsid w:val="00C17A46"/>
    <w:rsid w:val="00C35090"/>
    <w:rsid w:val="00C359B4"/>
    <w:rsid w:val="00C43200"/>
    <w:rsid w:val="00C47BE5"/>
    <w:rsid w:val="00C66369"/>
    <w:rsid w:val="00C712A9"/>
    <w:rsid w:val="00C721E3"/>
    <w:rsid w:val="00C72895"/>
    <w:rsid w:val="00C82943"/>
    <w:rsid w:val="00CC152B"/>
    <w:rsid w:val="00CC776C"/>
    <w:rsid w:val="00CD0690"/>
    <w:rsid w:val="00CD1DD8"/>
    <w:rsid w:val="00CD707C"/>
    <w:rsid w:val="00D1113A"/>
    <w:rsid w:val="00D11D76"/>
    <w:rsid w:val="00D13BBA"/>
    <w:rsid w:val="00D2355A"/>
    <w:rsid w:val="00D525A5"/>
    <w:rsid w:val="00D553CA"/>
    <w:rsid w:val="00D62834"/>
    <w:rsid w:val="00D82A4C"/>
    <w:rsid w:val="00D86CAE"/>
    <w:rsid w:val="00DB13D7"/>
    <w:rsid w:val="00DB5D6B"/>
    <w:rsid w:val="00DC0280"/>
    <w:rsid w:val="00DC0FA9"/>
    <w:rsid w:val="00DD5E7A"/>
    <w:rsid w:val="00DD7AFD"/>
    <w:rsid w:val="00DF1750"/>
    <w:rsid w:val="00DF5AA5"/>
    <w:rsid w:val="00E06E1F"/>
    <w:rsid w:val="00E1217C"/>
    <w:rsid w:val="00E20574"/>
    <w:rsid w:val="00E20DB9"/>
    <w:rsid w:val="00E21CD4"/>
    <w:rsid w:val="00E32176"/>
    <w:rsid w:val="00E3655C"/>
    <w:rsid w:val="00E53CF5"/>
    <w:rsid w:val="00E635AA"/>
    <w:rsid w:val="00E74CBB"/>
    <w:rsid w:val="00E765E8"/>
    <w:rsid w:val="00E769B1"/>
    <w:rsid w:val="00E844D1"/>
    <w:rsid w:val="00E87D02"/>
    <w:rsid w:val="00E956D1"/>
    <w:rsid w:val="00E964C8"/>
    <w:rsid w:val="00EA22A0"/>
    <w:rsid w:val="00EA3204"/>
    <w:rsid w:val="00EA5E9B"/>
    <w:rsid w:val="00EB28F9"/>
    <w:rsid w:val="00EB2FA4"/>
    <w:rsid w:val="00EC72F5"/>
    <w:rsid w:val="00EE13AE"/>
    <w:rsid w:val="00EE1FE1"/>
    <w:rsid w:val="00EE6B5A"/>
    <w:rsid w:val="00F03CE2"/>
    <w:rsid w:val="00F0738B"/>
    <w:rsid w:val="00F21BA0"/>
    <w:rsid w:val="00F35253"/>
    <w:rsid w:val="00F4319B"/>
    <w:rsid w:val="00F475C1"/>
    <w:rsid w:val="00F57159"/>
    <w:rsid w:val="00F66A17"/>
    <w:rsid w:val="00F72D68"/>
    <w:rsid w:val="00F97BC1"/>
    <w:rsid w:val="00FA250C"/>
    <w:rsid w:val="00FA6E21"/>
    <w:rsid w:val="00FC4CFF"/>
    <w:rsid w:val="00FD220F"/>
    <w:rsid w:val="00FD5278"/>
    <w:rsid w:val="00FE2B3D"/>
    <w:rsid w:val="00FE4441"/>
    <w:rsid w:val="00FF5143"/>
    <w:rsid w:val="00FF5C04"/>
    <w:rsid w:val="066E4898"/>
    <w:rsid w:val="0921144B"/>
    <w:rsid w:val="0A5500D4"/>
    <w:rsid w:val="0ADE0782"/>
    <w:rsid w:val="10E123A2"/>
    <w:rsid w:val="13805A3A"/>
    <w:rsid w:val="14776C9F"/>
    <w:rsid w:val="14A378C7"/>
    <w:rsid w:val="15122747"/>
    <w:rsid w:val="159A73AF"/>
    <w:rsid w:val="1606558D"/>
    <w:rsid w:val="185D457C"/>
    <w:rsid w:val="19001FEC"/>
    <w:rsid w:val="1CDE1E20"/>
    <w:rsid w:val="21627873"/>
    <w:rsid w:val="276A7481"/>
    <w:rsid w:val="2AD245C1"/>
    <w:rsid w:val="2D09764D"/>
    <w:rsid w:val="2D2A2CAF"/>
    <w:rsid w:val="2EAE5EA6"/>
    <w:rsid w:val="2F596388"/>
    <w:rsid w:val="350924E6"/>
    <w:rsid w:val="36234DC0"/>
    <w:rsid w:val="38126D67"/>
    <w:rsid w:val="39535FC7"/>
    <w:rsid w:val="3AB82DAC"/>
    <w:rsid w:val="3B3C2625"/>
    <w:rsid w:val="3D203BC7"/>
    <w:rsid w:val="3D530251"/>
    <w:rsid w:val="414524B4"/>
    <w:rsid w:val="43344A57"/>
    <w:rsid w:val="520567C5"/>
    <w:rsid w:val="52214528"/>
    <w:rsid w:val="53F758F5"/>
    <w:rsid w:val="5A2013A0"/>
    <w:rsid w:val="5AE27FC0"/>
    <w:rsid w:val="5B98279E"/>
    <w:rsid w:val="5D6108AC"/>
    <w:rsid w:val="669318A0"/>
    <w:rsid w:val="68CB5850"/>
    <w:rsid w:val="6B4920A6"/>
    <w:rsid w:val="6C927698"/>
    <w:rsid w:val="6D8A10A1"/>
    <w:rsid w:val="6F667AFB"/>
    <w:rsid w:val="6F737274"/>
    <w:rsid w:val="6FA2019F"/>
    <w:rsid w:val="739E63C4"/>
    <w:rsid w:val="73AD7752"/>
    <w:rsid w:val="74146CAA"/>
    <w:rsid w:val="76A80655"/>
    <w:rsid w:val="76BB75CB"/>
    <w:rsid w:val="771F2307"/>
    <w:rsid w:val="78F73755"/>
    <w:rsid w:val="7D821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tabs>
        <w:tab w:val="left" w:pos="720"/>
      </w:tabs>
      <w:spacing w:line="360" w:lineRule="auto"/>
      <w:jc w:val="left"/>
      <w:outlineLvl w:val="0"/>
    </w:pPr>
    <w:rPr>
      <w:b/>
      <w:smallCaps/>
      <w:kern w:val="0"/>
      <w:sz w:val="44"/>
      <w:szCs w:val="20"/>
      <w:lang w:val="en-GB"/>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Document Map"/>
    <w:basedOn w:val="1"/>
    <w:link w:val="26"/>
    <w:qFormat/>
    <w:uiPriority w:val="0"/>
    <w:rPr>
      <w:rFonts w:ascii="宋体"/>
      <w:sz w:val="18"/>
      <w:szCs w:val="18"/>
    </w:rPr>
  </w:style>
  <w:style w:type="paragraph" w:styleId="4">
    <w:name w:val="toa heading"/>
    <w:basedOn w:val="1"/>
    <w:next w:val="1"/>
    <w:qFormat/>
    <w:uiPriority w:val="0"/>
    <w:rPr>
      <w:b/>
    </w:rPr>
  </w:style>
  <w:style w:type="paragraph" w:styleId="5">
    <w:name w:val="annotation text"/>
    <w:basedOn w:val="1"/>
    <w:link w:val="24"/>
    <w:qFormat/>
    <w:uiPriority w:val="0"/>
    <w:pPr>
      <w:jc w:val="left"/>
    </w:pPr>
  </w:style>
  <w:style w:type="paragraph" w:styleId="6">
    <w:name w:val="Body Text"/>
    <w:basedOn w:val="1"/>
    <w:qFormat/>
    <w:uiPriority w:val="0"/>
    <w:pPr>
      <w:spacing w:line="500" w:lineRule="exact"/>
    </w:pPr>
    <w:rPr>
      <w:rFonts w:ascii="楷体_GB2312" w:eastAsia="楷体_GB2312"/>
      <w:sz w:val="28"/>
      <w:szCs w:val="20"/>
    </w:rPr>
  </w:style>
  <w:style w:type="paragraph" w:styleId="7">
    <w:name w:val="Body Text Indent"/>
    <w:basedOn w:val="1"/>
    <w:link w:val="30"/>
    <w:semiHidden/>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toc 8"/>
    <w:basedOn w:val="1"/>
    <w:next w:val="1"/>
    <w:semiHidden/>
    <w:unhideWhenUsed/>
    <w:qFormat/>
    <w:uiPriority w:val="39"/>
    <w:pPr>
      <w:keepNext w:val="0"/>
      <w:keepLines w:val="0"/>
      <w:widowControl w:val="0"/>
      <w:suppressLineNumbers w:val="0"/>
      <w:tabs>
        <w:tab w:val="right" w:leader="dot" w:pos="9241"/>
      </w:tabs>
      <w:spacing w:before="0" w:beforeAutospacing="0" w:after="0" w:afterAutospacing="0"/>
      <w:ind w:left="0" w:right="0" w:firstLine="607" w:firstLineChars="600"/>
      <w:jc w:val="left"/>
    </w:pPr>
    <w:rPr>
      <w:rFonts w:hint="eastAsia" w:ascii="宋体" w:hAnsi="Times New Roman" w:eastAsia="宋体" w:cs="Times New Roman"/>
      <w:kern w:val="2"/>
      <w:sz w:val="21"/>
      <w:szCs w:val="21"/>
      <w:lang w:val="en-US" w:eastAsia="zh-CN" w:bidi="ar"/>
    </w:rPr>
  </w:style>
  <w:style w:type="paragraph" w:styleId="10">
    <w:name w:val="Balloon Text"/>
    <w:basedOn w:val="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qFormat/>
    <w:uiPriority w:val="0"/>
    <w:pPr>
      <w:spacing w:before="240" w:after="60"/>
      <w:jc w:val="center"/>
      <w:outlineLvl w:val="0"/>
    </w:pPr>
    <w:rPr>
      <w:rFonts w:ascii="Arial" w:hAnsi="Arial" w:cs="Arial"/>
      <w:b/>
      <w:bCs/>
      <w:sz w:val="32"/>
      <w:szCs w:val="32"/>
    </w:rPr>
  </w:style>
  <w:style w:type="paragraph" w:styleId="15">
    <w:name w:val="annotation subject"/>
    <w:basedOn w:val="5"/>
    <w:next w:val="5"/>
    <w:link w:val="25"/>
    <w:qFormat/>
    <w:uiPriority w:val="0"/>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bCs/>
    </w:rPr>
  </w:style>
  <w:style w:type="character" w:styleId="20">
    <w:name w:val="page number"/>
    <w:basedOn w:val="18"/>
    <w:qFormat/>
    <w:uiPriority w:val="0"/>
  </w:style>
  <w:style w:type="character" w:styleId="21">
    <w:name w:val="FollowedHyperlink"/>
    <w:basedOn w:val="18"/>
    <w:semiHidden/>
    <w:unhideWhenUsed/>
    <w:qFormat/>
    <w:uiPriority w:val="99"/>
    <w:rPr>
      <w:color w:val="954F72"/>
      <w:u w:val="single"/>
    </w:rPr>
  </w:style>
  <w:style w:type="character" w:styleId="22">
    <w:name w:val="Hyperlink"/>
    <w:qFormat/>
    <w:uiPriority w:val="0"/>
    <w:rPr>
      <w:color w:val="202020"/>
      <w:sz w:val="18"/>
      <w:szCs w:val="18"/>
      <w:u w:val="none"/>
    </w:rPr>
  </w:style>
  <w:style w:type="character" w:styleId="23">
    <w:name w:val="annotation reference"/>
    <w:qFormat/>
    <w:uiPriority w:val="0"/>
    <w:rPr>
      <w:sz w:val="21"/>
      <w:szCs w:val="21"/>
    </w:rPr>
  </w:style>
  <w:style w:type="character" w:customStyle="1" w:styleId="24">
    <w:name w:val="批注文字 Char"/>
    <w:link w:val="5"/>
    <w:qFormat/>
    <w:uiPriority w:val="0"/>
    <w:rPr>
      <w:kern w:val="2"/>
      <w:sz w:val="21"/>
      <w:szCs w:val="24"/>
    </w:rPr>
  </w:style>
  <w:style w:type="character" w:customStyle="1" w:styleId="25">
    <w:name w:val="批注主题 Char"/>
    <w:link w:val="15"/>
    <w:qFormat/>
    <w:uiPriority w:val="0"/>
    <w:rPr>
      <w:b/>
      <w:bCs/>
      <w:kern w:val="2"/>
      <w:sz w:val="21"/>
      <w:szCs w:val="24"/>
    </w:rPr>
  </w:style>
  <w:style w:type="character" w:customStyle="1" w:styleId="26">
    <w:name w:val="文档结构图 Char"/>
    <w:link w:val="3"/>
    <w:qFormat/>
    <w:uiPriority w:val="0"/>
    <w:rPr>
      <w:rFonts w:ascii="宋体"/>
      <w:kern w:val="2"/>
      <w:sz w:val="18"/>
      <w:szCs w:val="18"/>
    </w:rPr>
  </w:style>
  <w:style w:type="paragraph" w:styleId="27">
    <w:name w:val="List Paragraph"/>
    <w:basedOn w:val="1"/>
    <w:qFormat/>
    <w:uiPriority w:val="34"/>
    <w:pPr>
      <w:ind w:firstLine="420" w:firstLineChars="200"/>
    </w:pPr>
  </w:style>
  <w:style w:type="paragraph" w:customStyle="1" w:styleId="28">
    <w:name w:val="Char Char Char1 Char"/>
    <w:basedOn w:val="1"/>
    <w:qFormat/>
    <w:uiPriority w:val="0"/>
  </w:style>
  <w:style w:type="paragraph" w:customStyle="1" w:styleId="29">
    <w:name w:val="Char Char Char1 Char1"/>
    <w:basedOn w:val="1"/>
    <w:qFormat/>
    <w:uiPriority w:val="0"/>
  </w:style>
  <w:style w:type="character" w:customStyle="1" w:styleId="30">
    <w:name w:val="正文文本缩进 Char"/>
    <w:link w:val="7"/>
    <w:semiHidden/>
    <w:qFormat/>
    <w:uiPriority w:val="99"/>
    <w:rPr>
      <w:kern w:val="2"/>
      <w:sz w:val="21"/>
      <w:szCs w:val="24"/>
    </w:rPr>
  </w:style>
  <w:style w:type="paragraph" w:customStyle="1" w:styleId="31">
    <w:name w:val="正文表标题"/>
    <w:next w:val="1"/>
    <w:qFormat/>
    <w:uiPriority w:val="0"/>
    <w:pPr>
      <w:numPr>
        <w:ilvl w:val="0"/>
        <w:numId w:val="1"/>
      </w:numPr>
      <w:jc w:val="center"/>
    </w:pPr>
    <w:rPr>
      <w:rFonts w:ascii="黑体" w:hAnsi="Times New Roman" w:eastAsia="黑体" w:cs="Times New Roman"/>
      <w:sz w:val="21"/>
      <w:lang w:val="en-US" w:eastAsia="zh-CN" w:bidi="ar-SA"/>
    </w:rPr>
  </w:style>
  <w:style w:type="paragraph" w:customStyle="1" w:styleId="32">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3">
    <w:name w:val="_ Single Txt_G"/>
    <w:basedOn w:val="1"/>
    <w:link w:val="34"/>
    <w:qFormat/>
    <w:uiPriority w:val="0"/>
    <w:pPr>
      <w:widowControl/>
      <w:suppressAutoHyphens/>
      <w:spacing w:after="120" w:line="240" w:lineRule="atLeast"/>
      <w:ind w:left="1134" w:right="1134"/>
    </w:pPr>
    <w:rPr>
      <w:kern w:val="0"/>
      <w:sz w:val="20"/>
      <w:szCs w:val="20"/>
      <w:lang w:val="en-GB" w:eastAsia="en-US"/>
    </w:rPr>
  </w:style>
  <w:style w:type="character" w:customStyle="1" w:styleId="34">
    <w:name w:val="_ Single Txt_G Car"/>
    <w:link w:val="33"/>
    <w:qFormat/>
    <w:uiPriority w:val="0"/>
    <w:rPr>
      <w:lang w:val="en-GB" w:eastAsia="en-US"/>
    </w:rPr>
  </w:style>
  <w:style w:type="paragraph" w:customStyle="1" w:styleId="35">
    <w:name w:val="Normal"/>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36">
    <w:name w:val="列项——（一级）"/>
    <w:basedOn w:val="1"/>
    <w:qFormat/>
    <w:uiPriority w:val="0"/>
    <w:pPr>
      <w:keepNext w:val="0"/>
      <w:keepLines w:val="0"/>
      <w:widowControl w:val="0"/>
      <w:numPr>
        <w:ilvl w:val="0"/>
        <w:numId w:val="2"/>
      </w:numPr>
      <w:suppressLineNumbers w:val="0"/>
      <w:spacing w:before="0" w:beforeAutospacing="0" w:after="0" w:afterAutospacing="0"/>
      <w:ind w:left="833" w:right="0" w:hanging="408"/>
      <w:jc w:val="both"/>
    </w:pPr>
    <w:rPr>
      <w:rFonts w:hint="eastAsia" w:ascii="宋体" w:hAnsi="Times New Roman" w:eastAsia="宋体" w:cs="Times New Roman"/>
      <w:kern w:val="0"/>
      <w:sz w:val="21"/>
      <w:szCs w:val="20"/>
      <w:lang w:val="en-US" w:eastAsia="zh-CN" w:bidi="ar"/>
    </w:rPr>
  </w:style>
  <w:style w:type="paragraph" w:customStyle="1" w:styleId="37">
    <w:name w:val="段"/>
    <w:basedOn w:val="1"/>
    <w:link w:val="38"/>
    <w:qFormat/>
    <w:uiPriority w:val="0"/>
    <w:pPr>
      <w:keepNext w:val="0"/>
      <w:keepLines w:val="0"/>
      <w:widowControl/>
      <w:suppressLineNumbers w:val="0"/>
      <w:tabs>
        <w:tab w:val="center" w:pos="4201"/>
        <w:tab w:val="right" w:leader="dot" w:pos="9298"/>
      </w:tabs>
      <w:autoSpaceDE w:val="0"/>
      <w:autoSpaceDN w:val="0"/>
      <w:spacing w:before="0" w:beforeAutospacing="0" w:after="0" w:afterAutospacing="0"/>
      <w:ind w:left="0" w:right="0" w:firstLine="420" w:firstLineChars="200"/>
      <w:jc w:val="both"/>
    </w:pPr>
    <w:rPr>
      <w:rFonts w:hint="eastAsia" w:ascii="宋体" w:hAnsi="Times New Roman" w:eastAsia="宋体" w:cs="Times New Roman"/>
      <w:kern w:val="0"/>
      <w:sz w:val="21"/>
      <w:szCs w:val="20"/>
      <w:lang w:val="en-US" w:eastAsia="zh-CN" w:bidi="ar"/>
    </w:rPr>
  </w:style>
  <w:style w:type="character" w:customStyle="1" w:styleId="38">
    <w:name w:val="段 Char"/>
    <w:basedOn w:val="18"/>
    <w:link w:val="37"/>
    <w:qFormat/>
    <w:uiPriority w:val="0"/>
    <w:rPr>
      <w:rFonts w:hint="eastAsia" w:ascii="宋体" w:hAnsi="宋体" w:eastAsia="宋体" w:cs="宋体"/>
      <w:sz w:val="21"/>
    </w:rPr>
  </w:style>
  <w:style w:type="paragraph" w:customStyle="1" w:styleId="39">
    <w:name w:val="章标题"/>
    <w:basedOn w:val="1"/>
    <w:next w:val="37"/>
    <w:qFormat/>
    <w:uiPriority w:val="0"/>
    <w:pPr>
      <w:keepNext w:val="0"/>
      <w:keepLines w:val="0"/>
      <w:widowControl/>
      <w:numPr>
        <w:ilvl w:val="0"/>
        <w:numId w:val="3"/>
      </w:numPr>
      <w:suppressLineNumbers w:val="0"/>
      <w:spacing w:before="0" w:beforeLines="100" w:beforeAutospacing="0" w:after="0" w:afterLines="100" w:afterAutospacing="0"/>
      <w:ind w:left="0" w:right="0" w:firstLine="0"/>
      <w:jc w:val="both"/>
      <w:outlineLvl w:val="1"/>
    </w:pPr>
    <w:rPr>
      <w:rFonts w:hint="eastAsia" w:ascii="黑体" w:hAnsi="Times New Roman" w:eastAsia="黑体" w:cs="Times New Roman"/>
      <w:kern w:val="0"/>
      <w:sz w:val="21"/>
      <w:szCs w:val="20"/>
      <w:lang w:val="en-US" w:eastAsia="zh-CN" w:bidi="ar"/>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1">
    <w:name w:val="编制说明正文"/>
    <w:basedOn w:val="1"/>
    <w:qFormat/>
    <w:uiPriority w:val="0"/>
    <w:pPr>
      <w:shd w:val="clear" w:color="auto" w:fill="FFFFFF"/>
      <w:spacing w:line="400" w:lineRule="exact"/>
      <w:ind w:firstLine="420"/>
    </w:pPr>
    <w:rPr>
      <w:rFonts w:cs="Arial"/>
      <w:szCs w:val="21"/>
    </w:rPr>
  </w:style>
  <w:style w:type="paragraph" w:customStyle="1" w:styleId="42">
    <w:name w:val="三级条标题"/>
    <w:next w:val="1"/>
    <w:qFormat/>
    <w:uiPriority w:val="0"/>
    <w:pPr>
      <w:keepNext w:val="0"/>
      <w:keepLines w:val="0"/>
      <w:widowControl/>
      <w:numPr>
        <w:ilvl w:val="3"/>
        <w:numId w:val="4"/>
      </w:numPr>
      <w:suppressLineNumbers w:val="0"/>
      <w:spacing w:before="50" w:beforeLines="50" w:beforeAutospacing="0" w:after="50" w:afterLines="50" w:afterAutospacing="0"/>
      <w:ind w:left="0" w:right="0" w:firstLine="0"/>
      <w:jc w:val="left"/>
      <w:outlineLvl w:val="4"/>
    </w:pPr>
    <w:rPr>
      <w:rFonts w:hint="eastAsia" w:ascii="黑体" w:hAnsi="Times New Roman" w:eastAsia="黑体" w:cs="Times New Roman"/>
      <w:kern w:val="0"/>
      <w:sz w:val="21"/>
      <w:szCs w:val="21"/>
      <w:lang w:val="en-US" w:eastAsia="zh-CN" w:bidi="ar"/>
    </w:rPr>
  </w:style>
  <w:style w:type="paragraph" w:customStyle="1" w:styleId="43">
    <w:name w:val="四级条标题"/>
    <w:next w:val="1"/>
    <w:qFormat/>
    <w:uiPriority w:val="0"/>
    <w:pPr>
      <w:keepNext w:val="0"/>
      <w:keepLines w:val="0"/>
      <w:widowControl/>
      <w:numPr>
        <w:ilvl w:val="4"/>
        <w:numId w:val="5"/>
      </w:numPr>
      <w:suppressLineNumbers w:val="0"/>
      <w:spacing w:before="50" w:beforeLines="50" w:beforeAutospacing="0" w:after="50" w:afterLines="50" w:afterAutospacing="0"/>
      <w:ind w:left="0" w:right="0" w:firstLine="0"/>
      <w:jc w:val="left"/>
      <w:outlineLvl w:val="5"/>
    </w:pPr>
    <w:rPr>
      <w:rFonts w:hint="eastAsia" w:ascii="黑体" w:hAnsi="Times New Roman" w:eastAsia="黑体" w:cs="Times New Roman"/>
      <w:kern w:val="0"/>
      <w:sz w:val="21"/>
      <w:szCs w:val="21"/>
      <w:lang w:val="en-US" w:eastAsia="zh-CN" w:bidi="ar"/>
    </w:rPr>
  </w:style>
  <w:style w:type="paragraph" w:customStyle="1" w:styleId="44">
    <w:name w:val="五级条标题"/>
    <w:basedOn w:val="43"/>
    <w:next w:val="1"/>
    <w:qFormat/>
    <w:uiPriority w:val="0"/>
    <w:pPr>
      <w:keepNext w:val="0"/>
      <w:keepLines w:val="0"/>
      <w:widowControl/>
      <w:numPr>
        <w:ilvl w:val="-1"/>
        <w:numId w:val="0"/>
      </w:numPr>
      <w:suppressLineNumbers w:val="0"/>
      <w:spacing w:before="50" w:beforeLines="50" w:beforeAutospacing="0" w:after="50" w:afterLines="50" w:afterAutospacing="0"/>
      <w:ind w:left="0" w:right="0"/>
      <w:jc w:val="left"/>
      <w:outlineLvl w:val="6"/>
    </w:pPr>
    <w:rPr>
      <w:rFonts w:hint="eastAsia" w:ascii="黑体" w:hAnsi="Times New Roman" w:eastAsia="黑体" w:cs="Times New Roman"/>
      <w:kern w:val="0"/>
      <w:sz w:val="21"/>
      <w:szCs w:val="21"/>
      <w:lang w:val="en-US" w:eastAsia="zh-CN" w:bidi="ar"/>
    </w:rPr>
  </w:style>
  <w:style w:type="paragraph" w:customStyle="1" w:styleId="45">
    <w:name w:val="正文1"/>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46">
    <w:name w:val="一级条标题"/>
    <w:basedOn w:val="1"/>
    <w:next w:val="37"/>
    <w:qFormat/>
    <w:uiPriority w:val="0"/>
    <w:pPr>
      <w:keepNext w:val="0"/>
      <w:keepLines w:val="0"/>
      <w:widowControl/>
      <w:numPr>
        <w:ilvl w:val="1"/>
        <w:numId w:val="6"/>
      </w:numPr>
      <w:suppressLineNumbers w:val="0"/>
      <w:spacing w:before="0" w:beforeLines="50" w:beforeAutospacing="0" w:after="0" w:afterLines="50" w:afterAutospacing="0"/>
      <w:ind w:left="0" w:right="0" w:firstLine="0"/>
      <w:jc w:val="left"/>
      <w:outlineLvl w:val="2"/>
    </w:pPr>
    <w:rPr>
      <w:rFonts w:hint="eastAsia" w:ascii="黑体" w:hAnsi="Times New Roman" w:eastAsia="黑体" w:cs="Times New Roman"/>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81C2F-652A-48AC-8200-08F92B4DCE1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Pages>
  <Words>762</Words>
  <Characters>4347</Characters>
  <Lines>36</Lines>
  <Paragraphs>10</Paragraphs>
  <TotalTime>2</TotalTime>
  <ScaleCrop>false</ScaleCrop>
  <LinksUpToDate>false</LinksUpToDate>
  <CharactersWithSpaces>5099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2017-05-09T06:36:00Z</dcterms:created>
  <dc:creator>MC SYSTEM</dc:creator>
  <cp:lastModifiedBy>李云伟</cp:lastModifiedBy>
  <cp:lastPrinted>2009-06-15T01:17:00Z</cp:lastPrinted>
  <dcterms:modified xsi:type="dcterms:W3CDTF">2022-04-29T10:19:40Z</dcterms:modified>
  <dc:title>工业和信息化部</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DDDCAAFF07A7481A842C962F05231DFA</vt:lpwstr>
  </property>
</Properties>
</file>