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r>
        <w:rPr>
          <w:rFonts w:hint="eastAsia" w:ascii="黑体" w:hAnsi="黑体" w:eastAsia="黑体"/>
          <w:sz w:val="32"/>
          <w:szCs w:val="32"/>
        </w:rPr>
        <w:t>退役、拆解回收黑梯炸药</w:t>
      </w:r>
      <w:r>
        <w:rPr>
          <w:rFonts w:hint="eastAsia" w:ascii="黑体" w:hAnsi="黑体" w:eastAsia="黑体"/>
          <w:sz w:val="32"/>
          <w:szCs w:val="32"/>
          <w:lang w:eastAsia="zh-CN"/>
        </w:rPr>
        <w:t>（试行</w:t>
      </w:r>
      <w:bookmarkStart w:id="2" w:name="_GoBack"/>
      <w:bookmarkEnd w:id="2"/>
      <w:r>
        <w:rPr>
          <w:rFonts w:hint="eastAsia" w:ascii="黑体" w:hAnsi="黑体" w:eastAsia="黑体"/>
          <w:sz w:val="32"/>
          <w:szCs w:val="32"/>
          <w:lang w:eastAsia="zh-CN"/>
        </w:rPr>
        <w:t>）</w:t>
      </w:r>
    </w:p>
    <w:p>
      <w:pPr>
        <w:pStyle w:val="13"/>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范围</w:t>
      </w:r>
    </w:p>
    <w:p>
      <w:pPr>
        <w:pStyle w:val="13"/>
        <w:spacing w:line="276" w:lineRule="auto"/>
        <w:rPr>
          <w:rFonts w:ascii="宋体" w:hAnsi="宋体" w:eastAsia="宋体"/>
          <w:szCs w:val="21"/>
        </w:rPr>
      </w:pPr>
      <w:r>
        <w:rPr>
          <w:rFonts w:hint="eastAsia" w:ascii="宋体" w:hAnsi="宋体" w:eastAsia="宋体"/>
          <w:szCs w:val="21"/>
        </w:rPr>
        <w:t>本文件规定了退役、拆解回收黑梯炸药的要求、检验规则、试验方法以及标志、包装、运输、贮存等内容。</w:t>
      </w:r>
    </w:p>
    <w:p>
      <w:pPr>
        <w:pStyle w:val="13"/>
        <w:spacing w:line="276" w:lineRule="auto"/>
        <w:rPr>
          <w:rFonts w:ascii="宋体" w:hAnsi="宋体" w:eastAsia="宋体"/>
          <w:szCs w:val="21"/>
        </w:rPr>
      </w:pPr>
      <w:r>
        <w:rPr>
          <w:rFonts w:hint="eastAsia" w:ascii="宋体" w:hAnsi="宋体" w:eastAsia="宋体"/>
          <w:szCs w:val="21"/>
        </w:rPr>
        <w:t>本文件适用于拆解回收黑梯炸药的验收。</w:t>
      </w:r>
    </w:p>
    <w:p>
      <w:pPr>
        <w:pStyle w:val="13"/>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规范性引用文件</w:t>
      </w:r>
    </w:p>
    <w:p>
      <w:pPr>
        <w:pStyle w:val="13"/>
        <w:spacing w:line="276" w:lineRule="auto"/>
        <w:rPr>
          <w:rFonts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 190  危险货物包装标志</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GB/T 2828  逐批检查计数抽样程序及抽样表（适用于连续批的检查）</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GB/T 4456  包装用聚乙烯吹塑薄膜</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 50089  民用爆炸物品工程设计安全标准</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GB/T 6682-2008</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分析实验室用水规格和试验方法</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GB/T 7968  纸袋纸</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GB/T 8946  塑料编织袋</w:t>
      </w:r>
      <w:r>
        <w:rPr>
          <w:rFonts w:hint="eastAsia" w:ascii="Times New Roman" w:hAnsi="Times New Roman" w:eastAsia="宋体" w:cs="Times New Roman"/>
          <w:szCs w:val="21"/>
        </w:rPr>
        <w:t xml:space="preserve"> </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GB/T 14436  工业产品保证文件 总则</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 14493—2003  工业炸药包装</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GB 28263  民用爆炸物品生产、销售企业安全管理规程</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GJB 772A—1997  炸药试验方法</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GJB 1886  标准溶液的制备和标定</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GA 921  民用爆炸物品警示标识、登记标识通则</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《军工危险化学品安全管理暂行办法》</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国家国防科技工业局</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2017年2月</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科工安密[2017]177号</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《军工危险化学品安全技术说明书和使用指南（试行）》</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国家国防科技工业局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2018年4月 </w:t>
      </w:r>
      <w:r>
        <w:rPr>
          <w:rFonts w:hint="eastAsia" w:ascii="Times New Roman" w:hAnsi="Times New Roman" w:eastAsia="宋体" w:cs="Times New Roman"/>
          <w:szCs w:val="21"/>
        </w:rPr>
        <w:t xml:space="preserve"> </w:t>
      </w:r>
      <w:r>
        <w:rPr>
          <w:rFonts w:ascii="Times New Roman" w:hAnsi="Times New Roman" w:eastAsia="宋体" w:cs="Times New Roman"/>
          <w:szCs w:val="21"/>
        </w:rPr>
        <w:t>科工安密[2018]529号</w:t>
      </w:r>
    </w:p>
    <w:p>
      <w:pPr>
        <w:pStyle w:val="13"/>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要求</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分级</w:t>
      </w:r>
    </w:p>
    <w:p>
      <w:pPr>
        <w:spacing w:line="276" w:lineRule="auto"/>
        <w:outlineLvl w:val="1"/>
        <w:rPr>
          <w:rFonts w:ascii="宋体" w:hAnsi="宋体" w:eastAsia="宋体"/>
          <w:szCs w:val="21"/>
        </w:rPr>
      </w:pPr>
      <w:r>
        <w:rPr>
          <w:rFonts w:ascii="黑体" w:hAnsi="黑体" w:eastAsia="黑体"/>
          <w:szCs w:val="21"/>
        </w:rPr>
        <w:t>3.1.1</w:t>
      </w:r>
      <w:r>
        <w:rPr>
          <w:rFonts w:ascii="宋体" w:hAnsi="宋体" w:eastAsia="宋体"/>
          <w:szCs w:val="21"/>
        </w:rPr>
        <w:t xml:space="preserve">  </w:t>
      </w:r>
      <w:r>
        <w:rPr>
          <w:rFonts w:hint="eastAsia" w:ascii="宋体" w:hAnsi="宋体" w:eastAsia="宋体"/>
          <w:szCs w:val="21"/>
        </w:rPr>
        <w:t>一级品：</w:t>
      </w:r>
      <w:r>
        <w:rPr>
          <w:rFonts w:ascii="宋体" w:hAnsi="宋体" w:eastAsia="宋体"/>
          <w:szCs w:val="21"/>
        </w:rPr>
        <w:t>拆解回收</w:t>
      </w:r>
      <w:r>
        <w:rPr>
          <w:rFonts w:hint="eastAsia" w:ascii="宋体" w:hAnsi="宋体" w:eastAsia="宋体"/>
          <w:szCs w:val="21"/>
        </w:rPr>
        <w:t>后</w:t>
      </w:r>
      <w:r>
        <w:rPr>
          <w:rFonts w:ascii="宋体" w:hAnsi="宋体" w:eastAsia="宋体"/>
          <w:szCs w:val="21"/>
        </w:rPr>
        <w:t>经过</w:t>
      </w:r>
      <w:r>
        <w:rPr>
          <w:rFonts w:hint="eastAsia" w:ascii="宋体" w:hAnsi="宋体" w:eastAsia="宋体"/>
          <w:szCs w:val="21"/>
        </w:rPr>
        <w:t>深度</w:t>
      </w:r>
      <w:r>
        <w:rPr>
          <w:rFonts w:ascii="宋体" w:hAnsi="宋体" w:eastAsia="宋体"/>
          <w:szCs w:val="21"/>
        </w:rPr>
        <w:t>加工</w:t>
      </w:r>
      <w:r>
        <w:rPr>
          <w:rFonts w:hint="eastAsia" w:ascii="宋体" w:hAnsi="宋体" w:eastAsia="宋体"/>
          <w:szCs w:val="21"/>
        </w:rPr>
        <w:t>处理</w:t>
      </w:r>
      <w:r>
        <w:rPr>
          <w:rFonts w:ascii="宋体" w:hAnsi="宋体" w:eastAsia="宋体"/>
          <w:szCs w:val="21"/>
        </w:rPr>
        <w:t>的</w:t>
      </w:r>
      <w:r>
        <w:rPr>
          <w:rFonts w:hint="eastAsia" w:ascii="宋体" w:hAnsi="宋体" w:eastAsia="宋体"/>
          <w:szCs w:val="21"/>
        </w:rPr>
        <w:t>黑</w:t>
      </w:r>
      <w:r>
        <w:rPr>
          <w:rFonts w:ascii="宋体" w:hAnsi="宋体" w:eastAsia="宋体"/>
          <w:szCs w:val="21"/>
        </w:rPr>
        <w:t>梯</w:t>
      </w:r>
      <w:r>
        <w:rPr>
          <w:rFonts w:hint="eastAsia" w:ascii="宋体" w:hAnsi="宋体" w:eastAsia="宋体"/>
          <w:szCs w:val="21"/>
        </w:rPr>
        <w:t>炸药，产品颗粒度较小、均匀性较好</w:t>
      </w:r>
      <w:r>
        <w:rPr>
          <w:rFonts w:ascii="宋体" w:hAnsi="宋体" w:eastAsia="宋体"/>
          <w:szCs w:val="21"/>
        </w:rPr>
        <w:t>。</w:t>
      </w:r>
    </w:p>
    <w:p>
      <w:pPr>
        <w:spacing w:line="276" w:lineRule="auto"/>
        <w:outlineLvl w:val="1"/>
        <w:rPr>
          <w:rFonts w:ascii="宋体" w:hAnsi="宋体" w:eastAsia="宋体"/>
          <w:szCs w:val="21"/>
        </w:rPr>
      </w:pPr>
      <w:r>
        <w:rPr>
          <w:rFonts w:ascii="黑体" w:hAnsi="黑体" w:eastAsia="黑体"/>
          <w:szCs w:val="21"/>
        </w:rPr>
        <w:t>3.1.2</w:t>
      </w:r>
      <w:r>
        <w:rPr>
          <w:rFonts w:ascii="宋体" w:hAnsi="宋体" w:eastAsia="宋体"/>
          <w:szCs w:val="21"/>
        </w:rPr>
        <w:t xml:space="preserve">  </w:t>
      </w:r>
      <w:r>
        <w:rPr>
          <w:rFonts w:hint="eastAsia" w:ascii="宋体" w:hAnsi="宋体" w:eastAsia="宋体"/>
          <w:szCs w:val="21"/>
        </w:rPr>
        <w:t>二级品</w:t>
      </w:r>
      <w:r>
        <w:rPr>
          <w:rFonts w:ascii="宋体" w:hAnsi="宋体" w:eastAsia="宋体"/>
          <w:szCs w:val="21"/>
        </w:rPr>
        <w:t>：</w:t>
      </w:r>
      <w:bookmarkStart w:id="0" w:name="_Hlk104096730"/>
      <w:r>
        <w:rPr>
          <w:rFonts w:ascii="宋体" w:hAnsi="宋体" w:eastAsia="宋体"/>
          <w:szCs w:val="21"/>
        </w:rPr>
        <w:t>拆解回收</w:t>
      </w:r>
      <w:r>
        <w:rPr>
          <w:rFonts w:hint="eastAsia" w:ascii="宋体" w:hAnsi="宋体" w:eastAsia="宋体"/>
          <w:szCs w:val="21"/>
        </w:rPr>
        <w:t>后经过检测、剔除可见机械杂质的黑</w:t>
      </w:r>
      <w:r>
        <w:rPr>
          <w:rFonts w:ascii="宋体" w:hAnsi="宋体" w:eastAsia="宋体"/>
          <w:szCs w:val="21"/>
        </w:rPr>
        <w:t>梯</w:t>
      </w:r>
      <w:r>
        <w:rPr>
          <w:rFonts w:hint="eastAsia" w:ascii="宋体" w:hAnsi="宋体" w:eastAsia="宋体"/>
          <w:szCs w:val="21"/>
        </w:rPr>
        <w:t>炸药，保留原尺寸、形状</w:t>
      </w:r>
      <w:r>
        <w:rPr>
          <w:rFonts w:ascii="宋体" w:hAnsi="宋体" w:eastAsia="宋体"/>
          <w:szCs w:val="21"/>
        </w:rPr>
        <w:t>。</w:t>
      </w:r>
      <w:bookmarkEnd w:id="0"/>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外观</w:t>
      </w:r>
    </w:p>
    <w:p>
      <w:pPr>
        <w:pStyle w:val="13"/>
        <w:spacing w:line="276" w:lineRule="auto"/>
        <w:rPr>
          <w:rFonts w:ascii="宋体" w:hAnsi="宋体" w:eastAsia="宋体"/>
          <w:szCs w:val="21"/>
        </w:rPr>
      </w:pPr>
      <w:r>
        <w:rPr>
          <w:rFonts w:hint="eastAsia" w:ascii="宋体" w:hAnsi="宋体" w:eastAsia="宋体"/>
          <w:szCs w:val="21"/>
        </w:rPr>
        <w:t>一般为淡黄色块状或颗粒状固体</w:t>
      </w:r>
      <w:r>
        <w:rPr>
          <w:rFonts w:ascii="宋体" w:hAnsi="宋体" w:eastAsia="宋体"/>
          <w:szCs w:val="21"/>
        </w:rPr>
        <w:t>，</w:t>
      </w:r>
      <w:r>
        <w:rPr>
          <w:rFonts w:hint="eastAsia" w:ascii="宋体" w:hAnsi="宋体" w:eastAsia="宋体"/>
          <w:szCs w:val="21"/>
        </w:rPr>
        <w:t>应</w:t>
      </w:r>
      <w:r>
        <w:rPr>
          <w:rFonts w:ascii="宋体" w:hAnsi="宋体" w:eastAsia="宋体"/>
          <w:szCs w:val="21"/>
        </w:rPr>
        <w:t>无目视可见的</w:t>
      </w:r>
      <w:r>
        <w:rPr>
          <w:rFonts w:hint="eastAsia" w:ascii="宋体" w:hAnsi="宋体" w:eastAsia="宋体"/>
          <w:szCs w:val="21"/>
        </w:rPr>
        <w:t>机械</w:t>
      </w:r>
      <w:r>
        <w:rPr>
          <w:rFonts w:ascii="宋体" w:hAnsi="宋体" w:eastAsia="宋体"/>
          <w:szCs w:val="21"/>
        </w:rPr>
        <w:t>杂质</w:t>
      </w:r>
      <w:r>
        <w:rPr>
          <w:rFonts w:hint="eastAsia" w:ascii="宋体" w:hAnsi="宋体" w:eastAsia="宋体"/>
          <w:szCs w:val="21"/>
        </w:rPr>
        <w:t>。一级品粒度尺寸宜小于</w:t>
      </w:r>
      <w:r>
        <w:rPr>
          <w:rFonts w:hint="eastAsia" w:ascii="Times New Roman" w:hAnsi="Times New Roman" w:eastAsia="宋体" w:cs="Times New Roman"/>
          <w:szCs w:val="21"/>
        </w:rPr>
        <w:t>Φ</w:t>
      </w:r>
      <w:r>
        <w:rPr>
          <w:rFonts w:ascii="Times New Roman" w:hAnsi="Times New Roman" w:eastAsia="宋体" w:cs="Times New Roman"/>
          <w:szCs w:val="21"/>
        </w:rPr>
        <w:t>30mm</w:t>
      </w:r>
      <w:r>
        <w:rPr>
          <w:rFonts w:hint="eastAsia" w:ascii="宋体" w:hAnsi="宋体" w:eastAsia="宋体"/>
          <w:szCs w:val="21"/>
        </w:rPr>
        <w:t>，或按需求定制的其他粒径。</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理化性能</w:t>
      </w:r>
    </w:p>
    <w:p>
      <w:pPr>
        <w:pStyle w:val="13"/>
        <w:spacing w:line="276" w:lineRule="auto"/>
        <w:rPr>
          <w:rFonts w:ascii="宋体" w:hAnsi="宋体" w:eastAsia="宋体"/>
          <w:szCs w:val="21"/>
        </w:rPr>
      </w:pPr>
      <w:r>
        <w:rPr>
          <w:rFonts w:hint="eastAsia" w:ascii="宋体" w:hAnsi="宋体" w:eastAsia="宋体"/>
          <w:szCs w:val="21"/>
        </w:rPr>
        <w:t>拆解回收</w:t>
      </w:r>
      <w:r>
        <w:rPr>
          <w:rFonts w:ascii="宋体" w:hAnsi="宋体" w:eastAsia="宋体"/>
          <w:szCs w:val="21"/>
        </w:rPr>
        <w:t>黑</w:t>
      </w:r>
      <w:r>
        <w:rPr>
          <w:rFonts w:hint="eastAsia" w:ascii="宋体" w:hAnsi="宋体" w:eastAsia="宋体"/>
          <w:szCs w:val="21"/>
        </w:rPr>
        <w:t>梯炸药理化性能应符合</w:t>
      </w:r>
      <w:r>
        <w:rPr>
          <w:rFonts w:hint="eastAsia" w:ascii="Times New Roman" w:hAnsi="Times New Roman" w:eastAsia="宋体" w:cs="Times New Roman"/>
          <w:szCs w:val="21"/>
        </w:rPr>
        <w:t>表</w:t>
      </w:r>
      <w:r>
        <w:rPr>
          <w:rFonts w:ascii="Times New Roman" w:hAnsi="Times New Roman" w:eastAsia="宋体" w:cs="Times New Roman"/>
          <w:szCs w:val="21"/>
        </w:rPr>
        <w:t>1的</w:t>
      </w:r>
      <w:r>
        <w:rPr>
          <w:rFonts w:hint="eastAsia" w:ascii="宋体" w:hAnsi="宋体" w:eastAsia="宋体"/>
          <w:szCs w:val="21"/>
        </w:rPr>
        <w:t>规定。</w:t>
      </w:r>
    </w:p>
    <w:p>
      <w:pPr>
        <w:pStyle w:val="13"/>
        <w:spacing w:line="276" w:lineRule="auto"/>
        <w:ind w:firstLine="0" w:firstLineChars="0"/>
        <w:jc w:val="center"/>
        <w:rPr>
          <w:rFonts w:ascii="黑体" w:hAnsi="黑体" w:eastAsia="黑体"/>
          <w:szCs w:val="21"/>
        </w:rPr>
      </w:pPr>
    </w:p>
    <w:p>
      <w:pPr>
        <w:pStyle w:val="13"/>
        <w:spacing w:line="276" w:lineRule="auto"/>
        <w:ind w:firstLine="0" w:firstLineChars="0"/>
        <w:jc w:val="center"/>
        <w:rPr>
          <w:rFonts w:ascii="黑体" w:hAnsi="黑体" w:eastAsia="黑体"/>
          <w:szCs w:val="21"/>
        </w:rPr>
      </w:pPr>
      <w:r>
        <w:rPr>
          <w:rFonts w:hint="eastAsia" w:ascii="黑体" w:hAnsi="黑体" w:eastAsia="黑体"/>
          <w:szCs w:val="21"/>
        </w:rPr>
        <w:t>表1</w:t>
      </w:r>
      <w:r>
        <w:rPr>
          <w:rFonts w:ascii="黑体" w:hAnsi="黑体" w:eastAsia="黑体"/>
          <w:szCs w:val="21"/>
        </w:rPr>
        <w:t xml:space="preserve">  </w:t>
      </w:r>
      <w:r>
        <w:rPr>
          <w:rFonts w:hint="eastAsia" w:ascii="黑体" w:hAnsi="黑体" w:eastAsia="黑体"/>
          <w:szCs w:val="21"/>
        </w:rPr>
        <w:t>拆解回收黑梯炸药理化性能</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1"/>
        <w:gridCol w:w="1277"/>
        <w:gridCol w:w="62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07" w:type="pct"/>
            <w:gridSpan w:val="2"/>
            <w:vAlign w:val="center"/>
          </w:tcPr>
          <w:p>
            <w:pPr>
              <w:pStyle w:val="13"/>
              <w:spacing w:line="276"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3693" w:type="pct"/>
            <w:vAlign w:val="center"/>
          </w:tcPr>
          <w:p>
            <w:pPr>
              <w:pStyle w:val="13"/>
              <w:spacing w:line="276"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 w:hRule="atLeast"/>
          <w:jc w:val="center"/>
        </w:trPr>
        <w:tc>
          <w:tcPr>
            <w:tcW w:w="1307" w:type="pct"/>
            <w:gridSpan w:val="2"/>
            <w:vAlign w:val="center"/>
          </w:tcPr>
          <w:p>
            <w:pPr>
              <w:pStyle w:val="13"/>
              <w:spacing w:line="276"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黑索今含量，%</w:t>
            </w:r>
          </w:p>
        </w:tc>
        <w:tc>
          <w:tcPr>
            <w:tcW w:w="3693" w:type="pct"/>
            <w:vAlign w:val="center"/>
          </w:tcPr>
          <w:p>
            <w:pPr>
              <w:pStyle w:val="13"/>
              <w:spacing w:line="276"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45~85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 w:hRule="atLeast"/>
          <w:jc w:val="center"/>
        </w:trPr>
        <w:tc>
          <w:tcPr>
            <w:tcW w:w="1307" w:type="pct"/>
            <w:gridSpan w:val="2"/>
            <w:vAlign w:val="center"/>
          </w:tcPr>
          <w:p>
            <w:pPr>
              <w:pStyle w:val="13"/>
              <w:spacing w:line="276"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梯恩梯含量，%</w:t>
            </w:r>
          </w:p>
        </w:tc>
        <w:tc>
          <w:tcPr>
            <w:tcW w:w="3693" w:type="pct"/>
            <w:vAlign w:val="center"/>
          </w:tcPr>
          <w:p>
            <w:pPr>
              <w:pStyle w:val="13"/>
              <w:spacing w:line="276"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15~55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1307" w:type="pct"/>
            <w:gridSpan w:val="2"/>
            <w:vAlign w:val="center"/>
          </w:tcPr>
          <w:p>
            <w:pPr>
              <w:pStyle w:val="13"/>
              <w:spacing w:line="280" w:lineRule="exact"/>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水分，%</w:t>
            </w:r>
          </w:p>
        </w:tc>
        <w:tc>
          <w:tcPr>
            <w:tcW w:w="3693" w:type="pct"/>
            <w:vAlign w:val="center"/>
          </w:tcPr>
          <w:p>
            <w:pPr>
              <w:pStyle w:val="13"/>
              <w:spacing w:line="280" w:lineRule="exact"/>
              <w:ind w:firstLine="0" w:firstLineChars="0"/>
              <w:jc w:val="center"/>
              <w:rPr>
                <w:rFonts w:ascii="Times New Roman" w:hAnsi="Times New Roman" w:eastAsia="宋体" w:cs="Times New Roman"/>
                <w:szCs w:val="21"/>
              </w:rPr>
            </w:pPr>
            <w:r>
              <w:rPr>
                <w:rFonts w:hint="eastAsia" w:ascii="宋体" w:hAnsi="宋体" w:eastAsia="宋体"/>
                <w:szCs w:val="21"/>
              </w:rPr>
              <w:t>≤</w:t>
            </w:r>
            <w:r>
              <w:rPr>
                <w:rFonts w:ascii="Times New Roman" w:hAnsi="Times New Roman" w:eastAsia="宋体" w:cs="Times New Roman"/>
                <w:szCs w:val="21"/>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558" w:type="pct"/>
            <w:vMerge w:val="restart"/>
            <w:vAlign w:val="center"/>
          </w:tcPr>
          <w:p>
            <w:pPr>
              <w:pStyle w:val="13"/>
              <w:spacing w:line="280" w:lineRule="exact"/>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不溶</w:t>
            </w:r>
          </w:p>
          <w:p>
            <w:pPr>
              <w:pStyle w:val="13"/>
              <w:spacing w:line="280" w:lineRule="exact"/>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颗粒</w:t>
            </w:r>
          </w:p>
        </w:tc>
        <w:tc>
          <w:tcPr>
            <w:tcW w:w="749" w:type="pct"/>
            <w:vAlign w:val="center"/>
          </w:tcPr>
          <w:p>
            <w:pPr>
              <w:pStyle w:val="13"/>
              <w:spacing w:line="280" w:lineRule="exact"/>
              <w:ind w:firstLine="0" w:firstLineChars="0"/>
              <w:jc w:val="center"/>
              <w:rPr>
                <w:rFonts w:ascii="Times New Roman" w:hAnsi="Times New Roman" w:eastAsia="宋体" w:cs="Times New Roman"/>
                <w:szCs w:val="21"/>
              </w:rPr>
            </w:pPr>
            <w:r>
              <w:rPr>
                <w:rFonts w:ascii="Times New Roman" w:hAnsi="Times New Roman" w:eastAsia="宋体" w:cs="Times New Roman"/>
                <w:i/>
                <w:iCs/>
                <w:szCs w:val="21"/>
              </w:rPr>
              <w:t>Φ</w:t>
            </w:r>
            <w:r>
              <w:rPr>
                <w:rFonts w:ascii="Times New Roman" w:hAnsi="Times New Roman" w:eastAsia="宋体" w:cs="Times New Roman"/>
                <w:szCs w:val="21"/>
              </w:rPr>
              <w:t xml:space="preserve">0.25mm </w:t>
            </w:r>
          </w:p>
        </w:tc>
        <w:tc>
          <w:tcPr>
            <w:tcW w:w="3693" w:type="pct"/>
            <w:vAlign w:val="center"/>
          </w:tcPr>
          <w:p>
            <w:pPr>
              <w:pStyle w:val="13"/>
              <w:spacing w:line="280" w:lineRule="exact"/>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＜5个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558" w:type="pct"/>
            <w:vMerge w:val="continue"/>
            <w:vAlign w:val="center"/>
          </w:tcPr>
          <w:p>
            <w:pPr>
              <w:pStyle w:val="13"/>
              <w:spacing w:line="280" w:lineRule="exact"/>
              <w:ind w:firstLine="0" w:firstLineChars="0"/>
              <w:jc w:val="center"/>
              <w:rPr>
                <w:rFonts w:ascii="Times New Roman" w:hAnsi="Times New Roman" w:eastAsia="宋体" w:cs="Times New Roman"/>
                <w:szCs w:val="21"/>
              </w:rPr>
            </w:pPr>
          </w:p>
        </w:tc>
        <w:tc>
          <w:tcPr>
            <w:tcW w:w="749" w:type="pct"/>
            <w:vAlign w:val="center"/>
          </w:tcPr>
          <w:p>
            <w:pPr>
              <w:pStyle w:val="13"/>
              <w:spacing w:line="280" w:lineRule="exact"/>
              <w:ind w:firstLine="0" w:firstLineChars="0"/>
              <w:jc w:val="center"/>
              <w:rPr>
                <w:rFonts w:ascii="Times New Roman" w:hAnsi="Times New Roman" w:eastAsia="宋体" w:cs="Times New Roman"/>
                <w:szCs w:val="21"/>
              </w:rPr>
            </w:pPr>
            <w:r>
              <w:rPr>
                <w:rFonts w:ascii="Times New Roman" w:hAnsi="Times New Roman" w:eastAsia="宋体" w:cs="Times New Roman"/>
                <w:i/>
                <w:iCs/>
                <w:szCs w:val="21"/>
              </w:rPr>
              <w:t>Φ</w:t>
            </w:r>
            <w:r>
              <w:rPr>
                <w:rFonts w:ascii="Times New Roman" w:hAnsi="Times New Roman" w:eastAsia="宋体" w:cs="Times New Roman"/>
                <w:szCs w:val="21"/>
              </w:rPr>
              <w:t>0.4mm</w:t>
            </w:r>
          </w:p>
        </w:tc>
        <w:tc>
          <w:tcPr>
            <w:tcW w:w="3693" w:type="pct"/>
            <w:vAlign w:val="center"/>
          </w:tcPr>
          <w:p>
            <w:pPr>
              <w:pStyle w:val="13"/>
              <w:spacing w:line="280" w:lineRule="exact"/>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无</w:t>
            </w:r>
          </w:p>
        </w:tc>
      </w:tr>
    </w:tbl>
    <w:p>
      <w:pPr>
        <w:pStyle w:val="13"/>
        <w:numPr>
          <w:ilvl w:val="1"/>
          <w:numId w:val="1"/>
        </w:numPr>
        <w:spacing w:before="156" w:beforeLines="50" w:line="276" w:lineRule="auto"/>
        <w:ind w:left="527" w:hanging="527" w:firstLineChars="0"/>
        <w:outlineLvl w:val="1"/>
        <w:rPr>
          <w:rFonts w:ascii="黑体" w:hAnsi="黑体" w:eastAsia="黑体"/>
          <w:szCs w:val="21"/>
        </w:rPr>
      </w:pPr>
      <w:r>
        <w:rPr>
          <w:rFonts w:hint="eastAsia" w:ascii="黑体" w:hAnsi="黑体" w:eastAsia="黑体"/>
          <w:szCs w:val="21"/>
        </w:rPr>
        <w:t>安全性能</w:t>
      </w:r>
    </w:p>
    <w:p>
      <w:pPr>
        <w:pStyle w:val="13"/>
        <w:spacing w:line="276" w:lineRule="auto"/>
        <w:ind w:left="488" w:firstLine="0" w:firstLineChars="0"/>
        <w:rPr>
          <w:rFonts w:ascii="宋体" w:hAnsi="宋体" w:eastAsia="宋体"/>
          <w:szCs w:val="21"/>
        </w:rPr>
      </w:pPr>
      <w:r>
        <w:rPr>
          <w:rFonts w:hint="eastAsia" w:ascii="宋体" w:hAnsi="宋体" w:eastAsia="宋体"/>
          <w:szCs w:val="21"/>
        </w:rPr>
        <w:t>拆解回收黑梯炸药安全性能应符合表</w:t>
      </w:r>
      <w:r>
        <w:rPr>
          <w:rFonts w:ascii="Times New Roman" w:hAnsi="Times New Roman" w:eastAsia="宋体" w:cs="Times New Roman"/>
          <w:szCs w:val="21"/>
        </w:rPr>
        <w:t>2</w:t>
      </w:r>
      <w:r>
        <w:rPr>
          <w:rFonts w:hint="eastAsia" w:ascii="宋体" w:hAnsi="宋体" w:eastAsia="宋体"/>
          <w:szCs w:val="21"/>
        </w:rPr>
        <w:t>的规定。</w:t>
      </w:r>
    </w:p>
    <w:p>
      <w:pPr>
        <w:pStyle w:val="13"/>
        <w:spacing w:line="276" w:lineRule="auto"/>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2  </w:t>
      </w:r>
      <w:r>
        <w:rPr>
          <w:rFonts w:hint="eastAsia" w:ascii="黑体" w:hAnsi="黑体" w:eastAsia="黑体"/>
          <w:szCs w:val="21"/>
        </w:rPr>
        <w:t>拆解回收黑梯炸药安全性能</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18"/>
        <w:gridCol w:w="43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75" w:type="pct"/>
            <w:vAlign w:val="center"/>
          </w:tcPr>
          <w:p>
            <w:pPr>
              <w:pStyle w:val="13"/>
              <w:spacing w:line="276" w:lineRule="auto"/>
              <w:ind w:firstLine="0" w:firstLineChars="0"/>
              <w:jc w:val="center"/>
              <w:rPr>
                <w:rFonts w:ascii="宋体" w:hAnsi="宋体" w:eastAsia="宋体"/>
                <w:szCs w:val="21"/>
              </w:rPr>
            </w:pPr>
            <w:r>
              <w:rPr>
                <w:rFonts w:hint="eastAsia" w:ascii="宋体" w:hAnsi="宋体" w:eastAsia="宋体"/>
                <w:szCs w:val="21"/>
              </w:rPr>
              <w:t>项目</w:t>
            </w:r>
          </w:p>
        </w:tc>
        <w:tc>
          <w:tcPr>
            <w:tcW w:w="2525" w:type="pct"/>
            <w:vAlign w:val="center"/>
          </w:tcPr>
          <w:p>
            <w:pPr>
              <w:pStyle w:val="13"/>
              <w:spacing w:line="276" w:lineRule="auto"/>
              <w:ind w:firstLine="0" w:firstLineChars="0"/>
              <w:jc w:val="center"/>
              <w:rPr>
                <w:rFonts w:ascii="宋体" w:hAnsi="宋体" w:eastAsia="宋体"/>
                <w:szCs w:val="21"/>
              </w:rPr>
            </w:pPr>
            <w:r>
              <w:rPr>
                <w:rFonts w:hint="eastAsia" w:ascii="宋体" w:hAnsi="宋体" w:eastAsia="宋体"/>
                <w:szCs w:val="21"/>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2475" w:type="pct"/>
            <w:vAlign w:val="center"/>
          </w:tcPr>
          <w:p>
            <w:pPr>
              <w:pStyle w:val="13"/>
              <w:spacing w:line="276" w:lineRule="auto"/>
              <w:ind w:firstLine="0" w:firstLineChars="0"/>
              <w:jc w:val="center"/>
              <w:rPr>
                <w:rFonts w:ascii="宋体" w:hAnsi="宋体" w:eastAsia="宋体"/>
                <w:szCs w:val="21"/>
              </w:rPr>
            </w:pPr>
            <w:r>
              <w:rPr>
                <w:rFonts w:hint="eastAsia" w:ascii="宋体" w:hAnsi="宋体" w:eastAsia="宋体"/>
                <w:szCs w:val="21"/>
              </w:rPr>
              <w:t>撞击感度，%</w:t>
            </w:r>
          </w:p>
        </w:tc>
        <w:tc>
          <w:tcPr>
            <w:tcW w:w="2525" w:type="pct"/>
            <w:vAlign w:val="center"/>
          </w:tcPr>
          <w:p>
            <w:pPr>
              <w:pStyle w:val="13"/>
              <w:spacing w:line="280" w:lineRule="exact"/>
              <w:ind w:firstLine="0" w:firstLineChars="0"/>
              <w:jc w:val="center"/>
              <w:rPr>
                <w:rFonts w:ascii="宋体" w:hAnsi="宋体" w:eastAsia="宋体"/>
                <w:szCs w:val="21"/>
              </w:rPr>
            </w:pPr>
            <w:r>
              <w:rPr>
                <w:rFonts w:hint="eastAsia" w:ascii="宋体" w:hAnsi="宋体" w:eastAsia="宋体"/>
                <w:szCs w:val="21"/>
              </w:rPr>
              <w:t>≤</w:t>
            </w:r>
            <w:r>
              <w:rPr>
                <w:rFonts w:ascii="宋体" w:hAnsi="宋体" w:eastAsia="宋体"/>
                <w:szCs w:val="21"/>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2475" w:type="pct"/>
            <w:vAlign w:val="center"/>
          </w:tcPr>
          <w:p>
            <w:pPr>
              <w:pStyle w:val="13"/>
              <w:spacing w:line="276" w:lineRule="auto"/>
              <w:ind w:firstLine="0" w:firstLineChars="0"/>
              <w:jc w:val="center"/>
              <w:rPr>
                <w:rFonts w:ascii="宋体" w:hAnsi="宋体" w:eastAsia="宋体"/>
                <w:szCs w:val="21"/>
              </w:rPr>
            </w:pPr>
            <w:r>
              <w:rPr>
                <w:rFonts w:hint="eastAsia" w:ascii="宋体" w:hAnsi="宋体" w:eastAsia="宋体"/>
                <w:szCs w:val="21"/>
              </w:rPr>
              <w:t>摩擦感度，%</w:t>
            </w:r>
          </w:p>
        </w:tc>
        <w:tc>
          <w:tcPr>
            <w:tcW w:w="2525" w:type="pct"/>
            <w:vAlign w:val="center"/>
          </w:tcPr>
          <w:p>
            <w:pPr>
              <w:pStyle w:val="13"/>
              <w:spacing w:line="280" w:lineRule="exact"/>
              <w:ind w:firstLine="0" w:firstLineChars="0"/>
              <w:jc w:val="center"/>
              <w:rPr>
                <w:rFonts w:ascii="宋体" w:hAnsi="宋体" w:eastAsia="宋体"/>
                <w:szCs w:val="21"/>
              </w:rPr>
            </w:pPr>
            <w:r>
              <w:rPr>
                <w:rFonts w:hint="eastAsia" w:ascii="宋体" w:hAnsi="宋体" w:eastAsia="宋体"/>
                <w:szCs w:val="21"/>
              </w:rPr>
              <w:t>≤80</w:t>
            </w:r>
          </w:p>
        </w:tc>
      </w:tr>
    </w:tbl>
    <w:p>
      <w:pPr>
        <w:pStyle w:val="13"/>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检验规则</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检验项目</w:t>
      </w:r>
    </w:p>
    <w:p>
      <w:pPr>
        <w:pStyle w:val="13"/>
        <w:spacing w:line="276" w:lineRule="auto"/>
        <w:rPr>
          <w:rFonts w:ascii="宋体" w:hAnsi="宋体" w:eastAsia="宋体"/>
          <w:szCs w:val="21"/>
        </w:rPr>
      </w:pPr>
      <w:r>
        <w:rPr>
          <w:rFonts w:hint="eastAsia" w:ascii="宋体" w:hAnsi="宋体" w:eastAsia="宋体"/>
          <w:szCs w:val="21"/>
        </w:rPr>
        <w:t>检验项目</w:t>
      </w:r>
      <w:r>
        <w:rPr>
          <w:rFonts w:hint="eastAsia" w:ascii="Times New Roman" w:hAnsi="Times New Roman" w:eastAsia="宋体" w:cs="Times New Roman"/>
          <w:szCs w:val="21"/>
        </w:rPr>
        <w:t>为</w:t>
      </w:r>
      <w:r>
        <w:rPr>
          <w:rFonts w:ascii="Times New Roman" w:hAnsi="Times New Roman" w:eastAsia="宋体" w:cs="Times New Roman"/>
          <w:szCs w:val="21"/>
        </w:rPr>
        <w:t>3.2</w:t>
      </w:r>
      <w:r>
        <w:rPr>
          <w:rFonts w:hint="eastAsia" w:ascii="Times New Roman" w:hAnsi="Times New Roman" w:eastAsia="宋体" w:cs="Times New Roman"/>
          <w:szCs w:val="21"/>
        </w:rPr>
        <w:t>、</w:t>
      </w:r>
      <w:r>
        <w:rPr>
          <w:rFonts w:ascii="Times New Roman" w:hAnsi="Times New Roman" w:eastAsia="宋体" w:cs="Times New Roman"/>
          <w:szCs w:val="21"/>
        </w:rPr>
        <w:t>3.3</w:t>
      </w:r>
      <w:r>
        <w:rPr>
          <w:rFonts w:hint="eastAsia" w:ascii="Times New Roman" w:hAnsi="Times New Roman" w:eastAsia="宋体" w:cs="Times New Roman"/>
          <w:szCs w:val="21"/>
        </w:rPr>
        <w:t>、</w:t>
      </w:r>
      <w:r>
        <w:rPr>
          <w:rFonts w:ascii="Times New Roman" w:hAnsi="Times New Roman" w:eastAsia="宋体" w:cs="Times New Roman"/>
          <w:szCs w:val="21"/>
        </w:rPr>
        <w:t>3.4</w:t>
      </w:r>
      <w:r>
        <w:rPr>
          <w:rFonts w:hint="eastAsia" w:ascii="Times New Roman" w:hAnsi="Times New Roman" w:eastAsia="宋体" w:cs="Times New Roman"/>
          <w:szCs w:val="21"/>
        </w:rPr>
        <w:t>中</w:t>
      </w:r>
      <w:r>
        <w:rPr>
          <w:rFonts w:hint="eastAsia" w:ascii="宋体" w:hAnsi="宋体" w:eastAsia="宋体"/>
          <w:szCs w:val="21"/>
        </w:rPr>
        <w:t>的所有项目。</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组批规则</w:t>
      </w:r>
    </w:p>
    <w:p>
      <w:pPr>
        <w:pStyle w:val="13"/>
        <w:spacing w:line="276" w:lineRule="auto"/>
        <w:rPr>
          <w:rFonts w:ascii="宋体" w:hAnsi="宋体" w:eastAsia="宋体"/>
          <w:szCs w:val="21"/>
        </w:rPr>
      </w:pPr>
      <w:r>
        <w:rPr>
          <w:rFonts w:hint="eastAsia" w:ascii="宋体" w:hAnsi="宋体" w:eastAsia="宋体"/>
          <w:szCs w:val="21"/>
        </w:rPr>
        <w:t>退役、拆解回收黑梯炸药分大小批组织验收。一个大批由同年退役或同年同一弹种拆解回收的产品组成，根据退役或拆解回收量组成若干小批，每一小批量应不大于</w:t>
      </w:r>
      <w:r>
        <w:rPr>
          <w:rFonts w:ascii="Times New Roman" w:hAnsi="Times New Roman" w:eastAsia="宋体" w:cs="Times New Roman"/>
          <w:szCs w:val="21"/>
        </w:rPr>
        <w:t>50t</w:t>
      </w:r>
      <w:r>
        <w:rPr>
          <w:rFonts w:hint="eastAsia" w:ascii="宋体" w:hAnsi="宋体" w:eastAsia="宋体"/>
          <w:szCs w:val="21"/>
        </w:rPr>
        <w:t>。</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抽样</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外观</w:t>
      </w:r>
    </w:p>
    <w:p>
      <w:pPr>
        <w:pStyle w:val="13"/>
        <w:spacing w:line="276" w:lineRule="auto"/>
        <w:rPr>
          <w:rFonts w:ascii="宋体" w:hAnsi="宋体" w:eastAsia="宋体"/>
          <w:szCs w:val="21"/>
        </w:rPr>
      </w:pPr>
      <w:r>
        <w:rPr>
          <w:rFonts w:hint="eastAsia" w:ascii="宋体" w:hAnsi="宋体" w:eastAsia="宋体"/>
          <w:szCs w:val="21"/>
        </w:rPr>
        <w:t>每小</w:t>
      </w:r>
      <w:r>
        <w:rPr>
          <w:rFonts w:ascii="宋体" w:hAnsi="宋体" w:eastAsia="宋体"/>
          <w:szCs w:val="21"/>
        </w:rPr>
        <w:t>批随机确定十个包装</w:t>
      </w:r>
      <w:r>
        <w:rPr>
          <w:rFonts w:hint="eastAsia" w:ascii="宋体" w:hAnsi="宋体" w:eastAsia="宋体"/>
          <w:szCs w:val="21"/>
        </w:rPr>
        <w:t>件进行外观检验，数量不足时，对剩余全部包装件进行外观检验。</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理化性能</w:t>
      </w:r>
    </w:p>
    <w:p>
      <w:pPr>
        <w:pStyle w:val="13"/>
        <w:spacing w:line="276" w:lineRule="auto"/>
        <w:rPr>
          <w:rFonts w:ascii="宋体" w:hAnsi="宋体" w:eastAsia="宋体"/>
          <w:szCs w:val="21"/>
        </w:rPr>
      </w:pPr>
      <w:r>
        <w:rPr>
          <w:rFonts w:hint="eastAsia" w:ascii="宋体" w:hAnsi="宋体" w:eastAsia="宋体"/>
          <w:szCs w:val="21"/>
        </w:rPr>
        <w:t>外观检验合格后才能进行理化性能检验。同一大批内每十个小批组成一个检验批（不足十个批的也构成一个检验批），所需样本从每个检验批第一个小批随机抽取，每个包装件中抽取的检验样品应</w:t>
      </w:r>
      <w:r>
        <w:rPr>
          <w:rFonts w:hint="eastAsia" w:ascii="Times New Roman" w:hAnsi="Times New Roman" w:eastAsia="宋体" w:cs="Times New Roman"/>
          <w:szCs w:val="21"/>
        </w:rPr>
        <w:t>不少于</w:t>
      </w:r>
      <w:r>
        <w:rPr>
          <w:rFonts w:ascii="Times New Roman" w:hAnsi="Times New Roman" w:eastAsia="宋体" w:cs="Times New Roman"/>
          <w:szCs w:val="21"/>
        </w:rPr>
        <w:t>20g，取样总量应不少于200g，混</w:t>
      </w:r>
      <w:r>
        <w:rPr>
          <w:rFonts w:ascii="宋体" w:hAnsi="宋体" w:eastAsia="宋体"/>
          <w:szCs w:val="21"/>
        </w:rPr>
        <w:t>匀后装</w:t>
      </w:r>
      <w:r>
        <w:rPr>
          <w:rFonts w:hint="eastAsia" w:ascii="宋体" w:hAnsi="宋体" w:eastAsia="宋体"/>
          <w:szCs w:val="21"/>
        </w:rPr>
        <w:t>入清洁、干燥的牛皮纸袋或茶色玻璃瓶中，贴上标签作为待测样品。标签上应标明产品名称、批号、检验项目、采样者姓名和采样日期。</w:t>
      </w:r>
    </w:p>
    <w:p>
      <w:pPr>
        <w:pStyle w:val="13"/>
        <w:numPr>
          <w:ilvl w:val="2"/>
          <w:numId w:val="1"/>
        </w:numPr>
        <w:spacing w:line="276" w:lineRule="auto"/>
        <w:ind w:firstLineChars="0"/>
        <w:rPr>
          <w:rFonts w:ascii="黑体" w:hAnsi="黑体" w:eastAsia="黑体"/>
          <w:szCs w:val="21"/>
        </w:rPr>
      </w:pPr>
      <w:r>
        <w:rPr>
          <w:rFonts w:hint="eastAsia" w:ascii="黑体" w:hAnsi="黑体" w:eastAsia="黑体"/>
          <w:szCs w:val="21"/>
        </w:rPr>
        <w:t>安全性能</w:t>
      </w:r>
    </w:p>
    <w:p>
      <w:pPr>
        <w:pStyle w:val="13"/>
        <w:spacing w:line="276" w:lineRule="auto"/>
        <w:rPr>
          <w:rFonts w:ascii="宋体" w:hAnsi="宋体" w:eastAsia="宋体"/>
          <w:szCs w:val="21"/>
        </w:rPr>
      </w:pPr>
      <w:r>
        <w:rPr>
          <w:rFonts w:hint="eastAsia" w:ascii="宋体" w:hAnsi="宋体" w:eastAsia="宋体"/>
          <w:szCs w:val="21"/>
        </w:rPr>
        <w:t>每个大批作为一个检验批，进行一次安全性能检验。从理化性能检验合格的样本中随机抽取，取样总量应不少于</w:t>
      </w:r>
      <w:r>
        <w:rPr>
          <w:rFonts w:ascii="Times New Roman" w:hAnsi="Times New Roman" w:eastAsia="宋体" w:cs="Times New Roman"/>
          <w:szCs w:val="21"/>
        </w:rPr>
        <w:t>100g</w:t>
      </w:r>
      <w:r>
        <w:rPr>
          <w:rFonts w:ascii="宋体" w:hAnsi="宋体" w:eastAsia="宋体"/>
          <w:szCs w:val="21"/>
        </w:rPr>
        <w:t>，混匀后装</w:t>
      </w:r>
      <w:r>
        <w:rPr>
          <w:rFonts w:hint="eastAsia" w:ascii="宋体" w:hAnsi="宋体" w:eastAsia="宋体"/>
          <w:szCs w:val="21"/>
        </w:rPr>
        <w:t>入清洁、干燥的牛皮纸袋或茶色玻璃瓶中，贴上标签作为待测样品。标签上应标明产品名称、批号、检验项目、采样者姓名和采样日期。</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判定规则</w:t>
      </w:r>
    </w:p>
    <w:p>
      <w:pPr>
        <w:pStyle w:val="13"/>
        <w:spacing w:line="276" w:lineRule="auto"/>
        <w:rPr>
          <w:rFonts w:ascii="宋体" w:hAnsi="宋体" w:eastAsia="宋体"/>
          <w:szCs w:val="21"/>
        </w:rPr>
      </w:pPr>
      <w:r>
        <w:rPr>
          <w:rFonts w:hint="eastAsia" w:ascii="宋体" w:hAnsi="宋体" w:eastAsia="宋体"/>
          <w:szCs w:val="21"/>
        </w:rPr>
        <w:t>所检项目均符合要求，则判该批产品合格。若外观质量不合格，应在对产品进行处理后，再次进行外观检验；若理化性能有一项不合格，可对不合格项目进行加倍复验，若复验合格，判该批产品合格，否则，判该批产品不合格。</w:t>
      </w:r>
    </w:p>
    <w:p>
      <w:pPr>
        <w:pStyle w:val="13"/>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试验方法</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总则</w:t>
      </w:r>
    </w:p>
    <w:p>
      <w:pPr>
        <w:spacing w:line="276" w:lineRule="auto"/>
        <w:rPr>
          <w:rFonts w:ascii="宋体" w:hAnsi="宋体" w:eastAsia="宋体"/>
          <w:szCs w:val="21"/>
        </w:rPr>
      </w:pPr>
      <w:r>
        <w:rPr>
          <w:rFonts w:ascii="黑体" w:hAnsi="黑体" w:eastAsia="黑体"/>
          <w:szCs w:val="21"/>
        </w:rPr>
        <w:t>5.1.1</w:t>
      </w:r>
      <w:r>
        <w:rPr>
          <w:rFonts w:ascii="宋体" w:hAnsi="宋体" w:eastAsia="宋体"/>
          <w:szCs w:val="21"/>
        </w:rPr>
        <w:t xml:space="preserve">  试验中所用水应符合</w:t>
      </w:r>
      <w:r>
        <w:rPr>
          <w:rFonts w:ascii="Times New Roman" w:hAnsi="Times New Roman" w:eastAsia="宋体" w:cs="Times New Roman"/>
          <w:szCs w:val="21"/>
        </w:rPr>
        <w:t>GB/T 6682－2008中</w:t>
      </w:r>
      <w:r>
        <w:rPr>
          <w:rFonts w:ascii="宋体" w:hAnsi="宋体" w:eastAsia="宋体"/>
          <w:szCs w:val="21"/>
        </w:rPr>
        <w:t>三级及三级以上规格的要求。</w:t>
      </w:r>
    </w:p>
    <w:p>
      <w:pPr>
        <w:spacing w:line="276" w:lineRule="auto"/>
        <w:rPr>
          <w:rFonts w:ascii="宋体" w:hAnsi="宋体" w:eastAsia="宋体"/>
          <w:szCs w:val="21"/>
        </w:rPr>
      </w:pPr>
      <w:r>
        <w:rPr>
          <w:rFonts w:ascii="黑体" w:hAnsi="黑体" w:eastAsia="黑体"/>
          <w:szCs w:val="21"/>
        </w:rPr>
        <w:t>5.1.2</w:t>
      </w:r>
      <w:r>
        <w:rPr>
          <w:rFonts w:ascii="宋体" w:hAnsi="宋体" w:eastAsia="宋体"/>
          <w:szCs w:val="21"/>
        </w:rPr>
        <w:t xml:space="preserve">  试验中所用各种指示剂、标准溶液的制备及标定</w:t>
      </w:r>
      <w:r>
        <w:rPr>
          <w:rFonts w:ascii="Times New Roman" w:hAnsi="Times New Roman" w:eastAsia="宋体" w:cs="Times New Roman"/>
          <w:szCs w:val="21"/>
        </w:rPr>
        <w:t>按GJB 1886</w:t>
      </w:r>
      <w:r>
        <w:rPr>
          <w:rFonts w:ascii="宋体" w:hAnsi="宋体" w:eastAsia="宋体"/>
          <w:szCs w:val="21"/>
        </w:rPr>
        <w:t>的规定执行。</w:t>
      </w:r>
    </w:p>
    <w:p>
      <w:pPr>
        <w:spacing w:line="276" w:lineRule="auto"/>
        <w:rPr>
          <w:rFonts w:ascii="宋体" w:hAnsi="宋体" w:eastAsia="宋体"/>
          <w:szCs w:val="21"/>
        </w:rPr>
      </w:pPr>
      <w:r>
        <w:rPr>
          <w:rFonts w:ascii="黑体" w:hAnsi="黑体" w:eastAsia="黑体"/>
          <w:szCs w:val="21"/>
        </w:rPr>
        <w:t>5.1.3</w:t>
      </w:r>
      <w:r>
        <w:rPr>
          <w:rFonts w:ascii="宋体" w:hAnsi="宋体" w:eastAsia="宋体"/>
          <w:szCs w:val="21"/>
        </w:rPr>
        <w:t xml:space="preserve">  试验中所用试剂，除特别指出外，均为分析纯，并应符合相应国家标准或行业标准的规定。</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外观</w:t>
      </w:r>
    </w:p>
    <w:p>
      <w:pPr>
        <w:pStyle w:val="13"/>
        <w:spacing w:line="276" w:lineRule="auto"/>
        <w:rPr>
          <w:rFonts w:ascii="宋体" w:hAnsi="宋体" w:eastAsia="宋体"/>
          <w:szCs w:val="21"/>
        </w:rPr>
      </w:pPr>
      <w:r>
        <w:rPr>
          <w:rFonts w:hint="eastAsia" w:ascii="宋体" w:hAnsi="宋体" w:eastAsia="宋体"/>
          <w:szCs w:val="21"/>
        </w:rPr>
        <w:t>打开包装物，采用目视方法观察每个包装内有无可见的机械杂质。颗粒度测试方法参照</w:t>
      </w:r>
      <w:r>
        <w:rPr>
          <w:rFonts w:ascii="Times New Roman" w:hAnsi="Times New Roman" w:eastAsia="宋体" w:cs="Times New Roman"/>
          <w:szCs w:val="21"/>
        </w:rPr>
        <w:t>GJB 772A—1997中403.1~403.4</w:t>
      </w:r>
      <w:r>
        <w:rPr>
          <w:rFonts w:hint="eastAsia" w:ascii="宋体" w:hAnsi="宋体" w:eastAsia="宋体"/>
          <w:szCs w:val="21"/>
        </w:rPr>
        <w:t>的适用方法</w:t>
      </w:r>
      <w:r>
        <w:rPr>
          <w:rFonts w:ascii="宋体" w:hAnsi="宋体" w:eastAsia="宋体"/>
          <w:szCs w:val="21"/>
        </w:rPr>
        <w:t>执行。</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理化性能</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混合炸药组分</w:t>
      </w:r>
    </w:p>
    <w:p>
      <w:pPr>
        <w:pStyle w:val="13"/>
        <w:spacing w:line="276" w:lineRule="auto"/>
        <w:rPr>
          <w:rFonts w:ascii="宋体" w:hAnsi="宋体" w:eastAsia="宋体"/>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772A—1997中107.1执行</w:t>
      </w:r>
      <w:r>
        <w:rPr>
          <w:rFonts w:hint="eastAsia" w:ascii="宋体" w:hAnsi="宋体" w:eastAsia="宋体"/>
          <w:szCs w:val="21"/>
        </w:rPr>
        <w:t>。</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水分</w:t>
      </w:r>
    </w:p>
    <w:p>
      <w:pPr>
        <w:pStyle w:val="13"/>
        <w:spacing w:line="276" w:lineRule="auto"/>
        <w:rPr>
          <w:rFonts w:ascii="宋体" w:hAnsi="宋体" w:eastAsia="宋体"/>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772A—1997中102.1执行</w:t>
      </w:r>
      <w:r>
        <w:rPr>
          <w:rFonts w:hint="eastAsia" w:ascii="宋体" w:hAnsi="宋体" w:eastAsia="宋体"/>
          <w:szCs w:val="21"/>
        </w:rPr>
        <w:t>。</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不溶颗粒</w:t>
      </w:r>
    </w:p>
    <w:p>
      <w:pPr>
        <w:pStyle w:val="13"/>
        <w:spacing w:line="276" w:lineRule="auto"/>
        <w:rPr>
          <w:rFonts w:ascii="宋体" w:hAnsi="宋体" w:eastAsia="宋体"/>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772A—1997中104.1执行</w:t>
      </w:r>
      <w:r>
        <w:rPr>
          <w:rFonts w:hint="eastAsia" w:ascii="宋体" w:hAnsi="宋体" w:eastAsia="宋体"/>
          <w:szCs w:val="21"/>
        </w:rPr>
        <w:t>。</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安全性能</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撞击感度</w:t>
      </w:r>
    </w:p>
    <w:p>
      <w:pPr>
        <w:pStyle w:val="13"/>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772A—1997中601.1执行，落锤质量10kg，落高250mm±1mm，药量50mg±1mg。</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摩擦感度</w:t>
      </w:r>
    </w:p>
    <w:p>
      <w:pPr>
        <w:pStyle w:val="13"/>
        <w:spacing w:line="276" w:lineRule="auto"/>
        <w:rPr>
          <w:rFonts w:ascii="Times New Roman" w:hAnsi="Times New Roman" w:eastAsia="宋体" w:cs="Times New Roman"/>
          <w:szCs w:val="21"/>
        </w:rPr>
      </w:pPr>
      <w:r>
        <w:rPr>
          <w:rFonts w:hint="eastAsia" w:ascii="Times New Roman" w:hAnsi="Times New Roman" w:eastAsia="宋体" w:cs="Times New Roman"/>
          <w:szCs w:val="21"/>
        </w:rPr>
        <w:t>试验</w:t>
      </w:r>
      <w:r>
        <w:rPr>
          <w:rFonts w:ascii="Times New Roman" w:hAnsi="Times New Roman" w:eastAsia="宋体" w:cs="Times New Roman"/>
          <w:szCs w:val="21"/>
        </w:rPr>
        <w:t>方法参照GJB 772A—1997中602.1执行，摆角66°±1°，表压2.45MPa±0.07MPa，药量20mg±1mg。</w:t>
      </w:r>
    </w:p>
    <w:p>
      <w:pPr>
        <w:pStyle w:val="13"/>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标志、包装、运输、贮存</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包装标志</w:t>
      </w:r>
    </w:p>
    <w:p>
      <w:pPr>
        <w:spacing w:line="276" w:lineRule="auto"/>
        <w:rPr>
          <w:rFonts w:ascii="黑体" w:hAnsi="黑体" w:eastAsia="黑体"/>
          <w:szCs w:val="21"/>
        </w:rPr>
      </w:pPr>
      <w:r>
        <w:rPr>
          <w:rFonts w:ascii="黑体" w:hAnsi="黑体" w:eastAsia="黑体"/>
          <w:szCs w:val="21"/>
        </w:rPr>
        <w:t>6.1.1</w:t>
      </w:r>
      <w:r>
        <w:rPr>
          <w:rFonts w:hint="eastAsia" w:ascii="黑体" w:hAnsi="黑体" w:eastAsia="黑体"/>
          <w:szCs w:val="21"/>
        </w:rPr>
        <w:t xml:space="preserve">  </w:t>
      </w:r>
      <w:r>
        <w:rPr>
          <w:rFonts w:hint="eastAsia" w:ascii="宋体" w:hAnsi="宋体" w:eastAsia="宋体"/>
          <w:szCs w:val="21"/>
        </w:rPr>
        <w:t>拆解回收黑梯炸药</w:t>
      </w:r>
      <w:r>
        <w:rPr>
          <w:rFonts w:ascii="宋体" w:hAnsi="宋体" w:eastAsia="宋体"/>
          <w:szCs w:val="21"/>
        </w:rPr>
        <w:t>的包装标志应印刷或粘贴在包装件外表面，标识清晰、牢固。</w:t>
      </w:r>
    </w:p>
    <w:p>
      <w:pPr>
        <w:spacing w:line="276" w:lineRule="auto"/>
        <w:rPr>
          <w:rFonts w:ascii="Times New Roman" w:hAnsi="Times New Roman" w:eastAsia="黑体" w:cs="Times New Roman"/>
          <w:szCs w:val="21"/>
        </w:rPr>
      </w:pPr>
      <w:r>
        <w:rPr>
          <w:rFonts w:ascii="黑体" w:hAnsi="黑体" w:eastAsia="黑体"/>
          <w:szCs w:val="21"/>
        </w:rPr>
        <w:t>6.1.2</w:t>
      </w:r>
      <w:r>
        <w:rPr>
          <w:rFonts w:hint="eastAsia" w:ascii="黑体" w:hAnsi="黑体" w:eastAsia="黑体"/>
          <w:szCs w:val="21"/>
        </w:rPr>
        <w:t xml:space="preserve">  </w:t>
      </w:r>
      <w:r>
        <w:rPr>
          <w:rFonts w:hint="eastAsia" w:ascii="宋体" w:hAnsi="宋体" w:eastAsia="宋体"/>
          <w:szCs w:val="21"/>
        </w:rPr>
        <w:t>拆解回收黑梯炸药</w:t>
      </w:r>
      <w:r>
        <w:rPr>
          <w:rFonts w:ascii="宋体" w:hAnsi="宋体" w:eastAsia="宋体"/>
          <w:szCs w:val="21"/>
        </w:rPr>
        <w:t>包装标志</w:t>
      </w:r>
      <w:r>
        <w:rPr>
          <w:rFonts w:hint="eastAsia" w:ascii="宋体" w:hAnsi="宋体" w:eastAsia="宋体"/>
          <w:szCs w:val="21"/>
        </w:rPr>
        <w:t>应符合</w:t>
      </w:r>
      <w:r>
        <w:rPr>
          <w:rFonts w:ascii="Times New Roman" w:hAnsi="Times New Roman" w:eastAsia="宋体" w:cs="Times New Roman"/>
          <w:szCs w:val="21"/>
        </w:rPr>
        <w:t>GA 921及GB 14493—2003中4.3的规定，基本内容应包括：</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 产品名称（产品组分，如：R50/T50, R60/T40, R70/T30</w:t>
      </w:r>
      <w:r>
        <w:rPr>
          <w:rFonts w:hint="eastAsia" w:ascii="Times New Roman" w:hAnsi="Times New Roman" w:eastAsia="宋体" w:cs="Times New Roman"/>
          <w:szCs w:val="21"/>
        </w:rPr>
        <w:t>；分级</w:t>
      </w:r>
      <w:r>
        <w:rPr>
          <w:rFonts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 标准编号；</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 爆炸品主标志和有毒品副标志，符合GB 190的规定；</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 “防火”、“防潮”、“不得与雷管共存放”字样；</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e） 净重；</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 毛重；</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g） 批号/生产年份；</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h） 生产企业名称、地址。</w:t>
      </w:r>
    </w:p>
    <w:p>
      <w:pPr>
        <w:spacing w:line="276"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注：可根据实际需要增加项目。</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包装</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包装要求</w:t>
      </w:r>
    </w:p>
    <w:p>
      <w:pPr>
        <w:spacing w:line="276" w:lineRule="auto"/>
        <w:outlineLvl w:val="2"/>
        <w:rPr>
          <w:rFonts w:ascii="Times New Roman" w:hAnsi="Times New Roman" w:eastAsia="宋体" w:cs="Times New Roman"/>
          <w:szCs w:val="21"/>
        </w:rPr>
      </w:pPr>
      <w:r>
        <w:rPr>
          <w:rFonts w:hint="eastAsia" w:ascii="黑体" w:hAnsi="黑体" w:eastAsia="黑体"/>
          <w:szCs w:val="21"/>
        </w:rPr>
        <w:t>6</w:t>
      </w:r>
      <w:r>
        <w:rPr>
          <w:rFonts w:ascii="黑体" w:hAnsi="黑体" w:eastAsia="黑体"/>
          <w:szCs w:val="21"/>
        </w:rPr>
        <w:t xml:space="preserve">.2.1.1  </w:t>
      </w:r>
      <w:r>
        <w:rPr>
          <w:rFonts w:hint="eastAsia" w:ascii="宋体" w:hAnsi="宋体" w:eastAsia="宋体"/>
          <w:szCs w:val="21"/>
        </w:rPr>
        <w:t>拆解回收黑梯炸药</w:t>
      </w:r>
      <w:r>
        <w:rPr>
          <w:rFonts w:ascii="Times New Roman" w:hAnsi="Times New Roman" w:eastAsia="宋体" w:cs="Times New Roman"/>
          <w:szCs w:val="21"/>
        </w:rPr>
        <w:t>应装于内衬不少于三层纸袋和一层聚乙烯吹塑薄膜袋的塑料编织袋中，包装后应无夹层药、封口牢固、表面清洁、无破损。纸袋纸应符合GB/T 7968的规定，聚乙烯吹塑薄膜袋应符合GB/T 4456的规定，编织袋应符合GB/T 8946的规定</w:t>
      </w:r>
      <w:r>
        <w:rPr>
          <w:rFonts w:ascii="宋体" w:hAnsi="宋体" w:eastAsia="宋体"/>
          <w:szCs w:val="21"/>
        </w:rPr>
        <w:t>。</w:t>
      </w:r>
    </w:p>
    <w:p>
      <w:pPr>
        <w:spacing w:line="276" w:lineRule="auto"/>
        <w:outlineLvl w:val="2"/>
        <w:rPr>
          <w:rFonts w:ascii="Times New Roman" w:hAnsi="Times New Roman" w:eastAsia="宋体" w:cs="Times New Roman"/>
          <w:szCs w:val="21"/>
        </w:rPr>
      </w:pPr>
      <w:r>
        <w:rPr>
          <w:rFonts w:hint="eastAsia" w:ascii="黑体" w:hAnsi="黑体" w:eastAsia="黑体"/>
          <w:szCs w:val="21"/>
        </w:rPr>
        <w:t>6</w:t>
      </w:r>
      <w:r>
        <w:rPr>
          <w:rFonts w:ascii="黑体" w:hAnsi="黑体" w:eastAsia="黑体"/>
          <w:szCs w:val="21"/>
        </w:rPr>
        <w:t>.2.1.</w:t>
      </w:r>
      <w:r>
        <w:rPr>
          <w:rFonts w:hint="eastAsia" w:ascii="黑体" w:hAnsi="黑体" w:eastAsia="黑体"/>
          <w:szCs w:val="21"/>
        </w:rPr>
        <w:t>2</w:t>
      </w:r>
      <w:r>
        <w:rPr>
          <w:rFonts w:ascii="黑体" w:hAnsi="黑体" w:eastAsia="黑体"/>
          <w:szCs w:val="21"/>
        </w:rPr>
        <w:t xml:space="preserve"> </w:t>
      </w:r>
      <w:r>
        <w:rPr>
          <w:rFonts w:ascii="宋体" w:hAnsi="宋体" w:eastAsia="宋体"/>
          <w:szCs w:val="21"/>
        </w:rPr>
        <w:t xml:space="preserve"> </w:t>
      </w:r>
      <w:r>
        <w:rPr>
          <w:rFonts w:hint="eastAsia" w:ascii="宋体" w:hAnsi="宋体" w:eastAsia="宋体"/>
          <w:szCs w:val="21"/>
        </w:rPr>
        <w:t>拆解回收黑梯炸药每一包装件净重应不超过</w:t>
      </w:r>
      <w:r>
        <w:rPr>
          <w:rFonts w:ascii="Times New Roman" w:hAnsi="Times New Roman" w:eastAsia="宋体" w:cs="Times New Roman"/>
          <w:szCs w:val="21"/>
        </w:rPr>
        <w:t>30kg。</w:t>
      </w:r>
    </w:p>
    <w:p>
      <w:pPr>
        <w:spacing w:line="276" w:lineRule="auto"/>
        <w:ind w:firstLine="360" w:firstLineChars="200"/>
        <w:rPr>
          <w:rFonts w:ascii="宋体" w:hAnsi="宋体" w:eastAsia="宋体"/>
          <w:sz w:val="18"/>
          <w:szCs w:val="18"/>
        </w:rPr>
      </w:pPr>
      <w:r>
        <w:rPr>
          <w:rFonts w:hint="eastAsia" w:ascii="宋体" w:hAnsi="宋体" w:eastAsia="宋体"/>
          <w:sz w:val="18"/>
          <w:szCs w:val="18"/>
        </w:rPr>
        <w:t>注：在符合国家有关安全规定的条件下，也可采用其他形式的包装。</w:t>
      </w:r>
    </w:p>
    <w:p>
      <w:pPr>
        <w:pStyle w:val="13"/>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包装检验</w:t>
      </w:r>
    </w:p>
    <w:p>
      <w:pPr>
        <w:pStyle w:val="13"/>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检验项目</w:t>
      </w:r>
    </w:p>
    <w:p>
      <w:pPr>
        <w:pStyle w:val="13"/>
        <w:spacing w:line="276" w:lineRule="auto"/>
        <w:rPr>
          <w:rFonts w:ascii="宋体" w:hAnsi="宋体" w:eastAsia="宋体"/>
          <w:szCs w:val="21"/>
        </w:rPr>
      </w:pPr>
      <w:r>
        <w:rPr>
          <w:rFonts w:hint="eastAsia" w:ascii="宋体" w:hAnsi="宋体" w:eastAsia="宋体"/>
          <w:szCs w:val="21"/>
        </w:rPr>
        <w:t>包装标志有无错误及是否清晰、包装件有无夹层药、封口/卡扣是否牢固、表面是否清洁、包装有无破损、每件净重是否符合要求。</w:t>
      </w:r>
    </w:p>
    <w:p>
      <w:pPr>
        <w:pStyle w:val="13"/>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不合格分类</w:t>
      </w:r>
    </w:p>
    <w:p>
      <w:pPr>
        <w:pStyle w:val="13"/>
        <w:spacing w:line="276" w:lineRule="auto"/>
        <w:ind w:left="840" w:leftChars="200" w:hanging="420" w:hangingChars="200"/>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 xml:space="preserve"> </w:t>
      </w:r>
      <w:r>
        <w:rPr>
          <w:rFonts w:hint="eastAsia" w:ascii="Times New Roman" w:hAnsi="Times New Roman" w:eastAsia="宋体" w:cs="Times New Roman"/>
          <w:szCs w:val="21"/>
        </w:rPr>
        <w:t>B类不合格：</w:t>
      </w:r>
      <w:r>
        <w:rPr>
          <w:rFonts w:ascii="Times New Roman" w:hAnsi="Times New Roman" w:eastAsia="宋体" w:cs="Times New Roman"/>
          <w:szCs w:val="21"/>
        </w:rPr>
        <w:t>包装标志基本内容缺项或标识错误、有夹层药存在、封口/卡扣不牢固、包装有破损。</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b） C类不合格：包装标志不清晰、包装件表面不清洁、净重超差。</w:t>
      </w:r>
    </w:p>
    <w:p>
      <w:pPr>
        <w:pStyle w:val="13"/>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抽样方案</w:t>
      </w:r>
    </w:p>
    <w:p>
      <w:pPr>
        <w:pStyle w:val="13"/>
        <w:spacing w:line="276" w:lineRule="auto"/>
        <w:rPr>
          <w:rFonts w:ascii="Times New Roman" w:hAnsi="Times New Roman" w:eastAsia="宋体" w:cs="Times New Roman"/>
          <w:szCs w:val="21"/>
        </w:rPr>
      </w:pPr>
      <w:r>
        <w:rPr>
          <w:rFonts w:ascii="Times New Roman" w:hAnsi="Times New Roman" w:eastAsia="宋体" w:cs="Times New Roman"/>
          <w:szCs w:val="21"/>
        </w:rPr>
        <w:t>包装检验的抽样按GB/T 2828的规定执行，所需样本从提交检验批中随机抽取。采用一次抽样方案，样本单位为包装件，检验水平取一般检验水平Ⅱ级，B类不合格的AQL值为1.5，C类不合格的AQL值为6.5。</w:t>
      </w:r>
    </w:p>
    <w:p>
      <w:pPr>
        <w:pStyle w:val="13"/>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检验方法</w:t>
      </w:r>
    </w:p>
    <w:p>
      <w:pPr>
        <w:pStyle w:val="13"/>
        <w:spacing w:line="276" w:lineRule="auto"/>
        <w:rPr>
          <w:rFonts w:ascii="宋体" w:hAnsi="宋体" w:eastAsia="宋体"/>
          <w:szCs w:val="21"/>
        </w:rPr>
      </w:pPr>
      <w:r>
        <w:rPr>
          <w:rFonts w:hint="eastAsia" w:ascii="宋体" w:hAnsi="宋体" w:eastAsia="宋体"/>
          <w:szCs w:val="21"/>
        </w:rPr>
        <w:t>目视检查包装标志、夹层药、封口/卡扣、表面清洁与破损情况，称重检查包装件净重。</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运输</w:t>
      </w:r>
    </w:p>
    <w:p>
      <w:pPr>
        <w:pStyle w:val="13"/>
        <w:spacing w:line="276" w:lineRule="auto"/>
        <w:rPr>
          <w:rFonts w:ascii="宋体" w:hAnsi="宋体" w:eastAsia="宋体"/>
          <w:szCs w:val="21"/>
        </w:rPr>
      </w:pPr>
      <w:r>
        <w:rPr>
          <w:rFonts w:hint="eastAsia" w:ascii="宋体" w:hAnsi="宋体" w:eastAsia="宋体"/>
          <w:szCs w:val="21"/>
        </w:rPr>
        <w:t>拆解回收黑梯炸药属于1</w:t>
      </w:r>
      <w:r>
        <w:rPr>
          <w:rFonts w:ascii="宋体" w:hAnsi="宋体" w:eastAsia="宋体"/>
          <w:szCs w:val="21"/>
        </w:rPr>
        <w:t>.1</w:t>
      </w:r>
      <w:r>
        <w:rPr>
          <w:rFonts w:hint="eastAsia" w:ascii="宋体" w:hAnsi="宋体" w:eastAsia="宋体"/>
          <w:szCs w:val="21"/>
        </w:rPr>
        <w:t>级燃烧爆炸品（具有整体爆炸危险的物质和制品），按对应的国家危险货物运输规定执行。</w:t>
      </w:r>
    </w:p>
    <w:p>
      <w:pPr>
        <w:pStyle w:val="13"/>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贮存</w:t>
      </w:r>
    </w:p>
    <w:p>
      <w:pPr>
        <w:pStyle w:val="13"/>
        <w:spacing w:line="276" w:lineRule="auto"/>
        <w:rPr>
          <w:rFonts w:ascii="宋体" w:hAnsi="宋体" w:eastAsia="宋体"/>
          <w:szCs w:val="21"/>
        </w:rPr>
      </w:pPr>
      <w:r>
        <w:rPr>
          <w:rFonts w:hint="eastAsia" w:ascii="宋体" w:hAnsi="宋体" w:eastAsia="宋体"/>
          <w:szCs w:val="21"/>
        </w:rPr>
        <w:t>拆解回收黑梯炸药应贮存在干燥、阴凉、通风的库房内</w:t>
      </w:r>
      <w:bookmarkStart w:id="1" w:name="_Hlk103869395"/>
      <w:r>
        <w:rPr>
          <w:rFonts w:hint="eastAsia" w:ascii="宋体" w:hAnsi="宋体" w:eastAsia="宋体"/>
          <w:szCs w:val="21"/>
        </w:rPr>
        <w:t>，贮存条件应符合</w:t>
      </w:r>
      <w:r>
        <w:rPr>
          <w:rFonts w:ascii="Times New Roman" w:hAnsi="Times New Roman" w:eastAsia="宋体" w:cs="Times New Roman"/>
          <w:szCs w:val="21"/>
        </w:rPr>
        <w:t>GB 50089</w:t>
      </w:r>
      <w:r>
        <w:rPr>
          <w:rFonts w:hint="eastAsia" w:ascii="宋体" w:hAnsi="宋体" w:eastAsia="宋体"/>
          <w:szCs w:val="21"/>
        </w:rPr>
        <w:t>的规定。</w:t>
      </w:r>
      <w:bookmarkEnd w:id="1"/>
    </w:p>
    <w:p>
      <w:pPr>
        <w:pStyle w:val="13"/>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其他</w:t>
      </w:r>
    </w:p>
    <w:p>
      <w:pPr>
        <w:pStyle w:val="13"/>
        <w:spacing w:line="276" w:lineRule="auto"/>
        <w:rPr>
          <w:rFonts w:ascii="宋体" w:hAnsi="宋体" w:eastAsia="宋体"/>
          <w:szCs w:val="21"/>
        </w:rPr>
      </w:pPr>
      <w:r>
        <w:rPr>
          <w:rFonts w:hint="eastAsia" w:ascii="宋体" w:hAnsi="宋体" w:eastAsia="宋体"/>
          <w:szCs w:val="21"/>
        </w:rPr>
        <w:t>出厂的每批拆解回收黑梯炸药应附有产品合格证、安全技术说明书和安全标签。合格证的编写应符合</w:t>
      </w:r>
      <w:r>
        <w:rPr>
          <w:rFonts w:ascii="宋体" w:hAnsi="宋体" w:eastAsia="宋体"/>
          <w:szCs w:val="21"/>
        </w:rPr>
        <w:t>GB/T 14436的规定；安全技术说明书和安全标签的编写应符合《军工危险化学品安全管理暂行办法》和《军工危险化学品安全技术说明书和使用指南（试行）》的规定，注明本批次的产品组分、实测的安全性能参数等关键信息。安全技术说明书宜给出建议使用年限、附带一份检测报告。</w:t>
      </w:r>
    </w:p>
    <w:p>
      <w:pPr>
        <w:pStyle w:val="13"/>
        <w:spacing w:line="276" w:lineRule="auto"/>
        <w:rPr>
          <w:rFonts w:ascii="宋体" w:hAnsi="宋体" w:eastAsia="宋体"/>
          <w:szCs w:val="21"/>
        </w:rPr>
      </w:pPr>
    </w:p>
    <w:p>
      <w:pPr>
        <w:spacing w:line="276" w:lineRule="auto"/>
        <w:rPr>
          <w:rFonts w:ascii="黑体" w:hAnsi="黑体" w:eastAsia="黑体"/>
          <w:szCs w:val="21"/>
        </w:rPr>
      </w:pPr>
    </w:p>
    <w:p>
      <w:pPr>
        <w:spacing w:line="276" w:lineRule="auto"/>
        <w:rPr>
          <w:rFonts w:ascii="黑体" w:hAnsi="黑体" w:eastAsia="黑体"/>
          <w:szCs w:val="21"/>
        </w:rPr>
      </w:pPr>
      <w:r>
        <w:rPr>
          <w:rFonts w:ascii="宋体" w:hAnsi="宋体" w:eastAsia="宋体"/>
          <w:szCs w:val="21"/>
        </w:rPr>
        <mc:AlternateContent>
          <mc:Choice Requires="wps">
            <w:drawing>
              <wp:anchor distT="0" distB="0" distL="114300" distR="114300" simplePos="0" relativeHeight="251670528" behindDoc="0" locked="0" layoutInCell="1" allowOverlap="1">
                <wp:simplePos x="0" y="0"/>
                <wp:positionH relativeFrom="column">
                  <wp:posOffset>1831340</wp:posOffset>
                </wp:positionH>
                <wp:positionV relativeFrom="paragraph">
                  <wp:posOffset>95885</wp:posOffset>
                </wp:positionV>
                <wp:extent cx="1657985" cy="12065"/>
                <wp:effectExtent l="0" t="0" r="37465" b="26035"/>
                <wp:wrapNone/>
                <wp:docPr id="1" name="直接连接符 1"/>
                <wp:cNvGraphicFramePr/>
                <a:graphic xmlns:a="http://schemas.openxmlformats.org/drawingml/2006/main">
                  <a:graphicData uri="http://schemas.microsoft.com/office/word/2010/wordprocessingShape">
                    <wps:wsp>
                      <wps:cNvCnPr/>
                      <wps:spPr>
                        <a:xfrm>
                          <a:off x="0" y="0"/>
                          <a:ext cx="165798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4.2pt;margin-top:7.55pt;height:0.95pt;width:130.55pt;z-index:251670528;mso-width-relative:page;mso-height-relative:page;" filled="f" stroked="t" coordsize="21600,21600" o:gfxdata="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buKqh1gAAAAkBAAAP&#10;AAAAAAAAAAEAIAAAADgAAABkcnMvZG93bnJldi54bWxQSwECFAAUAAAACACHTuJAhwsgScsBAABn&#10;AwAADgAAAAAAAAABACAAAAA7AQAAZHJzL2Uyb0RvYy54bWxQSwUGAAAAAAYABgBZAQAAeAUAAAAA&#10;">
                <v:fill on="f" focussize="0,0"/>
                <v:stroke weight="0.5pt" color="#000000 [3213]" miterlimit="8" joinstyle="miter"/>
                <v:imagedata o:title=""/>
                <o:lock v:ext="edit" aspectratio="f"/>
              </v:line>
            </w:pict>
          </mc:Fallback>
        </mc:AlternateContent>
      </w:r>
    </w:p>
    <w:sectPr>
      <w:footerReference r:id="rId4" w:type="default"/>
      <w:headerReference r:id="rId3" w:type="even"/>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15917"/>
      <w:docPartObj>
        <w:docPartGallery w:val="AutoText"/>
      </w:docPartObj>
    </w:sdtPr>
    <w:sdtContent>
      <w:p>
        <w:pPr>
          <w:pStyle w:val="4"/>
          <w:jc w:val="right"/>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22"/>
      <w:ind w:right="360" w:firstLine="360"/>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rPr>
    </w:pPr>
    <w:r>
      <w:rPr>
        <w:rStyle w:val="9"/>
        <w:rFonts w:ascii="Times New Roman"/>
      </w:rPr>
      <w:fldChar w:fldCharType="begin"/>
    </w:r>
    <w:r>
      <w:rPr>
        <w:rStyle w:val="9"/>
        <w:rFonts w:ascii="Times New Roman"/>
      </w:rPr>
      <w:instrText xml:space="preserve">PAGE  </w:instrText>
    </w:r>
    <w:r>
      <w:rPr>
        <w:rStyle w:val="9"/>
        <w:rFonts w:ascii="Times New Roman"/>
      </w:rPr>
      <w:fldChar w:fldCharType="separate"/>
    </w:r>
    <w:r>
      <w:rPr>
        <w:rStyle w:val="9"/>
        <w:rFonts w:ascii="Times New Roman"/>
      </w:rPr>
      <w:t>4</w:t>
    </w:r>
    <w:r>
      <w:rPr>
        <w:rStyle w:val="9"/>
        <w:rFonts w:ascii="Times New Roman"/>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ascii="Times New Roman" w:hAnsi="Times New Roman"/>
        <w:b/>
        <w:bCs/>
      </w:rPr>
      <w:t>WJ</w:t>
    </w:r>
    <w:r>
      <w:t xml:space="preserve"> </w:t>
    </w:r>
    <w:r>
      <w:rPr>
        <w:rFonts w:hint="eastAsia"/>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30681"/>
    <w:multiLevelType w:val="multilevel"/>
    <w:tmpl w:val="4B530681"/>
    <w:lvl w:ilvl="0" w:tentative="0">
      <w:start w:val="1"/>
      <w:numFmt w:val="decimal"/>
      <w:lvlText w:val="%1"/>
      <w:lvlJc w:val="left"/>
      <w:pPr>
        <w:ind w:left="488" w:hanging="488"/>
      </w:pPr>
      <w:rPr>
        <w:rFonts w:hint="default" w:ascii="黑体" w:hAnsi="黑体" w:eastAsia="黑体"/>
      </w:rPr>
    </w:lvl>
    <w:lvl w:ilvl="1" w:tentative="0">
      <w:start w:val="1"/>
      <w:numFmt w:val="decimal"/>
      <w:isLgl/>
      <w:lvlText w:val="%1.%2"/>
      <w:lvlJc w:val="left"/>
      <w:pPr>
        <w:ind w:left="525" w:hanging="52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1080" w:hanging="1080"/>
      </w:pPr>
      <w:rPr>
        <w:rFonts w:hint="default" w:ascii="黑体" w:hAnsi="黑体" w:eastAsia="黑体"/>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OWFjMDc3ZjY4MTAxOTNhMTY5ZDMyY2M4MzRiNWQifQ=="/>
  </w:docVars>
  <w:rsids>
    <w:rsidRoot w:val="00BA79E9"/>
    <w:rsid w:val="00010630"/>
    <w:rsid w:val="00011F8B"/>
    <w:rsid w:val="00014809"/>
    <w:rsid w:val="000331A9"/>
    <w:rsid w:val="00036326"/>
    <w:rsid w:val="0003697C"/>
    <w:rsid w:val="00036D48"/>
    <w:rsid w:val="00037A64"/>
    <w:rsid w:val="00040A9A"/>
    <w:rsid w:val="0004672D"/>
    <w:rsid w:val="0005559C"/>
    <w:rsid w:val="00060230"/>
    <w:rsid w:val="00080327"/>
    <w:rsid w:val="000915D1"/>
    <w:rsid w:val="000C3CCE"/>
    <w:rsid w:val="00107C49"/>
    <w:rsid w:val="0011494A"/>
    <w:rsid w:val="00116A14"/>
    <w:rsid w:val="00132D86"/>
    <w:rsid w:val="00135143"/>
    <w:rsid w:val="00136D52"/>
    <w:rsid w:val="001523AA"/>
    <w:rsid w:val="00153949"/>
    <w:rsid w:val="00155CA6"/>
    <w:rsid w:val="00164338"/>
    <w:rsid w:val="00167430"/>
    <w:rsid w:val="001851D9"/>
    <w:rsid w:val="00185297"/>
    <w:rsid w:val="00186AC4"/>
    <w:rsid w:val="001A0244"/>
    <w:rsid w:val="001A7F5C"/>
    <w:rsid w:val="001B042A"/>
    <w:rsid w:val="001B2871"/>
    <w:rsid w:val="001C2FE0"/>
    <w:rsid w:val="001C5FBA"/>
    <w:rsid w:val="001D4540"/>
    <w:rsid w:val="001F2CDD"/>
    <w:rsid w:val="001F7EFA"/>
    <w:rsid w:val="002300A5"/>
    <w:rsid w:val="00231301"/>
    <w:rsid w:val="00232578"/>
    <w:rsid w:val="002338FF"/>
    <w:rsid w:val="00243BFF"/>
    <w:rsid w:val="00247AE1"/>
    <w:rsid w:val="002525CF"/>
    <w:rsid w:val="00270B7F"/>
    <w:rsid w:val="0027130B"/>
    <w:rsid w:val="002732A8"/>
    <w:rsid w:val="002733D3"/>
    <w:rsid w:val="00294A99"/>
    <w:rsid w:val="002B15FA"/>
    <w:rsid w:val="002C033C"/>
    <w:rsid w:val="002C6EAA"/>
    <w:rsid w:val="002C79BC"/>
    <w:rsid w:val="002D73EE"/>
    <w:rsid w:val="002F58FE"/>
    <w:rsid w:val="00302327"/>
    <w:rsid w:val="003054BE"/>
    <w:rsid w:val="003059C2"/>
    <w:rsid w:val="00313210"/>
    <w:rsid w:val="003242B7"/>
    <w:rsid w:val="00324A97"/>
    <w:rsid w:val="00327783"/>
    <w:rsid w:val="00344957"/>
    <w:rsid w:val="00357FF4"/>
    <w:rsid w:val="00367DFA"/>
    <w:rsid w:val="00372CBA"/>
    <w:rsid w:val="00373575"/>
    <w:rsid w:val="00373635"/>
    <w:rsid w:val="00374118"/>
    <w:rsid w:val="0037723D"/>
    <w:rsid w:val="0038648E"/>
    <w:rsid w:val="003B6E2D"/>
    <w:rsid w:val="003C0D74"/>
    <w:rsid w:val="003C256B"/>
    <w:rsid w:val="003C2859"/>
    <w:rsid w:val="003C7BD5"/>
    <w:rsid w:val="003D561B"/>
    <w:rsid w:val="003F497F"/>
    <w:rsid w:val="00401FAB"/>
    <w:rsid w:val="00410D1D"/>
    <w:rsid w:val="004165DD"/>
    <w:rsid w:val="0042574B"/>
    <w:rsid w:val="00425782"/>
    <w:rsid w:val="00447FC1"/>
    <w:rsid w:val="00466E91"/>
    <w:rsid w:val="00471219"/>
    <w:rsid w:val="00475536"/>
    <w:rsid w:val="004B55BB"/>
    <w:rsid w:val="004B6472"/>
    <w:rsid w:val="004C33BA"/>
    <w:rsid w:val="004C7297"/>
    <w:rsid w:val="004C7C79"/>
    <w:rsid w:val="004D7908"/>
    <w:rsid w:val="004E32AE"/>
    <w:rsid w:val="004F76FE"/>
    <w:rsid w:val="00503C9B"/>
    <w:rsid w:val="0050772F"/>
    <w:rsid w:val="00516CDB"/>
    <w:rsid w:val="00533049"/>
    <w:rsid w:val="005354B5"/>
    <w:rsid w:val="005428F6"/>
    <w:rsid w:val="00551DCC"/>
    <w:rsid w:val="00554D03"/>
    <w:rsid w:val="005601D5"/>
    <w:rsid w:val="00570724"/>
    <w:rsid w:val="00571293"/>
    <w:rsid w:val="005766BD"/>
    <w:rsid w:val="00582F34"/>
    <w:rsid w:val="00585238"/>
    <w:rsid w:val="00594274"/>
    <w:rsid w:val="00594E9F"/>
    <w:rsid w:val="00595996"/>
    <w:rsid w:val="005A7901"/>
    <w:rsid w:val="005C1E89"/>
    <w:rsid w:val="005E1E61"/>
    <w:rsid w:val="005E6AD4"/>
    <w:rsid w:val="005E7093"/>
    <w:rsid w:val="005F7FE6"/>
    <w:rsid w:val="00612187"/>
    <w:rsid w:val="0061326D"/>
    <w:rsid w:val="0061612A"/>
    <w:rsid w:val="006209D4"/>
    <w:rsid w:val="00636AE0"/>
    <w:rsid w:val="00636BE6"/>
    <w:rsid w:val="00646FC8"/>
    <w:rsid w:val="006636F7"/>
    <w:rsid w:val="006704AE"/>
    <w:rsid w:val="0068373F"/>
    <w:rsid w:val="00685B84"/>
    <w:rsid w:val="00691AE3"/>
    <w:rsid w:val="00694451"/>
    <w:rsid w:val="006A17A4"/>
    <w:rsid w:val="006A186E"/>
    <w:rsid w:val="006A394B"/>
    <w:rsid w:val="006B70C3"/>
    <w:rsid w:val="006C7E69"/>
    <w:rsid w:val="006D0CE3"/>
    <w:rsid w:val="00702955"/>
    <w:rsid w:val="00710CA0"/>
    <w:rsid w:val="00742360"/>
    <w:rsid w:val="0074587A"/>
    <w:rsid w:val="00757A44"/>
    <w:rsid w:val="00757BDD"/>
    <w:rsid w:val="0076147C"/>
    <w:rsid w:val="00762873"/>
    <w:rsid w:val="00762B30"/>
    <w:rsid w:val="00765A52"/>
    <w:rsid w:val="00765F2C"/>
    <w:rsid w:val="0078547C"/>
    <w:rsid w:val="00786B1B"/>
    <w:rsid w:val="00790593"/>
    <w:rsid w:val="007929CC"/>
    <w:rsid w:val="0079594A"/>
    <w:rsid w:val="00797E1A"/>
    <w:rsid w:val="007A64FA"/>
    <w:rsid w:val="007B1BFB"/>
    <w:rsid w:val="007C1BB0"/>
    <w:rsid w:val="007C3331"/>
    <w:rsid w:val="007C7947"/>
    <w:rsid w:val="007D2366"/>
    <w:rsid w:val="007D2F15"/>
    <w:rsid w:val="007D47EC"/>
    <w:rsid w:val="007D7846"/>
    <w:rsid w:val="007F6338"/>
    <w:rsid w:val="007F73D2"/>
    <w:rsid w:val="00801C96"/>
    <w:rsid w:val="008045C9"/>
    <w:rsid w:val="0081130A"/>
    <w:rsid w:val="00812577"/>
    <w:rsid w:val="0081268E"/>
    <w:rsid w:val="00814990"/>
    <w:rsid w:val="00821ED5"/>
    <w:rsid w:val="008227CE"/>
    <w:rsid w:val="008276DB"/>
    <w:rsid w:val="0083587E"/>
    <w:rsid w:val="008412F6"/>
    <w:rsid w:val="00844258"/>
    <w:rsid w:val="00857629"/>
    <w:rsid w:val="00863F3C"/>
    <w:rsid w:val="00886182"/>
    <w:rsid w:val="008A248C"/>
    <w:rsid w:val="008A38C5"/>
    <w:rsid w:val="008B3430"/>
    <w:rsid w:val="008B5A94"/>
    <w:rsid w:val="008D0A07"/>
    <w:rsid w:val="008D31CC"/>
    <w:rsid w:val="008D4D2E"/>
    <w:rsid w:val="008F76AE"/>
    <w:rsid w:val="00913A04"/>
    <w:rsid w:val="00920D85"/>
    <w:rsid w:val="00920E8C"/>
    <w:rsid w:val="00957759"/>
    <w:rsid w:val="009779C9"/>
    <w:rsid w:val="00980C04"/>
    <w:rsid w:val="00984B7C"/>
    <w:rsid w:val="009952FC"/>
    <w:rsid w:val="00995E69"/>
    <w:rsid w:val="009A4B24"/>
    <w:rsid w:val="009A7D7F"/>
    <w:rsid w:val="009B79D9"/>
    <w:rsid w:val="009E064B"/>
    <w:rsid w:val="009F5D86"/>
    <w:rsid w:val="009F7CF1"/>
    <w:rsid w:val="00A03600"/>
    <w:rsid w:val="00A04A48"/>
    <w:rsid w:val="00A13EBF"/>
    <w:rsid w:val="00A145D6"/>
    <w:rsid w:val="00A24259"/>
    <w:rsid w:val="00A25DE2"/>
    <w:rsid w:val="00A4146E"/>
    <w:rsid w:val="00A4316F"/>
    <w:rsid w:val="00A43BC8"/>
    <w:rsid w:val="00A43DFC"/>
    <w:rsid w:val="00A47B8F"/>
    <w:rsid w:val="00A51973"/>
    <w:rsid w:val="00A60012"/>
    <w:rsid w:val="00A65409"/>
    <w:rsid w:val="00A729F0"/>
    <w:rsid w:val="00A77D30"/>
    <w:rsid w:val="00A812F0"/>
    <w:rsid w:val="00A914BA"/>
    <w:rsid w:val="00A91B4D"/>
    <w:rsid w:val="00A94DD6"/>
    <w:rsid w:val="00A97F29"/>
    <w:rsid w:val="00AA17EB"/>
    <w:rsid w:val="00AA4965"/>
    <w:rsid w:val="00AB3ACD"/>
    <w:rsid w:val="00AB5E79"/>
    <w:rsid w:val="00AD682D"/>
    <w:rsid w:val="00AF7EF7"/>
    <w:rsid w:val="00B06E3E"/>
    <w:rsid w:val="00B115A9"/>
    <w:rsid w:val="00B17FF6"/>
    <w:rsid w:val="00B24C9A"/>
    <w:rsid w:val="00B256E1"/>
    <w:rsid w:val="00B25A65"/>
    <w:rsid w:val="00B34808"/>
    <w:rsid w:val="00B527D3"/>
    <w:rsid w:val="00B528C5"/>
    <w:rsid w:val="00B67A5D"/>
    <w:rsid w:val="00B76A61"/>
    <w:rsid w:val="00B866EA"/>
    <w:rsid w:val="00B87127"/>
    <w:rsid w:val="00B93E7E"/>
    <w:rsid w:val="00BA0270"/>
    <w:rsid w:val="00BA2F74"/>
    <w:rsid w:val="00BA79E9"/>
    <w:rsid w:val="00BD76E5"/>
    <w:rsid w:val="00BE01B5"/>
    <w:rsid w:val="00BE2951"/>
    <w:rsid w:val="00BE3D18"/>
    <w:rsid w:val="00C17CC8"/>
    <w:rsid w:val="00C30289"/>
    <w:rsid w:val="00C34CF4"/>
    <w:rsid w:val="00C7099D"/>
    <w:rsid w:val="00C750AE"/>
    <w:rsid w:val="00CA379F"/>
    <w:rsid w:val="00CA69CD"/>
    <w:rsid w:val="00CB05B4"/>
    <w:rsid w:val="00CC7CF3"/>
    <w:rsid w:val="00CD5369"/>
    <w:rsid w:val="00CE633E"/>
    <w:rsid w:val="00CE7F86"/>
    <w:rsid w:val="00CF1FF5"/>
    <w:rsid w:val="00CF4953"/>
    <w:rsid w:val="00CF4AB0"/>
    <w:rsid w:val="00D0055C"/>
    <w:rsid w:val="00D07C34"/>
    <w:rsid w:val="00D12AD2"/>
    <w:rsid w:val="00D24BAE"/>
    <w:rsid w:val="00D24C20"/>
    <w:rsid w:val="00D30D19"/>
    <w:rsid w:val="00D36F15"/>
    <w:rsid w:val="00D40488"/>
    <w:rsid w:val="00D41E68"/>
    <w:rsid w:val="00D559C0"/>
    <w:rsid w:val="00D60ABD"/>
    <w:rsid w:val="00D612B3"/>
    <w:rsid w:val="00D61896"/>
    <w:rsid w:val="00D65FEC"/>
    <w:rsid w:val="00D70B86"/>
    <w:rsid w:val="00D7188D"/>
    <w:rsid w:val="00D7197F"/>
    <w:rsid w:val="00D92ABF"/>
    <w:rsid w:val="00D93BAD"/>
    <w:rsid w:val="00D97BC8"/>
    <w:rsid w:val="00DB58FC"/>
    <w:rsid w:val="00DC46A2"/>
    <w:rsid w:val="00DC7D42"/>
    <w:rsid w:val="00DE3BE2"/>
    <w:rsid w:val="00DE6470"/>
    <w:rsid w:val="00DF638B"/>
    <w:rsid w:val="00E06714"/>
    <w:rsid w:val="00E22AF5"/>
    <w:rsid w:val="00E37240"/>
    <w:rsid w:val="00E44FE8"/>
    <w:rsid w:val="00E51D90"/>
    <w:rsid w:val="00E543B3"/>
    <w:rsid w:val="00E602E2"/>
    <w:rsid w:val="00E61335"/>
    <w:rsid w:val="00E61583"/>
    <w:rsid w:val="00E64E61"/>
    <w:rsid w:val="00E715BD"/>
    <w:rsid w:val="00E7558E"/>
    <w:rsid w:val="00E933D3"/>
    <w:rsid w:val="00E94BB1"/>
    <w:rsid w:val="00E95F28"/>
    <w:rsid w:val="00E960AA"/>
    <w:rsid w:val="00EB6C4A"/>
    <w:rsid w:val="00ED04F7"/>
    <w:rsid w:val="00ED708A"/>
    <w:rsid w:val="00EE1C18"/>
    <w:rsid w:val="00EE5F4C"/>
    <w:rsid w:val="00EE678B"/>
    <w:rsid w:val="00EF234C"/>
    <w:rsid w:val="00F071A2"/>
    <w:rsid w:val="00F16B91"/>
    <w:rsid w:val="00F30A35"/>
    <w:rsid w:val="00F3520E"/>
    <w:rsid w:val="00F375D8"/>
    <w:rsid w:val="00F746C3"/>
    <w:rsid w:val="00F7473F"/>
    <w:rsid w:val="00F770B5"/>
    <w:rsid w:val="00F800AA"/>
    <w:rsid w:val="00F83DF2"/>
    <w:rsid w:val="00FB262D"/>
    <w:rsid w:val="00FB3773"/>
    <w:rsid w:val="00FB6771"/>
    <w:rsid w:val="00FB7DC8"/>
    <w:rsid w:val="00FD6ADF"/>
    <w:rsid w:val="00FE02F9"/>
    <w:rsid w:val="00FF1F8B"/>
    <w:rsid w:val="00FF7269"/>
    <w:rsid w:val="00FF7432"/>
    <w:rsid w:val="11E9693C"/>
    <w:rsid w:val="1E3E4FB4"/>
    <w:rsid w:val="23A473E9"/>
    <w:rsid w:val="2973364C"/>
    <w:rsid w:val="409A5FBE"/>
    <w:rsid w:val="4D19306E"/>
    <w:rsid w:val="57DE8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2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宋体" w:hAnsi="Times New Roman" w:eastAsia="宋体"/>
      <w:sz w:val="18"/>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标准文件_标准部门"/>
    <w:basedOn w:val="1"/>
    <w:next w:val="1"/>
    <w:qFormat/>
    <w:uiPriority w:val="0"/>
    <w:pPr>
      <w:adjustRightInd w:val="0"/>
      <w:spacing w:line="310" w:lineRule="exact"/>
      <w:jc w:val="right"/>
    </w:pPr>
    <w:rPr>
      <w:rFonts w:ascii="黑体" w:hAnsi="Times New Roman" w:eastAsia="黑体" w:cs="Times New Roman"/>
      <w:sz w:val="32"/>
      <w:szCs w:val="20"/>
    </w:rPr>
  </w:style>
  <w:style w:type="paragraph" w:customStyle="1" w:styleId="15">
    <w:name w:val="标准文件_标准正文"/>
    <w:basedOn w:val="1"/>
    <w:next w:val="16"/>
    <w:qFormat/>
    <w:uiPriority w:val="0"/>
    <w:pPr>
      <w:adjustRightInd w:val="0"/>
      <w:snapToGrid w:val="0"/>
      <w:spacing w:line="310" w:lineRule="exact"/>
      <w:ind w:firstLine="428" w:firstLineChars="200"/>
    </w:pPr>
    <w:rPr>
      <w:rFonts w:ascii="Times New Roman" w:hAnsi="Times New Roman" w:eastAsia="宋体" w:cs="Times New Roman"/>
      <w:spacing w:val="2"/>
      <w:kern w:val="0"/>
      <w:szCs w:val="20"/>
    </w:rPr>
  </w:style>
  <w:style w:type="paragraph" w:customStyle="1" w:styleId="16">
    <w:name w:val="标准文件_段"/>
    <w:qFormat/>
    <w:uiPriority w:val="0"/>
    <w:pPr>
      <w:autoSpaceDE w:val="0"/>
      <w:autoSpaceDN w:val="0"/>
      <w:adjustRightInd w:val="0"/>
      <w:snapToGrid w:val="0"/>
      <w:spacing w:line="340" w:lineRule="exact"/>
      <w:ind w:firstLine="428" w:firstLineChars="200"/>
      <w:jc w:val="both"/>
    </w:pPr>
    <w:rPr>
      <w:rFonts w:ascii="Times New Roman" w:hAnsi="Times New Roman" w:eastAsia="宋体" w:cs="Times New Roman"/>
      <w:spacing w:val="2"/>
      <w:sz w:val="21"/>
      <w:lang w:val="en-US" w:eastAsia="zh-CN" w:bidi="ar-SA"/>
    </w:rPr>
  </w:style>
  <w:style w:type="paragraph" w:customStyle="1" w:styleId="17">
    <w:name w:val="标准文件_封面标准编号"/>
    <w:basedOn w:val="1"/>
    <w:next w:val="1"/>
    <w:qFormat/>
    <w:uiPriority w:val="0"/>
    <w:pPr>
      <w:adjustRightInd w:val="0"/>
      <w:spacing w:line="310" w:lineRule="exact"/>
      <w:jc w:val="right"/>
    </w:pPr>
    <w:rPr>
      <w:rFonts w:ascii="黑体" w:hAnsi="宋体" w:eastAsia="黑体" w:cs="Times New Roman"/>
      <w:kern w:val="0"/>
      <w:sz w:val="28"/>
      <w:szCs w:val="20"/>
    </w:rPr>
  </w:style>
  <w:style w:type="paragraph" w:customStyle="1" w:styleId="18">
    <w:name w:val="标准文件_封面标准名称"/>
    <w:basedOn w:val="1"/>
    <w:qFormat/>
    <w:uiPriority w:val="0"/>
    <w:pPr>
      <w:adjustRightInd w:val="0"/>
      <w:spacing w:before="100" w:beforeLines="100" w:line="500" w:lineRule="exact"/>
      <w:jc w:val="center"/>
    </w:pPr>
    <w:rPr>
      <w:rFonts w:ascii="黑体" w:hAnsi="Times New Roman" w:eastAsia="黑体" w:cs="Times New Roman"/>
      <w:kern w:val="0"/>
      <w:sz w:val="52"/>
      <w:szCs w:val="20"/>
    </w:rPr>
  </w:style>
  <w:style w:type="paragraph" w:customStyle="1" w:styleId="19">
    <w:name w:val="标准文件_封面标准英文名称"/>
    <w:basedOn w:val="1"/>
    <w:qFormat/>
    <w:uiPriority w:val="0"/>
    <w:pPr>
      <w:adjustRightInd w:val="0"/>
      <w:spacing w:line="440" w:lineRule="exact"/>
      <w:jc w:val="center"/>
    </w:pPr>
    <w:rPr>
      <w:rFonts w:ascii="Times New Roman" w:hAnsi="Times New Roman" w:eastAsia="黑体" w:cs="Times New Roman"/>
      <w:b/>
      <w:sz w:val="28"/>
      <w:szCs w:val="20"/>
    </w:rPr>
  </w:style>
  <w:style w:type="paragraph" w:customStyle="1" w:styleId="20">
    <w:name w:val="标准文件_封面发布日期"/>
    <w:basedOn w:val="1"/>
    <w:qFormat/>
    <w:uiPriority w:val="0"/>
    <w:pPr>
      <w:adjustRightInd w:val="0"/>
      <w:spacing w:line="310" w:lineRule="exact"/>
    </w:pPr>
    <w:rPr>
      <w:rFonts w:ascii="黑体" w:hAnsi="Times New Roman" w:eastAsia="黑体" w:cs="Times New Roman"/>
      <w:kern w:val="0"/>
      <w:sz w:val="28"/>
      <w:szCs w:val="20"/>
    </w:rPr>
  </w:style>
  <w:style w:type="paragraph" w:customStyle="1" w:styleId="21">
    <w:name w:val="标准文件_封面实施日期"/>
    <w:basedOn w:val="1"/>
    <w:qFormat/>
    <w:uiPriority w:val="0"/>
    <w:pPr>
      <w:adjustRightInd w:val="0"/>
      <w:spacing w:line="310" w:lineRule="exact"/>
      <w:jc w:val="right"/>
    </w:pPr>
    <w:rPr>
      <w:rFonts w:ascii="黑体" w:hAnsi="Times New Roman" w:eastAsia="黑体" w:cs="Times New Roman"/>
      <w:sz w:val="28"/>
      <w:szCs w:val="20"/>
    </w:rPr>
  </w:style>
  <w:style w:type="paragraph" w:customStyle="1" w:styleId="22">
    <w:name w:val="标准书脚_奇数页"/>
    <w:qFormat/>
    <w:uiPriority w:val="0"/>
    <w:pPr>
      <w:jc w:val="right"/>
    </w:pPr>
    <w:rPr>
      <w:rFonts w:ascii="宋体" w:hAnsi="Times New Roman" w:eastAsia="宋体" w:cs="Times New Roman"/>
      <w:sz w:val="18"/>
      <w:lang w:val="en-US" w:eastAsia="zh-CN" w:bidi="ar-SA"/>
    </w:rPr>
  </w:style>
  <w:style w:type="paragraph" w:customStyle="1" w:styleId="23">
    <w:name w:val="标准文件_标准书眉_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4">
    <w:name w:val="标准文件_标准书眉_偶数页"/>
    <w:basedOn w:val="23"/>
    <w:next w:val="1"/>
    <w:qFormat/>
    <w:uiPriority w:val="0"/>
    <w:pPr>
      <w:jc w:val="left"/>
    </w:pPr>
  </w:style>
  <w:style w:type="paragraph" w:customStyle="1" w:styleId="25">
    <w:name w:val="标准文件_ICS"/>
    <w:basedOn w:val="1"/>
    <w:qFormat/>
    <w:uiPriority w:val="0"/>
    <w:pPr>
      <w:adjustRightInd w:val="0"/>
      <w:spacing w:line="0" w:lineRule="atLeast"/>
    </w:pPr>
    <w:rPr>
      <w:rFonts w:ascii="黑体" w:hAnsi="宋体" w:eastAsia="黑体" w:cs="Times New Roman"/>
      <w:szCs w:val="20"/>
    </w:rPr>
  </w:style>
  <w:style w:type="character" w:customStyle="1" w:styleId="26">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520</Words>
  <Characters>2967</Characters>
  <Lines>24</Lines>
  <Paragraphs>6</Paragraphs>
  <TotalTime>172</TotalTime>
  <ScaleCrop>false</ScaleCrop>
  <LinksUpToDate>false</LinksUpToDate>
  <CharactersWithSpaces>3481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2022-05-22T16:57:00Z</dcterms:created>
  <dc:creator>86133</dc:creator>
  <cp:lastModifiedBy>kylin</cp:lastModifiedBy>
  <dcterms:modified xsi:type="dcterms:W3CDTF">2022-06-01T09:26:47Z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4000B6D9C4FD4AB1A8F472DA0F531B9A</vt:lpwstr>
  </property>
</Properties>
</file>