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黑体" w:hAnsi="黑体" w:eastAsia="黑体"/>
          <w:color w:val="000000" w:themeColor="text1"/>
          <w:sz w:val="32"/>
          <w:szCs w:val="32"/>
          <w:lang w:eastAsia="zh-CN"/>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退役、拆解回收单基/双基发射药</w:t>
      </w:r>
      <w:r>
        <w:rPr>
          <w:rFonts w:hint="eastAsia" w:ascii="黑体" w:hAnsi="黑体" w:eastAsia="黑体"/>
          <w:color w:val="000000" w:themeColor="text1"/>
          <w:sz w:val="32"/>
          <w:szCs w:val="32"/>
          <w:lang w:eastAsia="zh-CN"/>
          <w14:textFill>
            <w14:solidFill>
              <w14:schemeClr w14:val="tx1"/>
            </w14:solidFill>
          </w14:textFill>
        </w:rPr>
        <w:t>（试行）</w:t>
      </w:r>
      <w:bookmarkStart w:id="8" w:name="_GoBack"/>
      <w:bookmarkEnd w:id="8"/>
    </w:p>
    <w:p>
      <w:pPr>
        <w:pStyle w:val="11"/>
        <w:numPr>
          <w:ilvl w:val="0"/>
          <w:numId w:val="2"/>
        </w:numPr>
        <w:spacing w:before="156" w:beforeLines="50" w:after="156" w:afterLines="50"/>
        <w:ind w:firstLineChars="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范围</w:t>
      </w:r>
    </w:p>
    <w:p>
      <w:pPr>
        <w:pStyle w:val="11"/>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本文件规定了退役、拆解回收单基/双基发射药的要求、检验规则、试验方法以及标志、包装、运输、贮存等内容。</w:t>
      </w:r>
    </w:p>
    <w:p>
      <w:pPr>
        <w:pStyle w:val="11"/>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本文件适用于退役、拆解回收单基/双基发射药的验收。</w:t>
      </w:r>
    </w:p>
    <w:p>
      <w:pPr>
        <w:pStyle w:val="11"/>
        <w:numPr>
          <w:ilvl w:val="0"/>
          <w:numId w:val="2"/>
        </w:numPr>
        <w:spacing w:before="156" w:beforeLines="50" w:after="156" w:afterLines="50"/>
        <w:ind w:firstLineChars="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规范性引用文件</w:t>
      </w:r>
    </w:p>
    <w:p>
      <w:pPr>
        <w:pStyle w:val="11"/>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11"/>
        <w:spacing w:line="276" w:lineRule="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GB 190  危险货物包装标志</w:t>
      </w:r>
    </w:p>
    <w:p>
      <w:pPr>
        <w:pStyle w:val="11"/>
        <w:spacing w:line="276" w:lineRule="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GB/T 2828  逐批检查计数抽样程序及抽样表（适用于连续批的检查）</w:t>
      </w:r>
    </w:p>
    <w:p>
      <w:pPr>
        <w:pStyle w:val="11"/>
        <w:spacing w:line="276" w:lineRule="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GB/T 4456  包装用聚乙烯吹塑薄膜</w:t>
      </w:r>
    </w:p>
    <w:p>
      <w:pPr>
        <w:pStyle w:val="11"/>
        <w:spacing w:line="276" w:lineRule="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GB/T 6682-2008 </w:t>
      </w:r>
      <w:r>
        <w:rPr>
          <w:rFonts w:ascii="宋体" w:hAnsi="宋体" w:eastAsia="宋体"/>
          <w:color w:val="000000" w:themeColor="text1"/>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分析实验室用水规格和试验方法</w:t>
      </w:r>
    </w:p>
    <w:p>
      <w:pPr>
        <w:pStyle w:val="11"/>
        <w:spacing w:line="276" w:lineRule="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GB/T 8946  塑料编织袋</w:t>
      </w:r>
    </w:p>
    <w:p>
      <w:pPr>
        <w:pStyle w:val="11"/>
        <w:spacing w:line="276" w:lineRule="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GB/T 14436  工业产品保证文件 总则</w:t>
      </w:r>
    </w:p>
    <w:p>
      <w:pPr>
        <w:pStyle w:val="11"/>
        <w:spacing w:line="276" w:lineRule="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GB 50089  </w:t>
      </w:r>
      <w:r>
        <w:rPr>
          <w:rFonts w:hint="eastAsia" w:ascii="Times New Roman" w:hAnsi="Times New Roman" w:eastAsia="宋体" w:cs="Times New Roman"/>
          <w:color w:val="000000" w:themeColor="text1"/>
          <w:szCs w:val="21"/>
          <w14:textFill>
            <w14:solidFill>
              <w14:schemeClr w14:val="tx1"/>
            </w14:solidFill>
          </w14:textFill>
        </w:rPr>
        <w:t>民用爆炸物品工程设计安全标准</w:t>
      </w:r>
    </w:p>
    <w:p>
      <w:pPr>
        <w:pStyle w:val="11"/>
        <w:spacing w:line="276" w:lineRule="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GJB 770A-1997  火药试验方法</w:t>
      </w:r>
    </w:p>
    <w:p>
      <w:pPr>
        <w:pStyle w:val="11"/>
        <w:spacing w:line="276" w:lineRule="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GJB 1886  标准溶液的制备和标定</w:t>
      </w:r>
    </w:p>
    <w:p>
      <w:pPr>
        <w:pStyle w:val="11"/>
        <w:spacing w:line="276" w:lineRule="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AQ 4125－2014  烟花爆竹</w:t>
      </w:r>
      <w:r>
        <w:rPr>
          <w:rFonts w:hint="eastAsia" w:ascii="Times New Roman" w:hAnsi="Times New Roman" w:eastAsia="宋体" w:cs="Times New Roman"/>
          <w:color w:val="000000" w:themeColor="text1"/>
          <w:szCs w:val="21"/>
          <w14:textFill>
            <w14:solidFill>
              <w14:schemeClr w14:val="tx1"/>
            </w14:solidFill>
          </w14:textFill>
        </w:rPr>
        <w:t xml:space="preserve"> 单基火药安全要求</w:t>
      </w:r>
    </w:p>
    <w:p>
      <w:pPr>
        <w:pStyle w:val="11"/>
        <w:spacing w:line="276" w:lineRule="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GA 921  民用爆炸物品警示标识、登记标识通则</w:t>
      </w:r>
    </w:p>
    <w:p>
      <w:pPr>
        <w:pStyle w:val="11"/>
        <w:spacing w:line="276" w:lineRule="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《军工危险化学品安全管理暂行办法》 国家国防科技工业局 2017 年 2 月 科工安密[2017]177号</w:t>
      </w:r>
    </w:p>
    <w:p>
      <w:pPr>
        <w:pStyle w:val="11"/>
        <w:spacing w:line="276" w:lineRule="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《军工危险化学品安全技术说明书和使用指南（试行）》 国家国防科技工业局 2018 年 4 月 科工安密[2018]529 号</w:t>
      </w:r>
    </w:p>
    <w:p>
      <w:pPr>
        <w:pStyle w:val="11"/>
        <w:numPr>
          <w:ilvl w:val="0"/>
          <w:numId w:val="2"/>
        </w:numPr>
        <w:spacing w:before="156" w:beforeLines="50" w:after="156" w:afterLines="50"/>
        <w:ind w:firstLineChars="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要求</w:t>
      </w:r>
    </w:p>
    <w:p>
      <w:pPr>
        <w:pStyle w:val="11"/>
        <w:numPr>
          <w:ilvl w:val="1"/>
          <w:numId w:val="2"/>
        </w:numPr>
        <w:spacing w:line="276" w:lineRule="auto"/>
        <w:ind w:left="527" w:hanging="527" w:firstLineChars="0"/>
        <w:outlineLvl w:val="1"/>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分类</w:t>
      </w:r>
    </w:p>
    <w:p>
      <w:pPr>
        <w:pStyle w:val="11"/>
        <w:spacing w:line="276" w:lineRule="auto"/>
        <w:ind w:firstLine="0" w:firstLineChars="0"/>
        <w:rPr>
          <w:rFonts w:ascii="宋体" w:hAnsi="宋体" w:eastAsia="宋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3.1.1</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退役单基/双基发射药：国储或军队退役且未经装填的单基/双基发射药产品（不含松钾药）。</w:t>
      </w:r>
    </w:p>
    <w:p>
      <w:pPr>
        <w:pStyle w:val="11"/>
        <w:spacing w:line="276" w:lineRule="auto"/>
        <w:ind w:firstLine="0" w:firstLineChars="0"/>
        <w:rPr>
          <w:rFonts w:ascii="宋体" w:hAnsi="宋体" w:eastAsia="宋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3.1.2</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拆解回收单基/双基发射药：从弹药或元件中拆解回收的单基/双基发射药产品（不含松钾药）。</w:t>
      </w:r>
    </w:p>
    <w:p>
      <w:pPr>
        <w:pStyle w:val="11"/>
        <w:numPr>
          <w:ilvl w:val="1"/>
          <w:numId w:val="2"/>
        </w:numPr>
        <w:spacing w:line="276" w:lineRule="auto"/>
        <w:ind w:left="527" w:hanging="527" w:firstLineChars="0"/>
        <w:outlineLvl w:val="1"/>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分级</w:t>
      </w:r>
    </w:p>
    <w:p>
      <w:pPr>
        <w:spacing w:line="276" w:lineRule="auto"/>
        <w:rPr>
          <w:rFonts w:ascii="宋体" w:hAnsi="宋体" w:eastAsia="宋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3.2.1</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一级品</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退役、拆解回收后经过深度加工处理的单基/双基发射药，产品颗粒度较小、均匀性较好</w:t>
      </w:r>
      <w:r>
        <w:rPr>
          <w:rFonts w:ascii="宋体" w:hAnsi="宋体" w:eastAsia="宋体"/>
          <w:color w:val="000000" w:themeColor="text1"/>
          <w:szCs w:val="21"/>
          <w14:textFill>
            <w14:solidFill>
              <w14:schemeClr w14:val="tx1"/>
            </w14:solidFill>
          </w14:textFill>
        </w:rPr>
        <w:t>。</w:t>
      </w:r>
    </w:p>
    <w:p>
      <w:pPr>
        <w:spacing w:line="276" w:lineRule="auto"/>
        <w:rPr>
          <w:rFonts w:ascii="宋体" w:hAnsi="宋体" w:eastAsia="宋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3.2.2</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二级品</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退役、拆解回收后经过检测、剔除可见机械杂质的单基/双基发射药，保留原尺寸、形状。</w:t>
      </w:r>
    </w:p>
    <w:p>
      <w:pPr>
        <w:pStyle w:val="11"/>
        <w:numPr>
          <w:ilvl w:val="1"/>
          <w:numId w:val="2"/>
        </w:numPr>
        <w:spacing w:line="276" w:lineRule="auto"/>
        <w:ind w:left="527" w:hanging="527" w:firstLineChars="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外观</w:t>
      </w:r>
    </w:p>
    <w:p>
      <w:pPr>
        <w:spacing w:line="276" w:lineRule="auto"/>
        <w:rPr>
          <w:rFonts w:ascii="宋体" w:hAnsi="宋体" w:eastAsia="宋体"/>
          <w:color w:val="000000" w:themeColor="text1"/>
          <w:szCs w:val="21"/>
          <w14:textFill>
            <w14:solidFill>
              <w14:schemeClr w14:val="tx1"/>
            </w14:solidFill>
          </w14:textFill>
        </w:rPr>
      </w:pPr>
      <w:bookmarkStart w:id="0" w:name="_Hlk104098440"/>
      <w:r>
        <w:rPr>
          <w:rFonts w:hint="eastAsia" w:ascii="黑体" w:hAnsi="黑体" w:eastAsia="黑体"/>
          <w:color w:val="000000" w:themeColor="text1"/>
          <w:szCs w:val="21"/>
          <w14:textFill>
            <w14:solidFill>
              <w14:schemeClr w14:val="tx1"/>
            </w14:solidFill>
          </w14:textFill>
        </w:rPr>
        <w:t>3</w:t>
      </w:r>
      <w:r>
        <w:rPr>
          <w:rFonts w:ascii="黑体" w:hAnsi="黑体" w:eastAsia="黑体"/>
          <w:color w:val="000000" w:themeColor="text1"/>
          <w:szCs w:val="21"/>
          <w14:textFill>
            <w14:solidFill>
              <w14:schemeClr w14:val="tx1"/>
            </w14:solidFill>
          </w14:textFill>
        </w:rPr>
        <w:t xml:space="preserve">.3.1  </w:t>
      </w:r>
      <w:r>
        <w:rPr>
          <w:rFonts w:hint="eastAsia" w:ascii="宋体" w:hAnsi="宋体" w:eastAsia="宋体"/>
          <w:color w:val="000000" w:themeColor="text1"/>
          <w:szCs w:val="21"/>
          <w14:textFill>
            <w14:solidFill>
              <w14:schemeClr w14:val="tx1"/>
            </w14:solidFill>
          </w14:textFill>
        </w:rPr>
        <w:t>一级品为大小基本均匀的粉末或颗粒状固体，应呈明显潮湿状，</w:t>
      </w:r>
      <w:r>
        <w:rPr>
          <w:rFonts w:ascii="宋体" w:hAnsi="宋体" w:eastAsia="宋体"/>
          <w:color w:val="000000" w:themeColor="text1"/>
          <w:szCs w:val="21"/>
          <w14:textFill>
            <w14:solidFill>
              <w14:schemeClr w14:val="tx1"/>
            </w14:solidFill>
          </w14:textFill>
        </w:rPr>
        <w:t>无</w:t>
      </w:r>
      <w:r>
        <w:rPr>
          <w:rFonts w:hint="eastAsia" w:ascii="宋体" w:hAnsi="宋体" w:eastAsia="宋体"/>
          <w:color w:val="000000" w:themeColor="text1"/>
          <w:szCs w:val="21"/>
          <w14:textFill>
            <w14:solidFill>
              <w14:schemeClr w14:val="tx1"/>
            </w14:solidFill>
          </w14:textFill>
        </w:rPr>
        <w:t>肉眼可见的杂质,粒度宜为</w:t>
      </w:r>
      <w:r>
        <w:rPr>
          <w:rFonts w:hint="eastAsia" w:ascii="Times New Roman" w:hAnsi="Times New Roman" w:eastAsia="宋体" w:cs="Times New Roman"/>
          <w:color w:val="000000" w:themeColor="text1"/>
          <w:szCs w:val="21"/>
          <w14:textFill>
            <w14:solidFill>
              <w14:schemeClr w14:val="tx1"/>
            </w14:solidFill>
          </w14:textFill>
        </w:rPr>
        <w:t>Φ3</w:t>
      </w:r>
      <w:r>
        <w:rPr>
          <w:rFonts w:ascii="Times New Roman" w:hAnsi="Times New Roman" w:eastAsia="宋体" w:cs="Times New Roman"/>
          <w:color w:val="000000" w:themeColor="text1"/>
          <w:szCs w:val="21"/>
          <w14:textFill>
            <w14:solidFill>
              <w14:schemeClr w14:val="tx1"/>
            </w14:solidFill>
          </w14:textFill>
        </w:rPr>
        <w:t>mm~</w:t>
      </w:r>
      <w:r>
        <w:rPr>
          <w:rFonts w:hint="eastAsia" w:ascii="Times New Roman" w:hAnsi="Times New Roman" w:eastAsia="宋体" w:cs="Times New Roman"/>
          <w:color w:val="000000" w:themeColor="text1"/>
          <w:szCs w:val="21"/>
          <w14:textFill>
            <w14:solidFill>
              <w14:schemeClr w14:val="tx1"/>
            </w14:solidFill>
          </w14:textFill>
        </w:rPr>
        <w:t>Φ</w:t>
      </w:r>
      <w:r>
        <w:rPr>
          <w:rFonts w:ascii="Times New Roman" w:hAnsi="Times New Roman" w:eastAsia="宋体" w:cs="Times New Roman"/>
          <w:color w:val="000000" w:themeColor="text1"/>
          <w:szCs w:val="21"/>
          <w14:textFill>
            <w14:solidFill>
              <w14:schemeClr w14:val="tx1"/>
            </w14:solidFill>
          </w14:textFill>
        </w:rPr>
        <w:t>6mm</w:t>
      </w:r>
      <w:r>
        <w:rPr>
          <w:rFonts w:hint="eastAsia" w:ascii="宋体" w:hAnsi="宋体" w:eastAsia="宋体"/>
          <w:color w:val="000000" w:themeColor="text1"/>
          <w:szCs w:val="21"/>
          <w14:textFill>
            <w14:solidFill>
              <w14:schemeClr w14:val="tx1"/>
            </w14:solidFill>
          </w14:textFill>
        </w:rPr>
        <w:t>，或按需求定制的其他粒径。</w:t>
      </w:r>
    </w:p>
    <w:bookmarkEnd w:id="0"/>
    <w:p>
      <w:pPr>
        <w:spacing w:line="276" w:lineRule="auto"/>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3</w:t>
      </w:r>
      <w:r>
        <w:rPr>
          <w:rFonts w:ascii="黑体" w:hAnsi="黑体" w:eastAsia="黑体"/>
          <w:color w:val="000000" w:themeColor="text1"/>
          <w:szCs w:val="21"/>
          <w14:textFill>
            <w14:solidFill>
              <w14:schemeClr w14:val="tx1"/>
            </w14:solidFill>
          </w14:textFill>
        </w:rPr>
        <w:t xml:space="preserve">.3.2  </w:t>
      </w:r>
      <w:r>
        <w:rPr>
          <w:rFonts w:hint="eastAsia" w:ascii="宋体" w:hAnsi="宋体" w:eastAsia="宋体"/>
          <w:color w:val="000000" w:themeColor="text1"/>
          <w:szCs w:val="21"/>
          <w14:textFill>
            <w14:solidFill>
              <w14:schemeClr w14:val="tx1"/>
            </w14:solidFill>
          </w14:textFill>
        </w:rPr>
        <w:t>二级品为粒状、片状或管状固体，无目视可见的机械杂质，允许有个别线头、纸片等杂质，但其含量应不大于抽样总量的</w:t>
      </w:r>
      <w:r>
        <w:rPr>
          <w:rFonts w:ascii="Times New Roman" w:hAnsi="Times New Roman" w:eastAsia="宋体" w:cs="Times New Roman"/>
          <w:color w:val="000000" w:themeColor="text1"/>
          <w:szCs w:val="21"/>
          <w14:textFill>
            <w14:solidFill>
              <w14:schemeClr w14:val="tx1"/>
            </w14:solidFill>
          </w14:textFill>
        </w:rPr>
        <w:t>0.01%（双基片状药为0.05%）</w:t>
      </w:r>
      <w:r>
        <w:rPr>
          <w:rFonts w:ascii="宋体" w:hAnsi="宋体" w:eastAsia="宋体"/>
          <w:color w:val="000000" w:themeColor="text1"/>
          <w:szCs w:val="21"/>
          <w14:textFill>
            <w14:solidFill>
              <w14:schemeClr w14:val="tx1"/>
            </w14:solidFill>
          </w14:textFill>
        </w:rPr>
        <w:t>。</w:t>
      </w:r>
    </w:p>
    <w:p>
      <w:pPr>
        <w:spacing w:line="276" w:lineRule="auto"/>
        <w:rPr>
          <w:rFonts w:ascii="宋体" w:hAnsi="宋体" w:eastAsia="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3</w:t>
      </w:r>
      <w:r>
        <w:rPr>
          <w:rFonts w:ascii="黑体" w:hAnsi="黑体" w:eastAsia="黑体"/>
          <w:color w:val="000000" w:themeColor="text1"/>
          <w:szCs w:val="21"/>
          <w14:textFill>
            <w14:solidFill>
              <w14:schemeClr w14:val="tx1"/>
            </w14:solidFill>
          </w14:textFill>
        </w:rPr>
        <w:t xml:space="preserve">.3.3  </w:t>
      </w:r>
      <w:r>
        <w:rPr>
          <w:rFonts w:hint="eastAsia" w:ascii="宋体" w:hAnsi="宋体" w:eastAsia="宋体"/>
          <w:color w:val="000000" w:themeColor="text1"/>
          <w:szCs w:val="21"/>
          <w14:textFill>
            <w14:solidFill>
              <w14:schemeClr w14:val="tx1"/>
            </w14:solidFill>
          </w14:textFill>
        </w:rPr>
        <w:t>不同分类、分级产品不应</w:t>
      </w:r>
      <w:r>
        <w:rPr>
          <w:rFonts w:ascii="宋体" w:hAnsi="宋体" w:eastAsia="宋体"/>
          <w:color w:val="000000" w:themeColor="text1"/>
          <w:szCs w:val="21"/>
          <w14:textFill>
            <w14:solidFill>
              <w14:schemeClr w14:val="tx1"/>
            </w14:solidFill>
          </w14:textFill>
        </w:rPr>
        <w:t>混装</w:t>
      </w:r>
      <w:r>
        <w:rPr>
          <w:rFonts w:hint="eastAsia" w:ascii="宋体" w:hAnsi="宋体" w:eastAsia="宋体"/>
          <w:color w:val="000000" w:themeColor="text1"/>
          <w:szCs w:val="21"/>
          <w14:textFill>
            <w14:solidFill>
              <w14:schemeClr w14:val="tx1"/>
            </w14:solidFill>
          </w14:textFill>
        </w:rPr>
        <w:t>，粒状、管状、片状</w:t>
      </w:r>
      <w:r>
        <w:rPr>
          <w:rFonts w:ascii="宋体" w:hAnsi="宋体" w:eastAsia="宋体"/>
          <w:color w:val="000000" w:themeColor="text1"/>
          <w:szCs w:val="21"/>
          <w14:textFill>
            <w14:solidFill>
              <w14:schemeClr w14:val="tx1"/>
            </w14:solidFill>
          </w14:textFill>
        </w:rPr>
        <w:t>不应混装</w:t>
      </w:r>
      <w:r>
        <w:rPr>
          <w:rFonts w:hint="eastAsia" w:ascii="宋体" w:hAnsi="宋体" w:eastAsia="宋体"/>
          <w:color w:val="000000" w:themeColor="text1"/>
          <w:szCs w:val="21"/>
          <w14:textFill>
            <w14:solidFill>
              <w14:schemeClr w14:val="tx1"/>
            </w14:solidFill>
          </w14:textFill>
        </w:rPr>
        <w:t>，无药包布、点火药包。</w:t>
      </w:r>
    </w:p>
    <w:p>
      <w:pPr>
        <w:pStyle w:val="11"/>
        <w:numPr>
          <w:ilvl w:val="1"/>
          <w:numId w:val="2"/>
        </w:numPr>
        <w:spacing w:line="276" w:lineRule="auto"/>
        <w:ind w:left="527" w:hanging="527" w:firstLineChars="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理化性能</w:t>
      </w:r>
    </w:p>
    <w:p>
      <w:pPr>
        <w:pStyle w:val="11"/>
        <w:numPr>
          <w:ilvl w:val="2"/>
          <w:numId w:val="2"/>
        </w:numPr>
        <w:spacing w:line="276" w:lineRule="auto"/>
        <w:ind w:firstLineChars="0"/>
        <w:jc w:val="left"/>
        <w:rPr>
          <w:rFonts w:ascii="黑体" w:hAnsi="黑体" w:eastAsia="黑体"/>
          <w:color w:val="000000" w:themeColor="text1"/>
          <w:szCs w:val="21"/>
          <w14:textFill>
            <w14:solidFill>
              <w14:schemeClr w14:val="tx1"/>
            </w14:solidFill>
          </w14:textFill>
        </w:rPr>
      </w:pPr>
      <w:bookmarkStart w:id="1" w:name="_Hlk104098533"/>
      <w:r>
        <w:rPr>
          <w:rFonts w:hint="eastAsia" w:ascii="黑体" w:hAnsi="黑体" w:eastAsia="黑体"/>
          <w:color w:val="000000" w:themeColor="text1"/>
          <w:szCs w:val="21"/>
          <w14:textFill>
            <w14:solidFill>
              <w14:schemeClr w14:val="tx1"/>
            </w14:solidFill>
          </w14:textFill>
        </w:rPr>
        <w:t>水分含量</w:t>
      </w:r>
    </w:p>
    <w:p>
      <w:pPr>
        <w:pStyle w:val="16"/>
        <w:numPr>
          <w:ilvl w:val="0"/>
          <w:numId w:val="0"/>
        </w:numPr>
        <w:spacing w:after="0" w:afterLines="0" w:line="276" w:lineRule="auto"/>
        <w:ind w:right="0" w:rightChars="0" w:firstLine="428" w:firstLineChars="200"/>
        <w:rPr>
          <w:rFonts w:ascii="Times New Roman" w:eastAsia="宋体"/>
          <w:color w:val="000000" w:themeColor="text1"/>
          <w14:textFill>
            <w14:solidFill>
              <w14:schemeClr w14:val="tx1"/>
            </w14:solidFill>
          </w14:textFill>
        </w:rPr>
      </w:pPr>
      <w:r>
        <w:rPr>
          <w:rFonts w:hint="eastAsia" w:ascii="Times New Roman" w:eastAsia="宋体"/>
          <w:color w:val="000000" w:themeColor="text1"/>
          <w14:textFill>
            <w14:solidFill>
              <w14:schemeClr w14:val="tx1"/>
            </w14:solidFill>
          </w14:textFill>
        </w:rPr>
        <w:t>一级品水分含量为</w:t>
      </w:r>
      <w:r>
        <w:rPr>
          <w:rFonts w:ascii="Times New Roman" w:eastAsia="宋体"/>
          <w:color w:val="000000" w:themeColor="text1"/>
          <w14:textFill>
            <w14:solidFill>
              <w14:schemeClr w14:val="tx1"/>
            </w14:solidFill>
          </w14:textFill>
        </w:rPr>
        <w:t>10%~30%</w:t>
      </w:r>
      <w:r>
        <w:rPr>
          <w:rFonts w:hint="eastAsia" w:ascii="Times New Roman" w:eastAsia="宋体"/>
          <w:color w:val="000000" w:themeColor="text1"/>
          <w14:textFill>
            <w14:solidFill>
              <w14:schemeClr w14:val="tx1"/>
            </w14:solidFill>
          </w14:textFill>
        </w:rPr>
        <w:t>，二级品水分含量为3</w:t>
      </w:r>
      <w:r>
        <w:rPr>
          <w:rFonts w:ascii="Times New Roman" w:eastAsia="宋体"/>
          <w:color w:val="000000" w:themeColor="text1"/>
          <w14:textFill>
            <w14:solidFill>
              <w14:schemeClr w14:val="tx1"/>
            </w14:solidFill>
          </w14:textFill>
        </w:rPr>
        <w:t>%~5%</w:t>
      </w:r>
      <w:r>
        <w:rPr>
          <w:rFonts w:hint="eastAsia" w:ascii="宋体" w:hAnsi="宋体" w:eastAsia="宋体"/>
          <w:color w:val="000000" w:themeColor="text1"/>
          <w14:textFill>
            <w14:solidFill>
              <w14:schemeClr w14:val="tx1"/>
            </w14:solidFill>
          </w14:textFill>
        </w:rPr>
        <w:t>。</w:t>
      </w:r>
    </w:p>
    <w:bookmarkEnd w:id="1"/>
    <w:p>
      <w:pPr>
        <w:pStyle w:val="11"/>
        <w:numPr>
          <w:ilvl w:val="2"/>
          <w:numId w:val="2"/>
        </w:numPr>
        <w:spacing w:line="276" w:lineRule="auto"/>
        <w:ind w:firstLineChars="0"/>
        <w:jc w:val="left"/>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化学安定性</w:t>
      </w:r>
    </w:p>
    <w:p>
      <w:pPr>
        <w:pStyle w:val="16"/>
        <w:numPr>
          <w:ilvl w:val="0"/>
          <w:numId w:val="0"/>
        </w:numPr>
        <w:spacing w:after="0" w:afterLines="0" w:line="276" w:lineRule="auto"/>
        <w:ind w:right="0" w:rightChars="0"/>
        <w:rPr>
          <w:rFonts w:hAnsi="黑体"/>
          <w:color w:val="000000" w:themeColor="text1"/>
          <w14:textFill>
            <w14:solidFill>
              <w14:schemeClr w14:val="tx1"/>
            </w14:solidFill>
          </w14:textFill>
        </w:rPr>
      </w:pPr>
      <w:bookmarkStart w:id="2" w:name="_Hlk103874625"/>
      <w:r>
        <w:rPr>
          <w:rFonts w:hint="eastAsia" w:hAnsi="黑体"/>
          <w:color w:val="000000" w:themeColor="text1"/>
          <w14:textFill>
            <w14:solidFill>
              <w14:schemeClr w14:val="tx1"/>
            </w14:solidFill>
          </w14:textFill>
        </w:rPr>
        <w:t>3</w:t>
      </w:r>
      <w:r>
        <w:rPr>
          <w:rFonts w:hAnsi="黑体"/>
          <w:color w:val="000000" w:themeColor="text1"/>
          <w14:textFill>
            <w14:solidFill>
              <w14:schemeClr w14:val="tx1"/>
            </w14:solidFill>
          </w14:textFill>
        </w:rPr>
        <w:t xml:space="preserve">.4.2.1  </w:t>
      </w:r>
      <w:r>
        <w:rPr>
          <w:rFonts w:hint="eastAsia" w:hAnsi="黑体"/>
          <w:color w:val="000000" w:themeColor="text1"/>
          <w14:textFill>
            <w14:solidFill>
              <w14:schemeClr w14:val="tx1"/>
            </w14:solidFill>
          </w14:textFill>
        </w:rPr>
        <w:t>维也里试验</w:t>
      </w:r>
    </w:p>
    <w:p>
      <w:pPr>
        <w:pStyle w:val="16"/>
        <w:numPr>
          <w:ilvl w:val="0"/>
          <w:numId w:val="0"/>
        </w:numPr>
        <w:spacing w:after="0" w:afterLines="0" w:line="276" w:lineRule="auto"/>
        <w:ind w:right="0" w:rightChars="0" w:firstLine="428" w:firstLineChars="200"/>
        <w:rPr>
          <w:rFonts w:hAnsi="黑体"/>
          <w:color w:val="000000" w:themeColor="text1"/>
          <w14:textFill>
            <w14:solidFill>
              <w14:schemeClr w14:val="tx1"/>
            </w14:solidFill>
          </w14:textFill>
        </w:rPr>
      </w:pPr>
      <w:r>
        <w:rPr>
          <w:rFonts w:ascii="Times New Roman" w:eastAsia="宋体"/>
          <w:color w:val="000000" w:themeColor="text1"/>
          <w14:textFill>
            <w14:solidFill>
              <w14:schemeClr w14:val="tx1"/>
            </w14:solidFill>
          </w14:textFill>
        </w:rPr>
        <w:t>106.5℃维</w:t>
      </w:r>
      <w:r>
        <w:rPr>
          <w:rFonts w:ascii="宋体" w:hAnsi="宋体" w:eastAsia="宋体"/>
          <w:color w:val="000000" w:themeColor="text1"/>
          <w14:textFill>
            <w14:solidFill>
              <w14:schemeClr w14:val="tx1"/>
            </w14:solidFill>
          </w14:textFill>
        </w:rPr>
        <w:t>也里安定性普通法试验，</w:t>
      </w:r>
      <w:r>
        <w:rPr>
          <w:rFonts w:hint="eastAsia" w:ascii="宋体" w:hAnsi="宋体" w:eastAsia="宋体"/>
          <w:color w:val="000000" w:themeColor="text1"/>
          <w14:textFill>
            <w14:solidFill>
              <w14:schemeClr w14:val="tx1"/>
            </w14:solidFill>
          </w14:textFill>
        </w:rPr>
        <w:t>试纸变色</w:t>
      </w:r>
      <w:r>
        <w:rPr>
          <w:rFonts w:ascii="宋体" w:hAnsi="宋体" w:eastAsia="宋体"/>
          <w:color w:val="000000" w:themeColor="text1"/>
          <w14:textFill>
            <w14:solidFill>
              <w14:schemeClr w14:val="tx1"/>
            </w14:solidFill>
          </w14:textFill>
        </w:rPr>
        <w:t>时间不应小于7</w:t>
      </w:r>
      <w:r>
        <w:rPr>
          <w:rFonts w:hint="eastAsia" w:ascii="宋体" w:hAnsi="宋体" w:eastAsia="宋体"/>
          <w:color w:val="000000" w:themeColor="text1"/>
          <w14:textFill>
            <w14:solidFill>
              <w14:schemeClr w14:val="tx1"/>
            </w14:solidFill>
          </w14:textFill>
        </w:rPr>
        <w:t>h。</w:t>
      </w:r>
    </w:p>
    <w:p>
      <w:pPr>
        <w:pStyle w:val="16"/>
        <w:numPr>
          <w:ilvl w:val="0"/>
          <w:numId w:val="0"/>
        </w:numPr>
        <w:spacing w:after="0" w:afterLines="0" w:line="276" w:lineRule="auto"/>
        <w:ind w:right="0" w:rightChars="0"/>
        <w:rPr>
          <w:rFonts w:hAnsi="黑体"/>
          <w:color w:val="000000" w:themeColor="text1"/>
          <w14:textFill>
            <w14:solidFill>
              <w14:schemeClr w14:val="tx1"/>
            </w14:solidFill>
          </w14:textFill>
        </w:rPr>
      </w:pPr>
      <w:r>
        <w:rPr>
          <w:rFonts w:hint="eastAsia" w:hAnsi="黑体"/>
          <w:color w:val="000000" w:themeColor="text1"/>
          <w14:textFill>
            <w14:solidFill>
              <w14:schemeClr w14:val="tx1"/>
            </w14:solidFill>
          </w14:textFill>
        </w:rPr>
        <w:t>3</w:t>
      </w:r>
      <w:r>
        <w:rPr>
          <w:rFonts w:hAnsi="黑体"/>
          <w:color w:val="000000" w:themeColor="text1"/>
          <w14:textFill>
            <w14:solidFill>
              <w14:schemeClr w14:val="tx1"/>
            </w14:solidFill>
          </w14:textFill>
        </w:rPr>
        <w:t xml:space="preserve">.4.2.2  </w:t>
      </w:r>
      <w:r>
        <w:rPr>
          <w:rFonts w:hint="eastAsia" w:hAnsi="黑体"/>
          <w:color w:val="000000" w:themeColor="text1"/>
          <w14:textFill>
            <w14:solidFill>
              <w14:schemeClr w14:val="tx1"/>
            </w14:solidFill>
          </w14:textFill>
        </w:rPr>
        <w:t>甲基紫试验</w:t>
      </w:r>
    </w:p>
    <w:p>
      <w:pPr>
        <w:pStyle w:val="14"/>
        <w:snapToGrid/>
        <w:rPr>
          <w:color w:val="000000" w:themeColor="text1"/>
          <w14:textFill>
            <w14:solidFill>
              <w14:schemeClr w14:val="tx1"/>
            </w14:solidFill>
          </w14:textFill>
        </w:rPr>
      </w:pPr>
      <w:r>
        <w:rPr>
          <w:color w:val="000000" w:themeColor="text1"/>
          <w14:textFill>
            <w14:solidFill>
              <w14:schemeClr w14:val="tx1"/>
            </w14:solidFill>
          </w14:textFill>
        </w:rPr>
        <w:t>120℃甲基紫安全性试验，甲基紫试纸由紫色完全变成橙色，时间</w:t>
      </w:r>
      <w:r>
        <w:rPr>
          <w:rFonts w:hint="eastAsia"/>
          <w:color w:val="000000" w:themeColor="text1"/>
          <w14:textFill>
            <w14:solidFill>
              <w14:schemeClr w14:val="tx1"/>
            </w14:solidFill>
          </w14:textFill>
        </w:rPr>
        <w:t>不</w:t>
      </w:r>
      <w:r>
        <w:rPr>
          <w:rFonts w:hAnsi="宋体"/>
          <w:color w:val="000000" w:themeColor="text1"/>
          <w14:textFill>
            <w14:solidFill>
              <w14:schemeClr w14:val="tx1"/>
            </w14:solidFill>
          </w14:textFill>
        </w:rPr>
        <w:t>应</w:t>
      </w:r>
      <w:r>
        <w:rPr>
          <w:rFonts w:hint="eastAsia"/>
          <w:color w:val="000000" w:themeColor="text1"/>
          <w14:textFill>
            <w14:solidFill>
              <w14:schemeClr w14:val="tx1"/>
            </w14:solidFill>
          </w14:textFill>
        </w:rPr>
        <w:t>小于</w:t>
      </w:r>
      <w:r>
        <w:rPr>
          <w:color w:val="000000" w:themeColor="text1"/>
          <w14:textFill>
            <w14:solidFill>
              <w14:schemeClr w14:val="tx1"/>
            </w14:solidFill>
          </w14:textFill>
        </w:rPr>
        <w:t>40</w:t>
      </w:r>
      <w:r>
        <w:rPr>
          <w:rFonts w:hint="eastAsia"/>
          <w:color w:val="000000" w:themeColor="text1"/>
          <w14:textFill>
            <w14:solidFill>
              <w14:schemeClr w14:val="tx1"/>
            </w14:solidFill>
          </w14:textFill>
        </w:rPr>
        <w:t>min</w:t>
      </w:r>
      <w:r>
        <w:rPr>
          <w:color w:val="000000" w:themeColor="text1"/>
          <w14:textFill>
            <w14:solidFill>
              <w14:schemeClr w14:val="tx1"/>
            </w14:solidFill>
          </w14:textFill>
        </w:rPr>
        <w:t>。</w:t>
      </w:r>
    </w:p>
    <w:p>
      <w:pPr>
        <w:pStyle w:val="16"/>
        <w:numPr>
          <w:ilvl w:val="0"/>
          <w:numId w:val="0"/>
        </w:numPr>
        <w:spacing w:after="0" w:afterLines="0" w:line="276" w:lineRule="auto"/>
        <w:ind w:right="0" w:rightChars="0"/>
        <w:rPr>
          <w:rFonts w:hAnsi="黑体"/>
          <w:color w:val="000000" w:themeColor="text1"/>
          <w14:textFill>
            <w14:solidFill>
              <w14:schemeClr w14:val="tx1"/>
            </w14:solidFill>
          </w14:textFill>
        </w:rPr>
      </w:pPr>
      <w:r>
        <w:rPr>
          <w:rFonts w:hint="eastAsia" w:hAnsi="黑体"/>
          <w:color w:val="000000" w:themeColor="text1"/>
          <w14:textFill>
            <w14:solidFill>
              <w14:schemeClr w14:val="tx1"/>
            </w14:solidFill>
          </w14:textFill>
        </w:rPr>
        <w:t>3</w:t>
      </w:r>
      <w:r>
        <w:rPr>
          <w:rFonts w:hAnsi="黑体"/>
          <w:color w:val="000000" w:themeColor="text1"/>
          <w14:textFill>
            <w14:solidFill>
              <w14:schemeClr w14:val="tx1"/>
            </w14:solidFill>
          </w14:textFill>
        </w:rPr>
        <w:t xml:space="preserve">.4.2.3  </w:t>
      </w:r>
      <w:r>
        <w:rPr>
          <w:rFonts w:hint="eastAsia" w:hAnsi="黑体"/>
          <w:color w:val="000000" w:themeColor="text1"/>
          <w14:textFill>
            <w14:solidFill>
              <w14:schemeClr w14:val="tx1"/>
            </w14:solidFill>
          </w14:textFill>
        </w:rPr>
        <w:t>气相色谱法</w:t>
      </w:r>
    </w:p>
    <w:bookmarkEnd w:id="2"/>
    <w:p>
      <w:pPr>
        <w:pStyle w:val="14"/>
        <w:snapToGrid/>
        <w:rPr>
          <w:color w:val="000000" w:themeColor="text1"/>
          <w14:textFill>
            <w14:solidFill>
              <w14:schemeClr w14:val="tx1"/>
            </w14:solidFill>
          </w14:textFill>
        </w:rPr>
      </w:pPr>
      <w:r>
        <w:rPr>
          <w:rFonts w:hint="eastAsia"/>
          <w:color w:val="000000" w:themeColor="text1"/>
          <w14:textFill>
            <w14:solidFill>
              <w14:schemeClr w14:val="tx1"/>
            </w14:solidFill>
          </w14:textFill>
        </w:rPr>
        <w:t>安定剂含量不小于对应</w:t>
      </w:r>
      <w:r>
        <w:rPr>
          <w:rFonts w:ascii="Times New Roman"/>
          <w:color w:val="000000" w:themeColor="text1"/>
          <w14:textFill>
            <w14:solidFill>
              <w14:schemeClr w14:val="tx1"/>
            </w14:solidFill>
          </w14:textFill>
        </w:rPr>
        <w:t>新品出厂指标的50%。</w:t>
      </w:r>
    </w:p>
    <w:p>
      <w:pPr>
        <w:pStyle w:val="11"/>
        <w:numPr>
          <w:ilvl w:val="1"/>
          <w:numId w:val="2"/>
        </w:numPr>
        <w:spacing w:line="276" w:lineRule="auto"/>
        <w:ind w:firstLineChars="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安全性能</w:t>
      </w:r>
    </w:p>
    <w:p>
      <w:pPr>
        <w:pStyle w:val="14"/>
        <w:snapToGrid/>
        <w:rPr>
          <w:color w:val="000000" w:themeColor="text1"/>
          <w14:textFill>
            <w14:solidFill>
              <w14:schemeClr w14:val="tx1"/>
            </w14:solidFill>
          </w14:textFill>
        </w:rPr>
      </w:pPr>
      <w:r>
        <w:rPr>
          <w:color w:val="000000" w:themeColor="text1"/>
          <w14:textFill>
            <w14:solidFill>
              <w14:schemeClr w14:val="tx1"/>
            </w14:solidFill>
          </w14:textFill>
        </w:rPr>
        <w:t>退役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拆解回收单基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双基发射药安全性能指标见表</w:t>
      </w:r>
      <w:r>
        <w:rPr>
          <w:rFonts w:hint="eastAsia"/>
          <w:color w:val="000000" w:themeColor="text1"/>
          <w14:textFill>
            <w14:solidFill>
              <w14:schemeClr w14:val="tx1"/>
            </w14:solidFill>
          </w14:textFill>
        </w:rPr>
        <w:t>1。</w:t>
      </w:r>
    </w:p>
    <w:p>
      <w:pPr>
        <w:pStyle w:val="11"/>
        <w:spacing w:line="276" w:lineRule="auto"/>
        <w:ind w:firstLine="0" w:firstLineChars="0"/>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表1</w:t>
      </w:r>
      <w:r>
        <w:rPr>
          <w:rFonts w:ascii="黑体" w:hAnsi="黑体" w:eastAsia="黑体"/>
          <w:color w:val="000000" w:themeColor="text1"/>
          <w:szCs w:val="21"/>
          <w14:textFill>
            <w14:solidFill>
              <w14:schemeClr w14:val="tx1"/>
            </w14:solidFill>
          </w14:textFill>
        </w:rPr>
        <w:t xml:space="preserve">  </w:t>
      </w:r>
      <w:r>
        <w:rPr>
          <w:rFonts w:hint="eastAsia" w:ascii="黑体" w:hAnsi="黑体" w:eastAsia="黑体"/>
          <w:color w:val="000000" w:themeColor="text1"/>
          <w:szCs w:val="21"/>
          <w14:textFill>
            <w14:solidFill>
              <w14:schemeClr w14:val="tx1"/>
            </w14:solidFill>
          </w14:textFill>
        </w:rPr>
        <w:t>安全性能指标</w:t>
      </w:r>
    </w:p>
    <w:tbl>
      <w:tblPr>
        <w:tblStyle w:val="6"/>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840"/>
        <w:gridCol w:w="568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25" w:hRule="atLeast"/>
          <w:jc w:val="center"/>
        </w:trPr>
        <w:tc>
          <w:tcPr>
            <w:tcW w:w="1666" w:type="pct"/>
            <w:vAlign w:val="center"/>
          </w:tcPr>
          <w:p>
            <w:pPr>
              <w:pStyle w:val="11"/>
              <w:spacing w:before="156" w:beforeLines="50" w:after="156" w:afterLines="50"/>
              <w:ind w:firstLine="0" w:firstLineChars="0"/>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项目</w:t>
            </w:r>
          </w:p>
        </w:tc>
        <w:tc>
          <w:tcPr>
            <w:tcW w:w="3334" w:type="pct"/>
          </w:tcPr>
          <w:p>
            <w:pPr>
              <w:pStyle w:val="11"/>
              <w:spacing w:before="156" w:beforeLines="50" w:after="156" w:afterLines="50"/>
              <w:ind w:firstLine="0" w:firstLineChars="0"/>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指标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1666" w:type="pct"/>
          </w:tcPr>
          <w:p>
            <w:pPr>
              <w:pStyle w:val="11"/>
              <w:spacing w:before="156" w:beforeLines="50" w:after="156" w:afterLines="50"/>
              <w:ind w:firstLine="0" w:firstLineChars="0"/>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摩擦感度</w:t>
            </w:r>
            <w:r>
              <w:rPr>
                <w:rFonts w:hint="eastAsia" w:ascii="宋体" w:hAnsi="宋体" w:eastAsia="宋体"/>
                <w:color w:val="000000" w:themeColor="text1"/>
                <w:szCs w:val="21"/>
                <w14:textFill>
                  <w14:solidFill>
                    <w14:schemeClr w14:val="tx1"/>
                  </w14:solidFill>
                </w14:textFill>
              </w:rPr>
              <w:t>，%</w:t>
            </w:r>
          </w:p>
        </w:tc>
        <w:tc>
          <w:tcPr>
            <w:tcW w:w="3334" w:type="pct"/>
          </w:tcPr>
          <w:p>
            <w:pPr>
              <w:pStyle w:val="11"/>
              <w:spacing w:before="156" w:beforeLines="50" w:after="156" w:afterLines="50"/>
              <w:ind w:firstLine="0" w:firstLineChars="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85</w:t>
            </w:r>
          </w:p>
        </w:tc>
      </w:tr>
    </w:tbl>
    <w:p>
      <w:pPr>
        <w:pStyle w:val="11"/>
        <w:numPr>
          <w:ilvl w:val="0"/>
          <w:numId w:val="2"/>
        </w:numPr>
        <w:spacing w:before="156" w:beforeLines="50" w:after="156" w:afterLines="50"/>
        <w:ind w:firstLineChars="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检验规则</w:t>
      </w:r>
    </w:p>
    <w:p>
      <w:pPr>
        <w:pStyle w:val="11"/>
        <w:numPr>
          <w:ilvl w:val="1"/>
          <w:numId w:val="2"/>
        </w:numPr>
        <w:spacing w:line="276" w:lineRule="auto"/>
        <w:ind w:firstLineChars="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检验项目</w:t>
      </w:r>
    </w:p>
    <w:p>
      <w:pPr>
        <w:pStyle w:val="11"/>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检验项目为</w:t>
      </w:r>
      <w:r>
        <w:rPr>
          <w:rFonts w:ascii="Times New Roman" w:hAnsi="Times New Roman" w:eastAsia="宋体" w:cs="Times New Roman"/>
          <w:color w:val="000000" w:themeColor="text1"/>
          <w:szCs w:val="21"/>
          <w14:textFill>
            <w14:solidFill>
              <w14:schemeClr w14:val="tx1"/>
            </w14:solidFill>
          </w14:textFill>
        </w:rPr>
        <w:t>3.3、3.4、3.5中的</w:t>
      </w:r>
      <w:r>
        <w:rPr>
          <w:rFonts w:ascii="宋体" w:hAnsi="宋体" w:eastAsia="宋体"/>
          <w:color w:val="000000" w:themeColor="text1"/>
          <w:szCs w:val="21"/>
          <w14:textFill>
            <w14:solidFill>
              <w14:schemeClr w14:val="tx1"/>
            </w14:solidFill>
          </w14:textFill>
        </w:rPr>
        <w:t>所有项目</w:t>
      </w:r>
      <w:r>
        <w:rPr>
          <w:rFonts w:hint="eastAsia" w:ascii="宋体" w:hAnsi="宋体" w:eastAsia="宋体"/>
          <w:color w:val="000000" w:themeColor="text1"/>
          <w:szCs w:val="21"/>
          <w14:textFill>
            <w14:solidFill>
              <w14:schemeClr w14:val="tx1"/>
            </w14:solidFill>
          </w14:textFill>
        </w:rPr>
        <w:t>，其中化学安定性检验选用维也里试验、甲基紫试验或气相色谱法中适用的任意一种。</w:t>
      </w:r>
    </w:p>
    <w:p>
      <w:pPr>
        <w:pStyle w:val="11"/>
        <w:numPr>
          <w:ilvl w:val="1"/>
          <w:numId w:val="2"/>
        </w:numPr>
        <w:spacing w:line="276" w:lineRule="auto"/>
        <w:ind w:firstLineChars="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组批规则</w:t>
      </w:r>
    </w:p>
    <w:p>
      <w:pPr>
        <w:pStyle w:val="11"/>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退役、拆解回收单基/双基发射药分大小批组织验收。一个大批由同年退役、拆解回收的相同牌号产品组成，根据退役或拆解回收量组成若干小批，每一小批量应不大于</w:t>
      </w:r>
      <w:r>
        <w:rPr>
          <w:rFonts w:ascii="宋体" w:hAnsi="宋体" w:eastAsia="宋体"/>
          <w:color w:val="000000" w:themeColor="text1"/>
          <w:szCs w:val="21"/>
          <w14:textFill>
            <w14:solidFill>
              <w14:schemeClr w14:val="tx1"/>
            </w14:solidFill>
          </w14:textFill>
        </w:rPr>
        <w:t>60</w:t>
      </w:r>
      <w:r>
        <w:rPr>
          <w:rFonts w:hint="eastAsia" w:ascii="宋体" w:hAnsi="宋体" w:eastAsia="宋体"/>
          <w:color w:val="000000" w:themeColor="text1"/>
          <w:szCs w:val="21"/>
          <w14:textFill>
            <w14:solidFill>
              <w14:schemeClr w14:val="tx1"/>
            </w14:solidFill>
          </w14:textFill>
        </w:rPr>
        <w:t>t。</w:t>
      </w:r>
    </w:p>
    <w:p>
      <w:pPr>
        <w:pStyle w:val="11"/>
        <w:numPr>
          <w:ilvl w:val="1"/>
          <w:numId w:val="2"/>
        </w:numPr>
        <w:spacing w:line="276" w:lineRule="auto"/>
        <w:ind w:firstLineChars="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抽样规则</w:t>
      </w:r>
    </w:p>
    <w:p>
      <w:pPr>
        <w:pStyle w:val="11"/>
        <w:numPr>
          <w:ilvl w:val="2"/>
          <w:numId w:val="2"/>
        </w:numPr>
        <w:spacing w:line="276" w:lineRule="auto"/>
        <w:ind w:firstLineChars="0"/>
        <w:outlineLvl w:val="2"/>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外观</w:t>
      </w:r>
    </w:p>
    <w:p>
      <w:pPr>
        <w:pStyle w:val="11"/>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每小</w:t>
      </w:r>
      <w:r>
        <w:rPr>
          <w:rFonts w:ascii="宋体" w:hAnsi="宋体" w:eastAsia="宋体"/>
          <w:color w:val="000000" w:themeColor="text1"/>
          <w:szCs w:val="21"/>
          <w14:textFill>
            <w14:solidFill>
              <w14:schemeClr w14:val="tx1"/>
            </w14:solidFill>
          </w14:textFill>
        </w:rPr>
        <w:t>批随机确定十个包装件</w:t>
      </w:r>
      <w:r>
        <w:rPr>
          <w:rFonts w:hint="eastAsia" w:ascii="宋体" w:hAnsi="宋体" w:eastAsia="宋体"/>
          <w:color w:val="000000" w:themeColor="text1"/>
          <w:szCs w:val="21"/>
          <w14:textFill>
            <w14:solidFill>
              <w14:schemeClr w14:val="tx1"/>
            </w14:solidFill>
          </w14:textFill>
        </w:rPr>
        <w:t>进行外观检验，数量不足时，对剩余全部包装件进行外观检验，退役单基</w:t>
      </w:r>
      <w:r>
        <w:rPr>
          <w:rFonts w:ascii="宋体" w:hAnsi="宋体" w:eastAsia="宋体"/>
          <w:color w:val="000000" w:themeColor="text1"/>
          <w:szCs w:val="21"/>
          <w14:textFill>
            <w14:solidFill>
              <w14:schemeClr w14:val="tx1"/>
            </w14:solidFill>
          </w14:textFill>
        </w:rPr>
        <w:t>/双基发射药二级品无需进行外观检验，视同合格</w:t>
      </w:r>
      <w:r>
        <w:rPr>
          <w:rFonts w:hint="eastAsia" w:ascii="宋体" w:hAnsi="宋体" w:eastAsia="宋体"/>
          <w:color w:val="000000" w:themeColor="text1"/>
          <w:szCs w:val="21"/>
          <w14:textFill>
            <w14:solidFill>
              <w14:schemeClr w14:val="tx1"/>
            </w14:solidFill>
          </w14:textFill>
        </w:rPr>
        <w:t>。</w:t>
      </w:r>
    </w:p>
    <w:p>
      <w:pPr>
        <w:pStyle w:val="11"/>
        <w:numPr>
          <w:ilvl w:val="2"/>
          <w:numId w:val="2"/>
        </w:numPr>
        <w:spacing w:line="276" w:lineRule="auto"/>
        <w:ind w:firstLineChars="0"/>
        <w:outlineLvl w:val="2"/>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理化性能</w:t>
      </w:r>
    </w:p>
    <w:p>
      <w:pPr>
        <w:pStyle w:val="11"/>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外观检验合格后才能进行理化性能检验。同一大批内每十个小批组成一个检验批（不足十个批的也构成一个检验批），所需样本从每个检验批第一个小批随机抽取，每个包装件中抽取的检验样品不少于</w:t>
      </w:r>
      <w:r>
        <w:rPr>
          <w:rFonts w:ascii="宋体" w:hAnsi="宋体" w:eastAsia="宋体"/>
          <w:color w:val="000000" w:themeColor="text1"/>
          <w:szCs w:val="21"/>
          <w14:textFill>
            <w14:solidFill>
              <w14:schemeClr w14:val="tx1"/>
            </w14:solidFill>
          </w14:textFill>
        </w:rPr>
        <w:t>20g，取样总量应不少于200g，混匀后装入清洁、干燥的牛皮纸袋或茶色玻璃瓶中，贴上标签作为待测样品。标签上应标明产品名称、批号、检验项目、采样者姓名和采样日期。</w:t>
      </w:r>
    </w:p>
    <w:p>
      <w:pPr>
        <w:pStyle w:val="11"/>
        <w:numPr>
          <w:ilvl w:val="2"/>
          <w:numId w:val="2"/>
        </w:numPr>
        <w:spacing w:line="276" w:lineRule="auto"/>
        <w:ind w:firstLineChars="0"/>
        <w:outlineLvl w:val="2"/>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安全性能</w:t>
      </w:r>
    </w:p>
    <w:p>
      <w:pPr>
        <w:pStyle w:val="11"/>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每个大批作为一个检验批，进行一次安全性能检验。从理化性能检验合格的样本中随机抽取，取样总量应不少于</w:t>
      </w:r>
      <w:r>
        <w:rPr>
          <w:rFonts w:ascii="宋体" w:hAnsi="宋体" w:eastAsia="宋体"/>
          <w:color w:val="000000" w:themeColor="text1"/>
          <w:szCs w:val="21"/>
          <w14:textFill>
            <w14:solidFill>
              <w14:schemeClr w14:val="tx1"/>
            </w14:solidFill>
          </w14:textFill>
        </w:rPr>
        <w:t>100g，混匀后装入清洁、干燥的牛皮纸袋或茶色玻璃瓶中，贴上标签作为待测样品。标签上应标明产品名称、批号、检验项目、采样者姓名和采样日期。</w:t>
      </w:r>
    </w:p>
    <w:p>
      <w:pPr>
        <w:pStyle w:val="11"/>
        <w:numPr>
          <w:ilvl w:val="1"/>
          <w:numId w:val="2"/>
        </w:numPr>
        <w:spacing w:line="276" w:lineRule="auto"/>
        <w:ind w:left="527" w:hanging="527" w:firstLineChars="0"/>
        <w:outlineLvl w:val="1"/>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判定规则</w:t>
      </w:r>
    </w:p>
    <w:p>
      <w:pPr>
        <w:pStyle w:val="11"/>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所检项目均符合要求，则判该批产品合格。若外观质量不合格，</w:t>
      </w:r>
      <w:r>
        <w:rPr>
          <w:rFonts w:hint="eastAsia" w:ascii="宋体" w:hAnsi="宋体" w:eastAsia="宋体"/>
          <w:szCs w:val="21"/>
        </w:rPr>
        <w:t>应在对产品进行处理后，</w:t>
      </w:r>
      <w:r>
        <w:rPr>
          <w:rFonts w:hint="eastAsia" w:ascii="宋体" w:hAnsi="宋体" w:eastAsia="宋体"/>
          <w:color w:val="000000" w:themeColor="text1"/>
          <w:szCs w:val="21"/>
          <w14:textFill>
            <w14:solidFill>
              <w14:schemeClr w14:val="tx1"/>
            </w14:solidFill>
          </w14:textFill>
        </w:rPr>
        <w:t>再次进行外观检验；若理化性能有一项不合格，可对不合格项目进行加倍复验，若复验合格，判该批产品合格，否则，判该批产品不合格。</w:t>
      </w:r>
    </w:p>
    <w:p>
      <w:pPr>
        <w:pStyle w:val="11"/>
        <w:numPr>
          <w:ilvl w:val="0"/>
          <w:numId w:val="2"/>
        </w:numPr>
        <w:spacing w:before="156" w:beforeLines="50" w:after="156" w:afterLines="50"/>
        <w:ind w:firstLineChars="0"/>
        <w:outlineLvl w:val="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试验方法</w:t>
      </w:r>
    </w:p>
    <w:p>
      <w:pPr>
        <w:pStyle w:val="11"/>
        <w:numPr>
          <w:ilvl w:val="1"/>
          <w:numId w:val="2"/>
        </w:numPr>
        <w:spacing w:line="276" w:lineRule="auto"/>
        <w:ind w:left="527" w:hanging="527" w:firstLineChars="0"/>
        <w:outlineLvl w:val="1"/>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总则</w:t>
      </w:r>
    </w:p>
    <w:p>
      <w:pPr>
        <w:spacing w:line="276" w:lineRule="auto"/>
        <w:rPr>
          <w:rFonts w:ascii="宋体" w:hAnsi="宋体" w:eastAsia="宋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5.1.1</w:t>
      </w:r>
      <w:r>
        <w:rPr>
          <w:rFonts w:ascii="宋体" w:hAnsi="宋体" w:eastAsia="宋体"/>
          <w:color w:val="000000" w:themeColor="text1"/>
          <w:szCs w:val="21"/>
          <w14:textFill>
            <w14:solidFill>
              <w14:schemeClr w14:val="tx1"/>
            </w14:solidFill>
          </w14:textFill>
        </w:rPr>
        <w:t xml:space="preserve">  试验中所用水应符合</w:t>
      </w:r>
      <w:r>
        <w:rPr>
          <w:rFonts w:ascii="Times New Roman" w:hAnsi="Times New Roman" w:eastAsia="宋体" w:cs="Times New Roman"/>
          <w:color w:val="000000" w:themeColor="text1"/>
          <w:szCs w:val="21"/>
          <w14:textFill>
            <w14:solidFill>
              <w14:schemeClr w14:val="tx1"/>
            </w14:solidFill>
          </w14:textFill>
        </w:rPr>
        <w:t>GB/T 6682－2008中</w:t>
      </w:r>
      <w:r>
        <w:rPr>
          <w:rFonts w:ascii="宋体" w:hAnsi="宋体" w:eastAsia="宋体"/>
          <w:color w:val="000000" w:themeColor="text1"/>
          <w:szCs w:val="21"/>
          <w14:textFill>
            <w14:solidFill>
              <w14:schemeClr w14:val="tx1"/>
            </w14:solidFill>
          </w14:textFill>
        </w:rPr>
        <w:t>三级及三级以上规格的要求。</w:t>
      </w:r>
    </w:p>
    <w:p>
      <w:pPr>
        <w:spacing w:line="276" w:lineRule="auto"/>
        <w:rPr>
          <w:rFonts w:ascii="宋体" w:hAnsi="宋体" w:eastAsia="宋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5.1.2</w:t>
      </w:r>
      <w:r>
        <w:rPr>
          <w:rFonts w:ascii="宋体" w:hAnsi="宋体" w:eastAsia="宋体"/>
          <w:color w:val="000000" w:themeColor="text1"/>
          <w:szCs w:val="21"/>
          <w14:textFill>
            <w14:solidFill>
              <w14:schemeClr w14:val="tx1"/>
            </w14:solidFill>
          </w14:textFill>
        </w:rPr>
        <w:t xml:space="preserve">  试验中所用各种指示剂、标准溶液的制备及标定按</w:t>
      </w:r>
      <w:r>
        <w:rPr>
          <w:rFonts w:ascii="Times New Roman" w:hAnsi="Times New Roman" w:eastAsia="宋体" w:cs="Times New Roman"/>
          <w:color w:val="000000" w:themeColor="text1"/>
          <w:szCs w:val="21"/>
          <w14:textFill>
            <w14:solidFill>
              <w14:schemeClr w14:val="tx1"/>
            </w14:solidFill>
          </w14:textFill>
        </w:rPr>
        <w:t>GJB 1886</w:t>
      </w:r>
      <w:r>
        <w:rPr>
          <w:rFonts w:ascii="宋体" w:hAnsi="宋体" w:eastAsia="宋体"/>
          <w:color w:val="000000" w:themeColor="text1"/>
          <w:szCs w:val="21"/>
          <w14:textFill>
            <w14:solidFill>
              <w14:schemeClr w14:val="tx1"/>
            </w14:solidFill>
          </w14:textFill>
        </w:rPr>
        <w:t>的规定执行。</w:t>
      </w:r>
    </w:p>
    <w:p>
      <w:pPr>
        <w:spacing w:line="276" w:lineRule="auto"/>
        <w:rPr>
          <w:rFonts w:ascii="宋体" w:hAnsi="宋体" w:eastAsia="宋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5.1.3</w:t>
      </w:r>
      <w:r>
        <w:rPr>
          <w:rFonts w:ascii="宋体" w:hAnsi="宋体" w:eastAsia="宋体"/>
          <w:color w:val="000000" w:themeColor="text1"/>
          <w:szCs w:val="21"/>
          <w14:textFill>
            <w14:solidFill>
              <w14:schemeClr w14:val="tx1"/>
            </w14:solidFill>
          </w14:textFill>
        </w:rPr>
        <w:t xml:space="preserve">  试验中所用试剂，除特别指出外，均为分析纯，并应符合相应国家标准或行业标准的规定。</w:t>
      </w:r>
    </w:p>
    <w:p>
      <w:pPr>
        <w:pStyle w:val="11"/>
        <w:numPr>
          <w:ilvl w:val="1"/>
          <w:numId w:val="2"/>
        </w:numPr>
        <w:spacing w:line="276" w:lineRule="auto"/>
        <w:ind w:left="527" w:hanging="527" w:firstLineChars="0"/>
        <w:outlineLvl w:val="1"/>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外观</w:t>
      </w:r>
    </w:p>
    <w:p>
      <w:pPr>
        <w:pStyle w:val="11"/>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打开包装物，采用目视方法观察每个包装内有无可见的机械杂质。颗粒度测试方法选用</w:t>
      </w:r>
      <w:r>
        <w:rPr>
          <w:rFonts w:ascii="Times New Roman" w:hAnsi="Times New Roman" w:eastAsia="宋体" w:cs="Times New Roman"/>
          <w:color w:val="000000" w:themeColor="text1"/>
          <w:szCs w:val="21"/>
          <w14:textFill>
            <w14:solidFill>
              <w14:schemeClr w14:val="tx1"/>
            </w14:solidFill>
          </w14:textFill>
        </w:rPr>
        <w:t>GJB 770A—1997中403.1~403.3</w:t>
      </w:r>
      <w:r>
        <w:rPr>
          <w:rFonts w:hint="eastAsia" w:ascii="宋体" w:hAnsi="宋体" w:eastAsia="宋体"/>
          <w:color w:val="000000" w:themeColor="text1"/>
          <w:szCs w:val="21"/>
          <w14:textFill>
            <w14:solidFill>
              <w14:schemeClr w14:val="tx1"/>
            </w14:solidFill>
          </w14:textFill>
        </w:rPr>
        <w:t>的适用方法</w:t>
      </w:r>
      <w:r>
        <w:rPr>
          <w:rFonts w:ascii="宋体" w:hAnsi="宋体" w:eastAsia="宋体"/>
          <w:color w:val="000000" w:themeColor="text1"/>
          <w:szCs w:val="21"/>
          <w14:textFill>
            <w14:solidFill>
              <w14:schemeClr w14:val="tx1"/>
            </w14:solidFill>
          </w14:textFill>
        </w:rPr>
        <w:t>执行。</w:t>
      </w:r>
    </w:p>
    <w:p>
      <w:pPr>
        <w:pStyle w:val="11"/>
        <w:numPr>
          <w:ilvl w:val="1"/>
          <w:numId w:val="2"/>
        </w:numPr>
        <w:spacing w:line="276" w:lineRule="auto"/>
        <w:ind w:left="527" w:hanging="527" w:firstLineChars="0"/>
        <w:outlineLvl w:val="1"/>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理化性能</w:t>
      </w:r>
    </w:p>
    <w:p>
      <w:pPr>
        <w:pStyle w:val="11"/>
        <w:numPr>
          <w:ilvl w:val="2"/>
          <w:numId w:val="2"/>
        </w:numPr>
        <w:spacing w:line="276" w:lineRule="auto"/>
        <w:ind w:firstLineChars="0"/>
        <w:outlineLvl w:val="2"/>
        <w:rPr>
          <w:rFonts w:ascii="黑体" w:hAnsi="黑体" w:eastAsia="黑体"/>
          <w:color w:val="000000" w:themeColor="text1"/>
          <w:szCs w:val="21"/>
          <w14:textFill>
            <w14:solidFill>
              <w14:schemeClr w14:val="tx1"/>
            </w14:solidFill>
          </w14:textFill>
        </w:rPr>
      </w:pPr>
      <w:bookmarkStart w:id="3" w:name="_Hlk104098640"/>
      <w:r>
        <w:rPr>
          <w:rFonts w:hint="eastAsia" w:ascii="黑体" w:hAnsi="黑体" w:eastAsia="黑体"/>
          <w:color w:val="000000" w:themeColor="text1"/>
          <w:szCs w:val="21"/>
          <w14:textFill>
            <w14:solidFill>
              <w14:schemeClr w14:val="tx1"/>
            </w14:solidFill>
          </w14:textFill>
        </w:rPr>
        <w:t>水分含量</w:t>
      </w:r>
    </w:p>
    <w:p>
      <w:pPr>
        <w:pStyle w:val="11"/>
        <w:spacing w:line="276" w:lineRule="auto"/>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一级品试验</w:t>
      </w:r>
      <w:r>
        <w:rPr>
          <w:rFonts w:ascii="Times New Roman" w:hAnsi="Times New Roman" w:eastAsia="宋体" w:cs="Times New Roman"/>
          <w:color w:val="000000" w:themeColor="text1"/>
          <w:szCs w:val="21"/>
          <w14:textFill>
            <w14:solidFill>
              <w14:schemeClr w14:val="tx1"/>
            </w14:solidFill>
          </w14:textFill>
        </w:rPr>
        <w:t>方法参照AQ 4125—2014中5.3执行。</w:t>
      </w:r>
      <w:r>
        <w:rPr>
          <w:rFonts w:hint="eastAsia" w:ascii="宋体" w:hAnsi="宋体" w:eastAsia="宋体"/>
          <w:color w:val="000000" w:themeColor="text1"/>
          <w:szCs w:val="21"/>
          <w14:textFill>
            <w14:solidFill>
              <w14:schemeClr w14:val="tx1"/>
            </w14:solidFill>
          </w14:textFill>
        </w:rPr>
        <w:t>二级品试验方法参照G</w:t>
      </w:r>
      <w:r>
        <w:rPr>
          <w:rFonts w:ascii="宋体" w:hAnsi="宋体" w:eastAsia="宋体"/>
          <w:color w:val="000000" w:themeColor="text1"/>
          <w:szCs w:val="21"/>
          <w14:textFill>
            <w14:solidFill>
              <w14:schemeClr w14:val="tx1"/>
            </w14:solidFill>
          </w14:textFill>
        </w:rPr>
        <w:t>JB 770A</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1997</w:t>
      </w:r>
      <w:r>
        <w:rPr>
          <w:rFonts w:hint="eastAsia" w:ascii="宋体" w:hAnsi="宋体" w:eastAsia="宋体"/>
          <w:color w:val="000000" w:themeColor="text1"/>
          <w:szCs w:val="21"/>
          <w14:textFill>
            <w14:solidFill>
              <w14:schemeClr w14:val="tx1"/>
            </w14:solidFill>
          </w14:textFill>
        </w:rPr>
        <w:t>中1</w:t>
      </w:r>
      <w:r>
        <w:rPr>
          <w:rFonts w:ascii="宋体" w:hAnsi="宋体" w:eastAsia="宋体"/>
          <w:color w:val="000000" w:themeColor="text1"/>
          <w:szCs w:val="21"/>
          <w14:textFill>
            <w14:solidFill>
              <w14:schemeClr w14:val="tx1"/>
            </w14:solidFill>
          </w14:textFill>
        </w:rPr>
        <w:t>03.4</w:t>
      </w:r>
      <w:r>
        <w:rPr>
          <w:rFonts w:hint="eastAsia" w:ascii="宋体" w:hAnsi="宋体" w:eastAsia="宋体"/>
          <w:color w:val="000000" w:themeColor="text1"/>
          <w:szCs w:val="21"/>
          <w14:textFill>
            <w14:solidFill>
              <w14:schemeClr w14:val="tx1"/>
            </w14:solidFill>
          </w14:textFill>
        </w:rPr>
        <w:t>执行。</w:t>
      </w:r>
    </w:p>
    <w:bookmarkEnd w:id="3"/>
    <w:p>
      <w:pPr>
        <w:pStyle w:val="11"/>
        <w:numPr>
          <w:ilvl w:val="2"/>
          <w:numId w:val="2"/>
        </w:numPr>
        <w:spacing w:line="276" w:lineRule="auto"/>
        <w:ind w:firstLineChars="0"/>
        <w:outlineLvl w:val="2"/>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化学安定性</w:t>
      </w:r>
    </w:p>
    <w:p>
      <w:pPr>
        <w:pStyle w:val="16"/>
        <w:numPr>
          <w:ilvl w:val="0"/>
          <w:numId w:val="0"/>
        </w:numPr>
        <w:spacing w:after="0" w:afterLines="0" w:line="276" w:lineRule="auto"/>
        <w:ind w:right="0" w:rightChars="0"/>
        <w:rPr>
          <w:rFonts w:hAnsi="黑体"/>
          <w:color w:val="000000" w:themeColor="text1"/>
          <w14:textFill>
            <w14:solidFill>
              <w14:schemeClr w14:val="tx1"/>
            </w14:solidFill>
          </w14:textFill>
        </w:rPr>
      </w:pPr>
      <w:r>
        <w:rPr>
          <w:rFonts w:hAnsi="黑体"/>
          <w:color w:val="000000" w:themeColor="text1"/>
          <w14:textFill>
            <w14:solidFill>
              <w14:schemeClr w14:val="tx1"/>
            </w14:solidFill>
          </w14:textFill>
        </w:rPr>
        <w:t xml:space="preserve">5.3.1.1  </w:t>
      </w:r>
      <w:r>
        <w:rPr>
          <w:rFonts w:hint="eastAsia" w:hAnsi="黑体"/>
          <w:color w:val="000000" w:themeColor="text1"/>
          <w14:textFill>
            <w14:solidFill>
              <w14:schemeClr w14:val="tx1"/>
            </w14:solidFill>
          </w14:textFill>
        </w:rPr>
        <w:t>维也里试验</w:t>
      </w:r>
    </w:p>
    <w:p>
      <w:pPr>
        <w:pStyle w:val="11"/>
        <w:spacing w:line="276" w:lineRule="auto"/>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试验</w:t>
      </w:r>
      <w:r>
        <w:rPr>
          <w:rFonts w:ascii="Times New Roman" w:hAnsi="Times New Roman" w:eastAsia="宋体" w:cs="Times New Roman"/>
          <w:color w:val="000000" w:themeColor="text1"/>
          <w:szCs w:val="21"/>
          <w14:textFill>
            <w14:solidFill>
              <w14:schemeClr w14:val="tx1"/>
            </w14:solidFill>
          </w14:textFill>
        </w:rPr>
        <w:t>方法参照GJB 770A—1997中503.1执行。</w:t>
      </w:r>
    </w:p>
    <w:p>
      <w:pPr>
        <w:pStyle w:val="16"/>
        <w:numPr>
          <w:ilvl w:val="0"/>
          <w:numId w:val="0"/>
        </w:numPr>
        <w:spacing w:after="0" w:afterLines="0" w:line="276" w:lineRule="auto"/>
        <w:ind w:right="0" w:rightChars="0"/>
        <w:rPr>
          <w:rFonts w:hAnsi="黑体"/>
          <w:color w:val="000000" w:themeColor="text1"/>
          <w14:textFill>
            <w14:solidFill>
              <w14:schemeClr w14:val="tx1"/>
            </w14:solidFill>
          </w14:textFill>
        </w:rPr>
      </w:pPr>
      <w:r>
        <w:rPr>
          <w:rFonts w:hAnsi="黑体"/>
          <w:color w:val="000000" w:themeColor="text1"/>
          <w14:textFill>
            <w14:solidFill>
              <w14:schemeClr w14:val="tx1"/>
            </w14:solidFill>
          </w14:textFill>
        </w:rPr>
        <w:t xml:space="preserve">5.3.1.2  </w:t>
      </w:r>
      <w:r>
        <w:rPr>
          <w:rFonts w:hint="eastAsia" w:hAnsi="黑体"/>
          <w:color w:val="000000" w:themeColor="text1"/>
          <w14:textFill>
            <w14:solidFill>
              <w14:schemeClr w14:val="tx1"/>
            </w14:solidFill>
          </w14:textFill>
        </w:rPr>
        <w:t>甲基紫试验</w:t>
      </w:r>
    </w:p>
    <w:p>
      <w:pPr>
        <w:pStyle w:val="11"/>
        <w:spacing w:line="276" w:lineRule="auto"/>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试验</w:t>
      </w:r>
      <w:r>
        <w:rPr>
          <w:rFonts w:ascii="Times New Roman" w:hAnsi="Times New Roman" w:eastAsia="宋体" w:cs="Times New Roman"/>
          <w:color w:val="000000" w:themeColor="text1"/>
          <w:szCs w:val="21"/>
          <w14:textFill>
            <w14:solidFill>
              <w14:schemeClr w14:val="tx1"/>
            </w14:solidFill>
          </w14:textFill>
        </w:rPr>
        <w:t>方法参照GJB 770A—1997中503.3执行。</w:t>
      </w:r>
    </w:p>
    <w:p>
      <w:pPr>
        <w:pStyle w:val="16"/>
        <w:numPr>
          <w:ilvl w:val="0"/>
          <w:numId w:val="0"/>
        </w:numPr>
        <w:spacing w:after="0" w:afterLines="0" w:line="276" w:lineRule="auto"/>
        <w:ind w:right="0" w:rightChars="0"/>
        <w:rPr>
          <w:rFonts w:hAnsi="黑体"/>
          <w:color w:val="000000" w:themeColor="text1"/>
          <w14:textFill>
            <w14:solidFill>
              <w14:schemeClr w14:val="tx1"/>
            </w14:solidFill>
          </w14:textFill>
        </w:rPr>
      </w:pPr>
      <w:r>
        <w:rPr>
          <w:rFonts w:hAnsi="黑体"/>
          <w:color w:val="000000" w:themeColor="text1"/>
          <w14:textFill>
            <w14:solidFill>
              <w14:schemeClr w14:val="tx1"/>
            </w14:solidFill>
          </w14:textFill>
        </w:rPr>
        <w:t xml:space="preserve">5.3.1.3  </w:t>
      </w:r>
      <w:r>
        <w:rPr>
          <w:rFonts w:hint="eastAsia" w:hAnsi="黑体"/>
          <w:color w:val="000000" w:themeColor="text1"/>
          <w14:textFill>
            <w14:solidFill>
              <w14:schemeClr w14:val="tx1"/>
            </w14:solidFill>
          </w14:textFill>
        </w:rPr>
        <w:t>气相色谱法</w:t>
      </w:r>
    </w:p>
    <w:p>
      <w:pPr>
        <w:pStyle w:val="11"/>
        <w:spacing w:line="276" w:lineRule="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单基发射药</w:t>
      </w:r>
      <w:r>
        <w:rPr>
          <w:rFonts w:hint="eastAsia" w:ascii="Times New Roman" w:hAnsi="Times New Roman" w:eastAsia="宋体" w:cs="Times New Roman"/>
          <w:color w:val="000000" w:themeColor="text1"/>
          <w:szCs w:val="21"/>
          <w14:textFill>
            <w14:solidFill>
              <w14:schemeClr w14:val="tx1"/>
            </w14:solidFill>
          </w14:textFill>
        </w:rPr>
        <w:t>试验</w:t>
      </w:r>
      <w:r>
        <w:rPr>
          <w:rFonts w:ascii="Times New Roman" w:hAnsi="Times New Roman" w:eastAsia="宋体" w:cs="Times New Roman"/>
          <w:color w:val="000000" w:themeColor="text1"/>
          <w:szCs w:val="21"/>
          <w14:textFill>
            <w14:solidFill>
              <w14:schemeClr w14:val="tx1"/>
            </w14:solidFill>
          </w14:textFill>
        </w:rPr>
        <w:t>方法参照GJB 770A—1997中215.1执行，双基发射药测试方法参照216.1执行。</w:t>
      </w:r>
    </w:p>
    <w:p>
      <w:pPr>
        <w:pStyle w:val="11"/>
        <w:numPr>
          <w:ilvl w:val="1"/>
          <w:numId w:val="2"/>
        </w:numPr>
        <w:spacing w:line="276" w:lineRule="auto"/>
        <w:ind w:left="527" w:hanging="527" w:firstLineChars="0"/>
        <w:outlineLvl w:val="1"/>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安全性能</w:t>
      </w:r>
    </w:p>
    <w:p>
      <w:pPr>
        <w:pStyle w:val="11"/>
        <w:spacing w:line="276" w:lineRule="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摩擦感度</w:t>
      </w:r>
      <w:r>
        <w:rPr>
          <w:rFonts w:hint="eastAsia" w:ascii="Times New Roman" w:hAnsi="Times New Roman" w:eastAsia="宋体" w:cs="Times New Roman"/>
          <w:color w:val="000000" w:themeColor="text1"/>
          <w:szCs w:val="21"/>
          <w14:textFill>
            <w14:solidFill>
              <w14:schemeClr w14:val="tx1"/>
            </w14:solidFill>
          </w14:textFill>
        </w:rPr>
        <w:t>试验</w:t>
      </w:r>
      <w:r>
        <w:rPr>
          <w:rFonts w:ascii="Times New Roman" w:hAnsi="Times New Roman" w:eastAsia="宋体" w:cs="Times New Roman"/>
          <w:color w:val="000000" w:themeColor="text1"/>
          <w:szCs w:val="21"/>
          <w14:textFill>
            <w14:solidFill>
              <w14:schemeClr w14:val="tx1"/>
            </w14:solidFill>
          </w14:textFill>
        </w:rPr>
        <w:t>方法参照GJB 770A—1997中602.1执行，摆角66°±1°，表压2.45MPa±0.07MPa，药量20mg±1mg。</w:t>
      </w:r>
    </w:p>
    <w:p>
      <w:pPr>
        <w:pStyle w:val="11"/>
        <w:numPr>
          <w:ilvl w:val="0"/>
          <w:numId w:val="2"/>
        </w:numPr>
        <w:spacing w:before="156" w:beforeLines="50" w:after="156" w:afterLines="50"/>
        <w:ind w:firstLineChars="0"/>
        <w:outlineLvl w:val="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标志、包装、运输、贮存</w:t>
      </w:r>
    </w:p>
    <w:p>
      <w:pPr>
        <w:pStyle w:val="11"/>
        <w:numPr>
          <w:ilvl w:val="1"/>
          <w:numId w:val="2"/>
        </w:numPr>
        <w:spacing w:line="276" w:lineRule="auto"/>
        <w:ind w:left="527" w:hanging="527" w:firstLineChars="0"/>
        <w:outlineLvl w:val="1"/>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包装标志</w:t>
      </w:r>
    </w:p>
    <w:p>
      <w:pPr>
        <w:spacing w:line="276" w:lineRule="auto"/>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 xml:space="preserve">6.1.1 </w:t>
      </w:r>
      <w:r>
        <w:rPr>
          <w:rFonts w:hint="eastAsia" w:ascii="宋体" w:hAnsi="宋体" w:eastAsia="宋体"/>
          <w:color w:val="000000" w:themeColor="text1"/>
          <w:szCs w:val="21"/>
          <w14:textFill>
            <w14:solidFill>
              <w14:schemeClr w14:val="tx1"/>
            </w14:solidFill>
          </w14:textFill>
        </w:rPr>
        <w:t>退役、拆解回收单基/双基发射药</w:t>
      </w:r>
      <w:r>
        <w:rPr>
          <w:rFonts w:ascii="宋体" w:hAnsi="宋体" w:eastAsia="宋体"/>
          <w:color w:val="000000" w:themeColor="text1"/>
          <w:szCs w:val="21"/>
          <w14:textFill>
            <w14:solidFill>
              <w14:schemeClr w14:val="tx1"/>
            </w14:solidFill>
          </w14:textFill>
        </w:rPr>
        <w:t>的包装标志应印刷或粘贴在包装件外表面，标识清晰、牢固。</w:t>
      </w:r>
    </w:p>
    <w:p>
      <w:pPr>
        <w:spacing w:line="276" w:lineRule="auto"/>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 xml:space="preserve">6.1.2 </w:t>
      </w:r>
      <w:r>
        <w:rPr>
          <w:rFonts w:hint="eastAsia" w:ascii="宋体" w:hAnsi="宋体" w:eastAsia="宋体"/>
          <w:color w:val="000000" w:themeColor="text1"/>
          <w:szCs w:val="21"/>
          <w14:textFill>
            <w14:solidFill>
              <w14:schemeClr w14:val="tx1"/>
            </w14:solidFill>
          </w14:textFill>
        </w:rPr>
        <w:t>退役、拆解回收单基/双基发射药</w:t>
      </w:r>
      <w:r>
        <w:rPr>
          <w:rFonts w:ascii="宋体" w:hAnsi="宋体" w:eastAsia="宋体"/>
          <w:color w:val="000000" w:themeColor="text1"/>
          <w:szCs w:val="21"/>
          <w14:textFill>
            <w14:solidFill>
              <w14:schemeClr w14:val="tx1"/>
            </w14:solidFill>
          </w14:textFill>
        </w:rPr>
        <w:t>包装标志</w:t>
      </w:r>
      <w:r>
        <w:rPr>
          <w:rFonts w:hint="eastAsia" w:ascii="宋体" w:hAnsi="宋体" w:eastAsia="宋体"/>
          <w:color w:val="000000" w:themeColor="text1"/>
          <w:szCs w:val="21"/>
          <w14:textFill>
            <w14:solidFill>
              <w14:schemeClr w14:val="tx1"/>
            </w14:solidFill>
          </w14:textFill>
        </w:rPr>
        <w:t>应符</w:t>
      </w:r>
      <w:r>
        <w:rPr>
          <w:rFonts w:ascii="Times New Roman" w:hAnsi="Times New Roman" w:eastAsia="宋体" w:cs="Times New Roman"/>
          <w:color w:val="000000" w:themeColor="text1"/>
          <w:szCs w:val="21"/>
          <w14:textFill>
            <w14:solidFill>
              <w14:schemeClr w14:val="tx1"/>
            </w14:solidFill>
          </w14:textFill>
        </w:rPr>
        <w:t>合GA 921</w:t>
      </w:r>
      <w:r>
        <w:rPr>
          <w:rFonts w:hint="eastAsia" w:ascii="宋体" w:hAnsi="宋体" w:eastAsia="宋体"/>
          <w:color w:val="000000" w:themeColor="text1"/>
          <w:szCs w:val="21"/>
          <w14:textFill>
            <w14:solidFill>
              <w14:schemeClr w14:val="tx1"/>
            </w14:solidFill>
          </w14:textFill>
        </w:rPr>
        <w:t>的规定，</w:t>
      </w:r>
      <w:r>
        <w:rPr>
          <w:rFonts w:ascii="宋体" w:hAnsi="宋体" w:eastAsia="宋体"/>
          <w:color w:val="000000" w:themeColor="text1"/>
          <w:szCs w:val="21"/>
          <w14:textFill>
            <w14:solidFill>
              <w14:schemeClr w14:val="tx1"/>
            </w14:solidFill>
          </w14:textFill>
        </w:rPr>
        <w:t>基本内容应包括：</w:t>
      </w:r>
    </w:p>
    <w:p>
      <w:pPr>
        <w:spacing w:line="276"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 产品名称（</w:t>
      </w:r>
      <w:r>
        <w:rPr>
          <w:rFonts w:hint="eastAsia" w:ascii="宋体" w:hAnsi="宋体" w:eastAsia="宋体"/>
          <w:color w:val="000000" w:themeColor="text1"/>
          <w:szCs w:val="21"/>
          <w14:textFill>
            <w14:solidFill>
              <w14:schemeClr w14:val="tx1"/>
            </w14:solidFill>
          </w14:textFill>
        </w:rPr>
        <w:t>分类、分级</w:t>
      </w:r>
      <w:r>
        <w:rPr>
          <w:rFonts w:ascii="宋体" w:hAnsi="宋体" w:eastAsia="宋体"/>
          <w:color w:val="000000" w:themeColor="text1"/>
          <w:szCs w:val="21"/>
          <w14:textFill>
            <w14:solidFill>
              <w14:schemeClr w14:val="tx1"/>
            </w14:solidFill>
          </w14:textFill>
        </w:rPr>
        <w:t>）；</w:t>
      </w:r>
    </w:p>
    <w:p>
      <w:pPr>
        <w:spacing w:line="276"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b） 产品</w:t>
      </w:r>
      <w:r>
        <w:rPr>
          <w:rFonts w:hint="eastAsia" w:ascii="宋体" w:hAnsi="宋体" w:eastAsia="宋体"/>
          <w:color w:val="000000" w:themeColor="text1"/>
          <w:szCs w:val="21"/>
          <w14:textFill>
            <w14:solidFill>
              <w14:schemeClr w14:val="tx1"/>
            </w14:solidFill>
          </w14:textFill>
        </w:rPr>
        <w:t>外观类型</w:t>
      </w:r>
      <w:r>
        <w:rPr>
          <w:rFonts w:ascii="宋体" w:hAnsi="宋体" w:eastAsia="宋体"/>
          <w:color w:val="000000" w:themeColor="text1"/>
          <w:szCs w:val="21"/>
          <w14:textFill>
            <w14:solidFill>
              <w14:schemeClr w14:val="tx1"/>
            </w14:solidFill>
          </w14:textFill>
        </w:rPr>
        <w:t>；</w:t>
      </w:r>
    </w:p>
    <w:p>
      <w:pPr>
        <w:spacing w:line="276"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c</w:t>
      </w:r>
      <w:r>
        <w:rPr>
          <w:rFonts w:ascii="宋体" w:hAnsi="宋体" w:eastAsia="宋体"/>
          <w:color w:val="000000" w:themeColor="text1"/>
          <w:szCs w:val="21"/>
          <w14:textFill>
            <w14:solidFill>
              <w14:schemeClr w14:val="tx1"/>
            </w14:solidFill>
          </w14:textFill>
        </w:rPr>
        <w:t>） 标准编号；</w:t>
      </w:r>
    </w:p>
    <w:p>
      <w:pPr>
        <w:spacing w:line="276"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d） 爆炸品主标志和有毒品副标志，符合</w:t>
      </w:r>
      <w:r>
        <w:rPr>
          <w:rFonts w:ascii="Times New Roman" w:hAnsi="Times New Roman" w:eastAsia="宋体" w:cs="Times New Roman"/>
          <w:color w:val="000000" w:themeColor="text1"/>
          <w:szCs w:val="21"/>
          <w14:textFill>
            <w14:solidFill>
              <w14:schemeClr w14:val="tx1"/>
            </w14:solidFill>
          </w14:textFill>
        </w:rPr>
        <w:t>GB 190的规定；</w:t>
      </w:r>
    </w:p>
    <w:p>
      <w:pPr>
        <w:spacing w:line="276"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e） “防火”、“不得与雷管共存放”字样；</w:t>
      </w:r>
    </w:p>
    <w:p>
      <w:pPr>
        <w:spacing w:line="276"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f） 净重；</w:t>
      </w:r>
    </w:p>
    <w:p>
      <w:pPr>
        <w:spacing w:line="276"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g） 毛重；</w:t>
      </w:r>
    </w:p>
    <w:p>
      <w:pPr>
        <w:spacing w:line="276"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h</w:t>
      </w:r>
      <w:r>
        <w:rPr>
          <w:rFonts w:ascii="宋体" w:hAnsi="宋体" w:eastAsia="宋体"/>
          <w:color w:val="000000" w:themeColor="text1"/>
          <w:szCs w:val="21"/>
          <w14:textFill>
            <w14:solidFill>
              <w14:schemeClr w14:val="tx1"/>
            </w14:solidFill>
          </w14:textFill>
        </w:rPr>
        <w:t>） 批号/生产年份；</w:t>
      </w:r>
    </w:p>
    <w:p>
      <w:pPr>
        <w:spacing w:line="276"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i） 生产企业名称、地址。</w:t>
      </w:r>
    </w:p>
    <w:p>
      <w:pPr>
        <w:spacing w:line="276" w:lineRule="auto"/>
        <w:ind w:firstLine="360" w:firstLineChars="200"/>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注：可根据实际需要增加项目。</w:t>
      </w:r>
    </w:p>
    <w:p>
      <w:pPr>
        <w:pStyle w:val="11"/>
        <w:numPr>
          <w:ilvl w:val="1"/>
          <w:numId w:val="2"/>
        </w:numPr>
        <w:spacing w:line="276" w:lineRule="auto"/>
        <w:ind w:left="527" w:hanging="527" w:firstLineChars="0"/>
        <w:outlineLvl w:val="1"/>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包装</w:t>
      </w:r>
    </w:p>
    <w:p>
      <w:pPr>
        <w:pStyle w:val="11"/>
        <w:numPr>
          <w:ilvl w:val="2"/>
          <w:numId w:val="2"/>
        </w:numPr>
        <w:spacing w:line="276" w:lineRule="auto"/>
        <w:ind w:firstLineChars="0"/>
        <w:outlineLvl w:val="2"/>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包装要求</w:t>
      </w:r>
    </w:p>
    <w:p>
      <w:pPr>
        <w:spacing w:line="276" w:lineRule="auto"/>
        <w:outlineLvl w:val="2"/>
        <w:rPr>
          <w:rFonts w:ascii="Times New Roman" w:hAnsi="Times New Roman" w:eastAsia="宋体" w:cs="Times New Roman"/>
          <w:color w:val="000000" w:themeColor="text1"/>
          <w:szCs w:val="21"/>
          <w14:textFill>
            <w14:solidFill>
              <w14:schemeClr w14:val="tx1"/>
            </w14:solidFill>
          </w14:textFill>
        </w:rPr>
      </w:pPr>
      <w:bookmarkStart w:id="4" w:name="_Hlk104098757"/>
      <w:r>
        <w:rPr>
          <w:rFonts w:hint="eastAsia" w:ascii="黑体" w:hAnsi="黑体" w:eastAsia="黑体"/>
          <w:color w:val="000000" w:themeColor="text1"/>
          <w:szCs w:val="21"/>
          <w14:textFill>
            <w14:solidFill>
              <w14:schemeClr w14:val="tx1"/>
            </w14:solidFill>
          </w14:textFill>
        </w:rPr>
        <w:t>6</w:t>
      </w:r>
      <w:r>
        <w:rPr>
          <w:rFonts w:ascii="黑体" w:hAnsi="黑体" w:eastAsia="黑体"/>
          <w:color w:val="000000" w:themeColor="text1"/>
          <w:szCs w:val="21"/>
          <w14:textFill>
            <w14:solidFill>
              <w14:schemeClr w14:val="tx1"/>
            </w14:solidFill>
          </w14:textFill>
        </w:rPr>
        <w:t xml:space="preserve">.2.1.1  </w:t>
      </w:r>
      <w:r>
        <w:rPr>
          <w:rFonts w:hint="eastAsia" w:ascii="Times New Roman" w:hAnsi="Times New Roman" w:eastAsia="宋体" w:cs="Times New Roman"/>
          <w:color w:val="000000" w:themeColor="text1"/>
          <w:szCs w:val="21"/>
          <w14:textFill>
            <w14:solidFill>
              <w14:schemeClr w14:val="tx1"/>
            </w14:solidFill>
          </w14:textFill>
        </w:rPr>
        <w:t>一级品内包装应为塑料等防潮性好的材质，无破损、封口结实。外包装（运输包装）应采用合适尺寸的木箱或金属容器，并封装牢固。</w:t>
      </w:r>
    </w:p>
    <w:p>
      <w:pPr>
        <w:spacing w:line="276" w:lineRule="auto"/>
        <w:outlineLvl w:val="2"/>
        <w:rPr>
          <w:rFonts w:ascii="宋体" w:hAnsi="宋体" w:eastAsia="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6</w:t>
      </w:r>
      <w:r>
        <w:rPr>
          <w:rFonts w:ascii="黑体" w:hAnsi="黑体" w:eastAsia="黑体"/>
          <w:color w:val="000000" w:themeColor="text1"/>
          <w:szCs w:val="21"/>
          <w14:textFill>
            <w14:solidFill>
              <w14:schemeClr w14:val="tx1"/>
            </w14:solidFill>
          </w14:textFill>
        </w:rPr>
        <w:t xml:space="preserve">.2.1.2  </w:t>
      </w:r>
      <w:r>
        <w:rPr>
          <w:rFonts w:hint="eastAsia" w:ascii="宋体" w:hAnsi="宋体" w:eastAsia="宋体"/>
          <w:color w:val="000000" w:themeColor="text1"/>
          <w:szCs w:val="21"/>
          <w14:textFill>
            <w14:solidFill>
              <w14:schemeClr w14:val="tx1"/>
            </w14:solidFill>
          </w14:textFill>
        </w:rPr>
        <w:t>退役类二级品沿用原军工企业产品出厂包装，或类比出厂产品标准进行包装。</w:t>
      </w:r>
    </w:p>
    <w:bookmarkEnd w:id="4"/>
    <w:p>
      <w:pPr>
        <w:spacing w:line="276" w:lineRule="auto"/>
        <w:outlineLvl w:val="2"/>
        <w:rPr>
          <w:rStyle w:val="27"/>
          <w:rFonts w:hint="default" w:ascii="Times New Roman" w:hAnsi="Times New Roman" w:cs="Times New Roman"/>
          <w:color w:val="000000" w:themeColor="text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6</w:t>
      </w:r>
      <w:r>
        <w:rPr>
          <w:rFonts w:ascii="黑体" w:hAnsi="黑体" w:eastAsia="黑体"/>
          <w:color w:val="000000" w:themeColor="text1"/>
          <w:szCs w:val="21"/>
          <w14:textFill>
            <w14:solidFill>
              <w14:schemeClr w14:val="tx1"/>
            </w14:solidFill>
          </w14:textFill>
        </w:rPr>
        <w:t xml:space="preserve">.2.1.3  </w:t>
      </w:r>
      <w:bookmarkStart w:id="5" w:name="_Hlk104098847"/>
      <w:r>
        <w:rPr>
          <w:rFonts w:hint="eastAsia" w:ascii="Times New Roman" w:hAnsi="Times New Roman" w:eastAsia="宋体" w:cs="Times New Roman"/>
          <w:color w:val="000000" w:themeColor="text1"/>
          <w:szCs w:val="21"/>
          <w14:textFill>
            <w14:solidFill>
              <w14:schemeClr w14:val="tx1"/>
            </w14:solidFill>
          </w14:textFill>
        </w:rPr>
        <w:t>拆解回收类二级品应装于</w:t>
      </w:r>
      <w:r>
        <w:rPr>
          <w:rFonts w:ascii="Times New Roman" w:hAnsi="Times New Roman" w:eastAsia="宋体" w:cs="Times New Roman"/>
          <w:color w:val="000000" w:themeColor="text1"/>
          <w:szCs w:val="21"/>
          <w14:textFill>
            <w14:solidFill>
              <w14:schemeClr w14:val="tx1"/>
            </w14:solidFill>
          </w14:textFill>
        </w:rPr>
        <w:t>内衬</w:t>
      </w:r>
      <w:r>
        <w:rPr>
          <w:rFonts w:hint="eastAsia" w:ascii="Times New Roman" w:hAnsi="Times New Roman" w:eastAsia="宋体" w:cs="Times New Roman"/>
          <w:color w:val="000000" w:themeColor="text1"/>
          <w:szCs w:val="21"/>
          <w14:textFill>
            <w14:solidFill>
              <w14:schemeClr w14:val="tx1"/>
            </w14:solidFill>
          </w14:textFill>
        </w:rPr>
        <w:t>聚乙烯吹塑薄膜袋的塑料编织袋中，包装后应无夹层药、封口牢固、表面清洁、无破损。</w:t>
      </w:r>
      <w:r>
        <w:rPr>
          <w:rFonts w:ascii="Times New Roman" w:hAnsi="Times New Roman" w:eastAsia="宋体" w:cs="Times New Roman"/>
          <w:color w:val="000000" w:themeColor="text1"/>
          <w:szCs w:val="21"/>
          <w14:textFill>
            <w14:solidFill>
              <w14:schemeClr w14:val="tx1"/>
            </w14:solidFill>
          </w14:textFill>
        </w:rPr>
        <w:t>聚乙烯吹塑薄膜袋应符合GB/T 4456的规定，编织袋应符合GB/T 8946的规定。</w:t>
      </w:r>
      <w:bookmarkEnd w:id="5"/>
    </w:p>
    <w:p>
      <w:pPr>
        <w:spacing w:line="276" w:lineRule="auto"/>
        <w:outlineLvl w:val="2"/>
        <w:rPr>
          <w:rFonts w:ascii="宋体" w:hAnsi="宋体" w:eastAsia="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6</w:t>
      </w:r>
      <w:r>
        <w:rPr>
          <w:rFonts w:ascii="黑体" w:hAnsi="黑体" w:eastAsia="黑体"/>
          <w:color w:val="000000" w:themeColor="text1"/>
          <w:szCs w:val="21"/>
          <w14:textFill>
            <w14:solidFill>
              <w14:schemeClr w14:val="tx1"/>
            </w14:solidFill>
          </w14:textFill>
        </w:rPr>
        <w:t xml:space="preserve">.2.1.4 </w:t>
      </w:r>
      <w:r>
        <w:rPr>
          <w:rFonts w:ascii="宋体" w:hAnsi="宋体" w:eastAsia="宋体"/>
          <w:color w:val="000000" w:themeColor="text1"/>
          <w:szCs w:val="21"/>
          <w14:textFill>
            <w14:solidFill>
              <w14:schemeClr w14:val="tx1"/>
            </w14:solidFill>
          </w14:textFill>
        </w:rPr>
        <w:t xml:space="preserve"> </w:t>
      </w:r>
      <w:bookmarkStart w:id="6" w:name="_Hlk104098785"/>
      <w:r>
        <w:rPr>
          <w:rFonts w:hint="eastAsia" w:ascii="宋体" w:hAnsi="宋体" w:eastAsia="宋体"/>
          <w:color w:val="000000" w:themeColor="text1"/>
          <w:szCs w:val="21"/>
          <w14:textFill>
            <w14:solidFill>
              <w14:schemeClr w14:val="tx1"/>
            </w14:solidFill>
          </w14:textFill>
        </w:rPr>
        <w:t>一级品、拆解回收类二级品</w:t>
      </w:r>
      <w:bookmarkEnd w:id="6"/>
      <w:r>
        <w:rPr>
          <w:rFonts w:hint="eastAsia" w:ascii="宋体" w:hAnsi="宋体" w:eastAsia="宋体"/>
          <w:color w:val="000000" w:themeColor="text1"/>
          <w:szCs w:val="21"/>
          <w14:textFill>
            <w14:solidFill>
              <w14:schemeClr w14:val="tx1"/>
            </w14:solidFill>
          </w14:textFill>
        </w:rPr>
        <w:t>包装件净重应不超过</w:t>
      </w:r>
      <w:r>
        <w:rPr>
          <w:rFonts w:ascii="Times New Roman" w:hAnsi="Times New Roman" w:eastAsia="宋体" w:cs="Times New Roman"/>
          <w:color w:val="000000" w:themeColor="text1"/>
          <w:szCs w:val="21"/>
          <w14:textFill>
            <w14:solidFill>
              <w14:schemeClr w14:val="tx1"/>
            </w14:solidFill>
          </w14:textFill>
        </w:rPr>
        <w:t>30kg，</w:t>
      </w:r>
      <w:r>
        <w:rPr>
          <w:rFonts w:hint="eastAsia" w:ascii="Times New Roman" w:hAnsi="Times New Roman" w:eastAsia="宋体" w:cs="Times New Roman"/>
          <w:color w:val="000000" w:themeColor="text1"/>
          <w:szCs w:val="21"/>
          <w14:textFill>
            <w14:solidFill>
              <w14:schemeClr w14:val="tx1"/>
            </w14:solidFill>
          </w14:textFill>
        </w:rPr>
        <w:t>退役类</w:t>
      </w:r>
      <w:r>
        <w:rPr>
          <w:rFonts w:hint="eastAsia" w:ascii="宋体" w:hAnsi="宋体" w:eastAsia="宋体"/>
          <w:color w:val="000000" w:themeColor="text1"/>
          <w:szCs w:val="21"/>
          <w14:textFill>
            <w14:solidFill>
              <w14:schemeClr w14:val="tx1"/>
            </w14:solidFill>
          </w14:textFill>
        </w:rPr>
        <w:t>二级品包装净重以原军工企业产品出厂标准为准。</w:t>
      </w:r>
    </w:p>
    <w:p>
      <w:pPr>
        <w:spacing w:line="276" w:lineRule="auto"/>
        <w:ind w:firstLine="360" w:firstLineChars="200"/>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注：在符合国家有关安全规定的条件下，也可采用其他形式的包装。</w:t>
      </w:r>
    </w:p>
    <w:p>
      <w:pPr>
        <w:pStyle w:val="11"/>
        <w:numPr>
          <w:ilvl w:val="2"/>
          <w:numId w:val="2"/>
        </w:numPr>
        <w:spacing w:line="276" w:lineRule="auto"/>
        <w:ind w:firstLineChars="0"/>
        <w:outlineLvl w:val="2"/>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包装检验</w:t>
      </w:r>
    </w:p>
    <w:p>
      <w:pPr>
        <w:pStyle w:val="11"/>
        <w:numPr>
          <w:ilvl w:val="3"/>
          <w:numId w:val="2"/>
        </w:numPr>
        <w:spacing w:line="276" w:lineRule="auto"/>
        <w:ind w:left="1077" w:hanging="1077" w:firstLineChars="0"/>
        <w:outlineLvl w:val="3"/>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检验项目</w:t>
      </w:r>
    </w:p>
    <w:p>
      <w:pPr>
        <w:pStyle w:val="11"/>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包装标志有无错误及是否清晰、包装件有无夹层药、封口/卡扣是否牢固、表面是否清洁、包装有无破损、每件净重是否符合要求。</w:t>
      </w:r>
    </w:p>
    <w:p>
      <w:pPr>
        <w:pStyle w:val="11"/>
        <w:numPr>
          <w:ilvl w:val="3"/>
          <w:numId w:val="2"/>
        </w:numPr>
        <w:spacing w:line="276" w:lineRule="auto"/>
        <w:ind w:left="1077" w:hanging="1077" w:firstLineChars="0"/>
        <w:outlineLvl w:val="3"/>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不合格分类</w:t>
      </w:r>
    </w:p>
    <w:p>
      <w:pPr>
        <w:pStyle w:val="11"/>
        <w:spacing w:line="276" w:lineRule="auto"/>
        <w:ind w:left="840" w:leftChars="200" w:hanging="420" w:hanging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a） B类不合格：包装标志基本内容缺项或标识错误、有夹层药存在、封口/卡扣不牢固、包装有破损。</w:t>
      </w:r>
    </w:p>
    <w:p>
      <w:pPr>
        <w:pStyle w:val="11"/>
        <w:spacing w:line="276" w:lineRule="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b） C类不合格：包装标志不清晰、包装件表面不清洁、净重超差。</w:t>
      </w:r>
    </w:p>
    <w:p>
      <w:pPr>
        <w:pStyle w:val="11"/>
        <w:numPr>
          <w:ilvl w:val="3"/>
          <w:numId w:val="2"/>
        </w:numPr>
        <w:spacing w:line="276" w:lineRule="auto"/>
        <w:ind w:left="1077" w:hanging="1077" w:firstLineChars="0"/>
        <w:outlineLvl w:val="3"/>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抽样方案</w:t>
      </w:r>
    </w:p>
    <w:p>
      <w:pPr>
        <w:pStyle w:val="11"/>
        <w:spacing w:line="276" w:lineRule="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包装检验的抽样按GB/T 2828的规定执行，所需样本从提交检验批中随机抽取。采用一次抽样方案，样本单位为包装件，检验水平取一般检验水平Ⅱ级，B类不合格的AQL值为1.5，C类不合格的AQL值为6.5。</w:t>
      </w:r>
    </w:p>
    <w:p>
      <w:pPr>
        <w:pStyle w:val="11"/>
        <w:numPr>
          <w:ilvl w:val="3"/>
          <w:numId w:val="2"/>
        </w:numPr>
        <w:spacing w:line="276" w:lineRule="auto"/>
        <w:ind w:left="1077" w:hanging="1077" w:firstLineChars="0"/>
        <w:outlineLvl w:val="3"/>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检验方法</w:t>
      </w:r>
    </w:p>
    <w:p>
      <w:pPr>
        <w:pStyle w:val="11"/>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目视检查包装标志、夹层药、封口/卡扣、表面清洁与破损情况；称重检查包装件净重。</w:t>
      </w:r>
    </w:p>
    <w:p>
      <w:pPr>
        <w:pStyle w:val="11"/>
        <w:numPr>
          <w:ilvl w:val="1"/>
          <w:numId w:val="2"/>
        </w:numPr>
        <w:spacing w:line="276" w:lineRule="auto"/>
        <w:ind w:left="527" w:hanging="527" w:firstLineChars="0"/>
        <w:outlineLvl w:val="1"/>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运输</w:t>
      </w:r>
    </w:p>
    <w:p>
      <w:pPr>
        <w:pStyle w:val="11"/>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退役、拆解回收单基/双基发射药属</w:t>
      </w:r>
      <w:r>
        <w:rPr>
          <w:rFonts w:ascii="Times New Roman" w:hAnsi="Times New Roman" w:eastAsia="宋体" w:cs="Times New Roman"/>
          <w:color w:val="000000" w:themeColor="text1"/>
          <w:szCs w:val="21"/>
          <w14:textFill>
            <w14:solidFill>
              <w14:schemeClr w14:val="tx1"/>
            </w14:solidFill>
          </w14:textFill>
        </w:rPr>
        <w:t>于1.3级</w:t>
      </w:r>
      <w:r>
        <w:rPr>
          <w:rFonts w:hint="eastAsia" w:ascii="宋体" w:hAnsi="宋体" w:eastAsia="宋体"/>
          <w:color w:val="000000" w:themeColor="text1"/>
          <w:szCs w:val="21"/>
          <w14:textFill>
            <w14:solidFill>
              <w14:schemeClr w14:val="tx1"/>
            </w14:solidFill>
          </w14:textFill>
        </w:rPr>
        <w:t>燃烧爆炸品（有燃烧危险并兼有局部爆炸危险或局部迸射危险或兼有这两种危险，但无整体爆炸危险的物质</w:t>
      </w:r>
      <w:bookmarkStart w:id="7" w:name="_Hlk103875980"/>
      <w:r>
        <w:rPr>
          <w:rFonts w:hint="eastAsia" w:ascii="宋体" w:hAnsi="宋体" w:eastAsia="宋体"/>
          <w:color w:val="000000" w:themeColor="text1"/>
          <w:szCs w:val="21"/>
          <w14:textFill>
            <w14:solidFill>
              <w14:schemeClr w14:val="tx1"/>
            </w14:solidFill>
          </w14:textFill>
        </w:rPr>
        <w:t>和物品</w:t>
      </w:r>
      <w:bookmarkEnd w:id="7"/>
      <w:r>
        <w:rPr>
          <w:rFonts w:hint="eastAsia" w:ascii="宋体" w:hAnsi="宋体" w:eastAsia="宋体"/>
          <w:color w:val="000000" w:themeColor="text1"/>
          <w:szCs w:val="21"/>
          <w14:textFill>
            <w14:solidFill>
              <w14:schemeClr w14:val="tx1"/>
            </w14:solidFill>
          </w14:textFill>
        </w:rPr>
        <w:t>），按对应的国家危险货物运输规定执行。</w:t>
      </w:r>
    </w:p>
    <w:p>
      <w:pPr>
        <w:pStyle w:val="11"/>
        <w:numPr>
          <w:ilvl w:val="1"/>
          <w:numId w:val="2"/>
        </w:numPr>
        <w:spacing w:line="276" w:lineRule="auto"/>
        <w:ind w:left="527" w:hanging="527" w:firstLineChars="0"/>
        <w:outlineLvl w:val="1"/>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贮存</w:t>
      </w:r>
    </w:p>
    <w:p>
      <w:pPr>
        <w:pStyle w:val="11"/>
        <w:spacing w:line="276" w:lineRule="auto"/>
        <w:rPr>
          <w:rFonts w:ascii="宋体" w:hAnsi="宋体" w:eastAsia="宋体"/>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退役、拆解回收单基/双基发射药应贮存在干燥、阴凉、通风的库房内，贮存条件应符合GB 50089的要求</w:t>
      </w:r>
      <w:r>
        <w:rPr>
          <w:rFonts w:hint="eastAsia" w:ascii="宋体" w:hAnsi="宋体" w:eastAsia="宋体"/>
          <w:color w:val="000000" w:themeColor="text1"/>
          <w:szCs w:val="21"/>
          <w14:textFill>
            <w14:solidFill>
              <w14:schemeClr w14:val="tx1"/>
            </w14:solidFill>
          </w14:textFill>
        </w:rPr>
        <w:t>。</w:t>
      </w:r>
    </w:p>
    <w:p>
      <w:pPr>
        <w:pStyle w:val="11"/>
        <w:numPr>
          <w:ilvl w:val="0"/>
          <w:numId w:val="2"/>
        </w:numPr>
        <w:spacing w:before="156" w:beforeLines="50" w:after="156" w:afterLines="50"/>
        <w:ind w:firstLineChars="0"/>
        <w:outlineLvl w:val="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其他</w:t>
      </w:r>
    </w:p>
    <w:p>
      <w:pPr>
        <w:pStyle w:val="11"/>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出厂的每批退役、拆解回收发射药应附有产品合格证、安全技术说明书和安全标签。合格证的编写应符</w:t>
      </w:r>
      <w:r>
        <w:rPr>
          <w:rFonts w:ascii="Times New Roman" w:hAnsi="Times New Roman" w:eastAsia="宋体" w:cs="Times New Roman"/>
          <w:color w:val="000000" w:themeColor="text1"/>
          <w:szCs w:val="21"/>
          <w14:textFill>
            <w14:solidFill>
              <w14:schemeClr w14:val="tx1"/>
            </w14:solidFill>
          </w14:textFill>
        </w:rPr>
        <w:t>合GB/T 14436的规定；</w:t>
      </w:r>
      <w:r>
        <w:rPr>
          <w:rFonts w:ascii="宋体" w:hAnsi="宋体" w:eastAsia="宋体"/>
          <w:color w:val="000000" w:themeColor="text1"/>
          <w:szCs w:val="21"/>
          <w14:textFill>
            <w14:solidFill>
              <w14:schemeClr w14:val="tx1"/>
            </w14:solidFill>
          </w14:textFill>
        </w:rPr>
        <w:t>安全技术说明书和安全标签的编写应符合《军工危险化学品安全管理暂行办法》和《军工危险化学品安全技术说明书和使用指南（试行）》的规定，注明本批次的产品组分、实测的安全性能参数等关键信息。安全技术说明书宜给出建议使用年限、附带一份检测报告。</w:t>
      </w:r>
    </w:p>
    <w:p>
      <w:pPr>
        <w:pStyle w:val="11"/>
        <w:spacing w:line="276" w:lineRule="auto"/>
        <w:rPr>
          <w:rFonts w:ascii="宋体" w:hAnsi="宋体" w:eastAsia="宋体"/>
          <w:color w:val="000000" w:themeColor="text1"/>
          <w:szCs w:val="21"/>
          <w14:textFill>
            <w14:solidFill>
              <w14:schemeClr w14:val="tx1"/>
            </w14:solidFill>
          </w14:textFill>
        </w:rPr>
      </w:pPr>
    </w:p>
    <w:p>
      <w:pPr>
        <w:pStyle w:val="11"/>
        <w:spacing w:line="276" w:lineRule="auto"/>
        <w:rPr>
          <w:rFonts w:ascii="宋体" w:hAnsi="宋体" w:eastAsia="宋体"/>
          <w:color w:val="000000" w:themeColor="text1"/>
          <w:szCs w:val="21"/>
          <w14:textFill>
            <w14:solidFill>
              <w14:schemeClr w14:val="tx1"/>
            </w14:solidFill>
          </w14:textFill>
        </w:rPr>
      </w:pPr>
    </w:p>
    <w:p>
      <w:pPr>
        <w:pStyle w:val="11"/>
        <w:ind w:firstLine="0" w:firstLineChars="0"/>
        <w:rPr>
          <w:rFonts w:ascii="宋体" w:hAnsi="宋体" w:eastAsia="宋体"/>
          <w:color w:val="000000" w:themeColor="text1"/>
          <w:szCs w:val="21"/>
          <w14:textFill>
            <w14:solidFill>
              <w14:schemeClr w14:val="tx1"/>
            </w14:solidFill>
          </w14:textFill>
        </w:rPr>
      </w:pPr>
    </w:p>
    <w:p>
      <w:pPr>
        <w:pStyle w:val="11"/>
        <w:spacing w:line="276" w:lineRule="auto"/>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mc:AlternateContent>
          <mc:Choice Requires="wps">
            <w:drawing>
              <wp:anchor distT="0" distB="0" distL="0" distR="0" simplePos="0" relativeHeight="1024" behindDoc="0" locked="0" layoutInCell="1" allowOverlap="1">
                <wp:simplePos x="0" y="0"/>
                <wp:positionH relativeFrom="column">
                  <wp:posOffset>1873250</wp:posOffset>
                </wp:positionH>
                <wp:positionV relativeFrom="paragraph">
                  <wp:posOffset>145415</wp:posOffset>
                </wp:positionV>
                <wp:extent cx="1587500" cy="12700"/>
                <wp:effectExtent l="0" t="0" r="31750" b="25400"/>
                <wp:wrapNone/>
                <wp:docPr id="1037" name="直接连接符 1"/>
                <wp:cNvGraphicFramePr/>
                <a:graphic xmlns:a="http://schemas.openxmlformats.org/drawingml/2006/main">
                  <a:graphicData uri="http://schemas.microsoft.com/office/word/2010/wordprocessingShape">
                    <wps:wsp>
                      <wps:cNvCnPr/>
                      <wps:spPr>
                        <a:xfrm flipV="true">
                          <a:off x="0" y="0"/>
                          <a:ext cx="1587500" cy="12700"/>
                        </a:xfrm>
                        <a:prstGeom prst="line">
                          <a:avLst/>
                        </a:prstGeom>
                        <a:ln w="6350" cap="flat" cmpd="sng">
                          <a:solidFill>
                            <a:srgbClr val="000000"/>
                          </a:solidFill>
                          <a:prstDash val="solid"/>
                          <a:miter/>
                        </a:ln>
                      </wps:spPr>
                      <wps:bodyPr/>
                    </wps:wsp>
                  </a:graphicData>
                </a:graphic>
              </wp:anchor>
            </w:drawing>
          </mc:Choice>
          <mc:Fallback>
            <w:pict>
              <v:line id="直接连接符 1" o:spid="_x0000_s1026" o:spt="20" style="position:absolute;left:0pt;flip:y;margin-left:147.5pt;margin-top:11.45pt;height:1pt;width:125pt;z-index:1024;mso-width-relative:page;mso-height-relative:page;" filled="f" stroked="t" coordsize="21600,21600" o:gfxdata="UEsFBgAAAAAAAAAAAAAAAAAAAAAAAFBLAwQKAAAAAACHTuJAAAAAAAAAAAAAAAAABAAAAGRycy9Q&#10;SwMEFAAAAAgAh07iQBSfuJvWAAAACQEAAA8AAABkcnMvZG93bnJldi54bWxNj0FPwzAMhe9I/IfI&#10;k7ixtKVDpDSdGBJwQ9rG7lnjtdUapzTpNv493glu9vPT8/fK5cX14oRj6DxpSOcJCKTa244aDV/b&#10;t/snECEasqb3hBp+MMCyur0pTWH9mdZ42sRGcAiFwmhoYxwKKUPdojNh7gckvh386EzkdWykHc2Z&#10;w10vsyR5lM50xB9aM+Bri/VxMzkNq616eLe76eP4qXJ8Wak0TN87re9mafIMIuIl/pnhis/oUDHT&#10;3k9kg+g1ZGrBXSIPmQLBhkV+FfYs5ApkVcr/DapfUEsDBBQAAAAIAIdO4kC1YL0YxgEAAFQDAAAO&#10;AAAAZHJzL2Uyb0RvYy54bWytU72OEzEQ7pF4B8s92U1OuZxW2Vxx0dEgiMRPP/HaWUv+k8eXTV6C&#10;F0Cig4qSnrfheAzG3pA7oENsMTv2fP488814eX2whu1lRO1dy6eTmjPphO+027X87ZvbZ1ecYQLX&#10;gfFOtvwokV+vnj5ZDqGRM99708nIiMRhM4SW9ymFpqpQ9NICTnyQjoLKRwuJlnFXdREGYremmtX1&#10;ZTX42IXohUSk3fUY5KvCr5QU6ZVSKBMzLafcUrGx2G221WoJzS5C6LU4pQH/kIUF7ejSM9UaErC7&#10;qP+islpEj16lifC28kppIUsNVM20/qOa1z0EWWohcTCcZcL/Ryte7jeR6Y56V18sOHNgqUv3H75+&#10;f//px7ePZO+/fGbTrNMQsCH4jdvE0wrDJuaiDypapowO71qe4l1OGRqqjR2K0Mez0PKQmKDN6fxq&#10;Ma+pH4Ji09mCXKKsRqZ8OERMz6W3LDstN9qNpLB/gWmE/oJkuHFsaPnlxTxTAo2RMpDItYEKQ7cr&#10;CaE3urvVxuQTGHfbGxPZHvJglO+Uwm+wfMkasB9xJZRh0FidZJaBcjaOflmcUY7sbX13LCqVfWpd&#10;AZ7GLM/G43U5/fAYV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FJ+4m9YAAAAJAQAADwAAAAAA&#10;AAABACAAAAA4AAAAZHJzL2Rvd25yZXYueG1sUEsBAhQAFAAAAAgAh07iQLVgvRjGAQAAVAMAAA4A&#10;AAAAAAAAAQAgAAAAOwEAAGRycy9lMm9Eb2MueG1sUEsFBgAAAAAGAAYAWQEAAHMFAAAAAA==&#10;">
                <v:fill on="f" focussize="0,0"/>
                <v:stroke weight="0.5pt" color="#000000" joinstyle="miter"/>
                <v:imagedata o:title=""/>
                <o:lock v:ext="edit" aspectratio="f"/>
              </v:line>
            </w:pict>
          </mc:Fallback>
        </mc:AlternateContent>
      </w:r>
      <w:r>
        <w:rPr>
          <w:rFonts w:hint="eastAsia" w:ascii="黑体" w:hAnsi="黑体" w:eastAsia="黑体"/>
          <w:color w:val="000000" w:themeColor="text1"/>
          <w:szCs w:val="21"/>
          <w14:textFill>
            <w14:solidFill>
              <w14:schemeClr w14:val="tx1"/>
            </w14:solidFill>
          </w14:textFill>
        </w:rPr>
        <w:t xml:space="preserve"> </w:t>
      </w:r>
      <w:r>
        <w:rPr>
          <w:rFonts w:ascii="黑体" w:hAnsi="黑体" w:eastAsia="黑体"/>
          <w:color w:val="000000" w:themeColor="text1"/>
          <w:szCs w:val="21"/>
          <w14:textFill>
            <w14:solidFill>
              <w14:schemeClr w14:val="tx1"/>
            </w14:solidFill>
          </w14:textFill>
        </w:rPr>
        <w:t xml:space="preserve">                   </w:t>
      </w:r>
    </w:p>
    <w:sectPr>
      <w:footerReference r:id="rId4" w:type="default"/>
      <w:headerReference r:id="rId3" w:type="even"/>
      <w:footerReference r:id="rId5" w:type="even"/>
      <w:pgSz w:w="11906" w:h="16838"/>
      <w:pgMar w:top="1440" w:right="1800" w:bottom="1440" w:left="1800" w:header="1417" w:footer="113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中宋"/>
    <w:panose1 w:val="02010600030101010101"/>
    <w:charset w:val="86"/>
    <w:family w:val="auto"/>
    <w:pitch w:val="default"/>
    <w:sig w:usb0="00000000" w:usb1="00000000" w:usb2="00000016" w:usb3="00000000" w:csb0="0004000F" w:csb1="00000000"/>
  </w:font>
  <w:font w:name="TimesNewRomanPSMT">
    <w:altName w:val="Times New Roman"/>
    <w:panose1 w:val="00000000000000000000"/>
    <w:charset w:val="00"/>
    <w:family w:val="roman"/>
    <w:pitch w:val="default"/>
    <w:sig w:usb0="00000000" w:usb1="00000000" w:usb2="00000000" w:usb3="00000000" w:csb0="00000000" w:csb1="00000000"/>
  </w:font>
  <w:font w:name="Arial">
    <w:altName w:val="Times New Roman"/>
    <w:panose1 w:val="020B0604020202020204"/>
    <w:charset w:val="00"/>
    <w:family w:val="swiss"/>
    <w:pitch w:val="default"/>
    <w:sig w:usb0="00000000" w:usb1="00000000" w:usb2="00000009" w:usb3="00000000" w:csb0="000001FF" w:csb1="00000000"/>
  </w:font>
  <w:font w:name="华文中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ascii="Times New Roman"/>
      </w:rPr>
    </w:pPr>
    <w:r>
      <w:rPr>
        <w:rStyle w:val="8"/>
        <w:rFonts w:ascii="Times New Roman"/>
      </w:rPr>
      <w:fldChar w:fldCharType="begin"/>
    </w:r>
    <w:r>
      <w:rPr>
        <w:rStyle w:val="8"/>
        <w:rFonts w:ascii="Times New Roman"/>
      </w:rPr>
      <w:instrText xml:space="preserve">PAGE  </w:instrText>
    </w:r>
    <w:r>
      <w:rPr>
        <w:rStyle w:val="8"/>
        <w:rFonts w:ascii="Times New Roman"/>
      </w:rPr>
      <w:fldChar w:fldCharType="separate"/>
    </w:r>
    <w:r>
      <w:rPr>
        <w:rStyle w:val="8"/>
        <w:rFonts w:ascii="Times New Roman"/>
      </w:rPr>
      <w:t>1</w:t>
    </w:r>
    <w:r>
      <w:rPr>
        <w:rStyle w:val="8"/>
        <w:rFonts w:ascii="Times New Roman"/>
      </w:rPr>
      <w:fldChar w:fldCharType="end"/>
    </w:r>
  </w:p>
  <w:p>
    <w:pPr>
      <w:pStyle w:val="23"/>
      <w:ind w:right="360" w:firstLine="360"/>
      <w:rPr>
        <w:rStyle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ascii="Times New Roman"/>
      </w:rPr>
    </w:pPr>
    <w:r>
      <w:rPr>
        <w:rStyle w:val="8"/>
        <w:rFonts w:ascii="Times New Roman"/>
      </w:rPr>
      <w:fldChar w:fldCharType="begin"/>
    </w:r>
    <w:r>
      <w:rPr>
        <w:rStyle w:val="8"/>
        <w:rFonts w:ascii="Times New Roman"/>
      </w:rPr>
      <w:instrText xml:space="preserve">PAGE  </w:instrText>
    </w:r>
    <w:r>
      <w:rPr>
        <w:rStyle w:val="8"/>
        <w:rFonts w:ascii="Times New Roman"/>
      </w:rPr>
      <w:fldChar w:fldCharType="separate"/>
    </w:r>
    <w:r>
      <w:rPr>
        <w:rStyle w:val="8"/>
        <w:rFonts w:ascii="Times New Roman"/>
      </w:rPr>
      <w:t>2</w:t>
    </w:r>
    <w:r>
      <w:rPr>
        <w:rStyle w:val="8"/>
        <w:rFonts w:ascii="Times New Roman"/>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rFonts w:ascii="Times New Roman" w:hAnsi="Times New Roman"/>
        <w:b/>
        <w:bCs/>
      </w:rPr>
      <w:t>WJ/T</w:t>
    </w:r>
    <w:r>
      <w:t xml:space="preserve">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488" w:hanging="488"/>
      </w:pPr>
      <w:rPr>
        <w:rFonts w:hint="default" w:ascii="黑体" w:hAnsi="黑体" w:eastAsia="黑体"/>
      </w:rPr>
    </w:lvl>
    <w:lvl w:ilvl="1" w:tentative="0">
      <w:start w:val="1"/>
      <w:numFmt w:val="decimal"/>
      <w:isLgl/>
      <w:lvlText w:val="%1.%2"/>
      <w:lvlJc w:val="left"/>
      <w:pPr>
        <w:ind w:left="525" w:hanging="525"/>
      </w:pPr>
      <w:rPr>
        <w:rFonts w:hint="default" w:ascii="黑体" w:hAnsi="黑体" w:eastAsia="黑体"/>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ascii="黑体" w:hAnsi="黑体" w:eastAsia="黑体"/>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abstractNum w:abstractNumId="1">
    <w:nsid w:val="00000002"/>
    <w:multiLevelType w:val="multilevel"/>
    <w:tmpl w:val="00000002"/>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color w:val="000000"/>
        <w:sz w:val="21"/>
      </w:rPr>
    </w:lvl>
    <w:lvl w:ilvl="4" w:tentative="0">
      <w:start w:val="1"/>
      <w:numFmt w:val="decimal"/>
      <w:pStyle w:val="16"/>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2C6"/>
    <w:rsid w:val="000057F3"/>
    <w:rsid w:val="00006C76"/>
    <w:rsid w:val="00006E22"/>
    <w:rsid w:val="00043284"/>
    <w:rsid w:val="0005465B"/>
    <w:rsid w:val="00083492"/>
    <w:rsid w:val="000C562B"/>
    <w:rsid w:val="000D63A6"/>
    <w:rsid w:val="000F430C"/>
    <w:rsid w:val="00101E67"/>
    <w:rsid w:val="00123967"/>
    <w:rsid w:val="001914AB"/>
    <w:rsid w:val="00195396"/>
    <w:rsid w:val="00206832"/>
    <w:rsid w:val="00213125"/>
    <w:rsid w:val="002343A6"/>
    <w:rsid w:val="00263009"/>
    <w:rsid w:val="0028679D"/>
    <w:rsid w:val="00291D3F"/>
    <w:rsid w:val="002B211D"/>
    <w:rsid w:val="002E216E"/>
    <w:rsid w:val="003119D8"/>
    <w:rsid w:val="00332ECA"/>
    <w:rsid w:val="0033482A"/>
    <w:rsid w:val="00347E5D"/>
    <w:rsid w:val="00363DE1"/>
    <w:rsid w:val="003A2AF2"/>
    <w:rsid w:val="003E6812"/>
    <w:rsid w:val="0043099A"/>
    <w:rsid w:val="00443F0B"/>
    <w:rsid w:val="004766BE"/>
    <w:rsid w:val="0047679F"/>
    <w:rsid w:val="005260A5"/>
    <w:rsid w:val="00526739"/>
    <w:rsid w:val="005907A5"/>
    <w:rsid w:val="00592DFE"/>
    <w:rsid w:val="005A069B"/>
    <w:rsid w:val="005C08E6"/>
    <w:rsid w:val="005C62D2"/>
    <w:rsid w:val="005E7D8D"/>
    <w:rsid w:val="00602324"/>
    <w:rsid w:val="006374F2"/>
    <w:rsid w:val="00662F5A"/>
    <w:rsid w:val="00684187"/>
    <w:rsid w:val="00697DAE"/>
    <w:rsid w:val="006A7E85"/>
    <w:rsid w:val="006D23D6"/>
    <w:rsid w:val="006E0EE2"/>
    <w:rsid w:val="00736ADF"/>
    <w:rsid w:val="00782D9C"/>
    <w:rsid w:val="00783A17"/>
    <w:rsid w:val="0078769F"/>
    <w:rsid w:val="007C5D0D"/>
    <w:rsid w:val="007C7F52"/>
    <w:rsid w:val="00810924"/>
    <w:rsid w:val="008221C8"/>
    <w:rsid w:val="0086171B"/>
    <w:rsid w:val="00866430"/>
    <w:rsid w:val="008858FA"/>
    <w:rsid w:val="00886C87"/>
    <w:rsid w:val="008A3DD5"/>
    <w:rsid w:val="008B0267"/>
    <w:rsid w:val="008F6229"/>
    <w:rsid w:val="0090149F"/>
    <w:rsid w:val="00926FDE"/>
    <w:rsid w:val="00996A63"/>
    <w:rsid w:val="009A5726"/>
    <w:rsid w:val="009C4287"/>
    <w:rsid w:val="009F7A22"/>
    <w:rsid w:val="00A02F53"/>
    <w:rsid w:val="00A101AC"/>
    <w:rsid w:val="00A148D6"/>
    <w:rsid w:val="00A77A89"/>
    <w:rsid w:val="00A903A4"/>
    <w:rsid w:val="00A9310F"/>
    <w:rsid w:val="00A9722A"/>
    <w:rsid w:val="00AF1711"/>
    <w:rsid w:val="00B022C6"/>
    <w:rsid w:val="00B12ED6"/>
    <w:rsid w:val="00B17E78"/>
    <w:rsid w:val="00B36860"/>
    <w:rsid w:val="00B4669F"/>
    <w:rsid w:val="00B46851"/>
    <w:rsid w:val="00B61E4C"/>
    <w:rsid w:val="00B7386B"/>
    <w:rsid w:val="00B74934"/>
    <w:rsid w:val="00B9398F"/>
    <w:rsid w:val="00B9795F"/>
    <w:rsid w:val="00BA12AF"/>
    <w:rsid w:val="00BC089D"/>
    <w:rsid w:val="00BC160E"/>
    <w:rsid w:val="00BC23FA"/>
    <w:rsid w:val="00BC31FE"/>
    <w:rsid w:val="00BE3FC3"/>
    <w:rsid w:val="00C34010"/>
    <w:rsid w:val="00C40C6E"/>
    <w:rsid w:val="00C44D41"/>
    <w:rsid w:val="00C735DE"/>
    <w:rsid w:val="00CE44D0"/>
    <w:rsid w:val="00D262E3"/>
    <w:rsid w:val="00D33A95"/>
    <w:rsid w:val="00D3509C"/>
    <w:rsid w:val="00D40576"/>
    <w:rsid w:val="00DA06DC"/>
    <w:rsid w:val="00DE00F0"/>
    <w:rsid w:val="00E34D2B"/>
    <w:rsid w:val="00EA6466"/>
    <w:rsid w:val="00EB19C3"/>
    <w:rsid w:val="00EC51D9"/>
    <w:rsid w:val="00ED5F8B"/>
    <w:rsid w:val="00EE104C"/>
    <w:rsid w:val="00EE5DBD"/>
    <w:rsid w:val="00EE69F8"/>
    <w:rsid w:val="00EF13DE"/>
    <w:rsid w:val="00F45F00"/>
    <w:rsid w:val="00F70EFA"/>
    <w:rsid w:val="00F807E0"/>
    <w:rsid w:val="00FE7E16"/>
    <w:rsid w:val="1FF7D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28"/>
    <w:qFormat/>
    <w:uiPriority w:val="99"/>
    <w:pPr>
      <w:ind w:left="100" w:leftChars="2500"/>
    </w:p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rPr>
      <w:rFonts w:ascii="宋体" w:hAnsi="Times New Roman" w:eastAsia="宋体"/>
      <w:sz w:val="18"/>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paragraph" w:styleId="11">
    <w:name w:val="List Paragraph"/>
    <w:basedOn w:val="1"/>
    <w:qFormat/>
    <w:uiPriority w:val="34"/>
    <w:pPr>
      <w:ind w:firstLine="420" w:firstLineChars="200"/>
    </w:pPr>
  </w:style>
  <w:style w:type="paragraph" w:customStyle="1" w:styleId="12">
    <w:name w:val="标准文件_一级条标题"/>
    <w:basedOn w:val="13"/>
    <w:next w:val="14"/>
    <w:qFormat/>
    <w:uiPriority w:val="0"/>
    <w:pPr>
      <w:spacing w:before="0"/>
      <w:outlineLvl w:val="2"/>
    </w:pPr>
  </w:style>
  <w:style w:type="paragraph" w:customStyle="1" w:styleId="13">
    <w:name w:val="标准文件_章标题"/>
    <w:next w:val="14"/>
    <w:qFormat/>
    <w:uiPriority w:val="0"/>
    <w:pPr>
      <w:spacing w:before="156" w:beforeLines="50" w:after="156" w:afterLines="50"/>
      <w:ind w:right="-50" w:rightChars="-50"/>
      <w:jc w:val="both"/>
      <w:outlineLvl w:val="1"/>
    </w:pPr>
    <w:rPr>
      <w:rFonts w:ascii="黑体" w:hAnsi="Times New Roman" w:eastAsia="黑体" w:cs="Times New Roman"/>
      <w:spacing w:val="2"/>
      <w:sz w:val="21"/>
      <w:lang w:val="en-US" w:eastAsia="zh-CN" w:bidi="ar-SA"/>
    </w:rPr>
  </w:style>
  <w:style w:type="paragraph" w:customStyle="1" w:styleId="14">
    <w:name w:val="标准文件_段"/>
    <w:qFormat/>
    <w:uiPriority w:val="0"/>
    <w:pPr>
      <w:widowControl w:val="0"/>
      <w:autoSpaceDE w:val="0"/>
      <w:autoSpaceDN w:val="0"/>
      <w:adjustRightInd w:val="0"/>
      <w:snapToGrid w:val="0"/>
      <w:spacing w:line="276" w:lineRule="auto"/>
      <w:ind w:firstLine="428" w:firstLineChars="200"/>
      <w:jc w:val="both"/>
    </w:pPr>
    <w:rPr>
      <w:rFonts w:ascii="宋体" w:hAnsi="Times New Roman" w:eastAsia="宋体" w:cs="Times New Roman"/>
      <w:spacing w:val="2"/>
      <w:sz w:val="21"/>
      <w:szCs w:val="21"/>
      <w:lang w:val="en-US" w:eastAsia="zh-CN" w:bidi="ar-SA"/>
    </w:rPr>
  </w:style>
  <w:style w:type="paragraph" w:customStyle="1" w:styleId="15">
    <w:name w:val="段"/>
    <w:qFormat/>
    <w:uiPriority w:val="0"/>
    <w:pPr>
      <w:autoSpaceDE w:val="0"/>
      <w:autoSpaceDN w:val="0"/>
      <w:ind w:firstLine="200" w:firstLineChars="200"/>
      <w:jc w:val="both"/>
    </w:pPr>
    <w:rPr>
      <w:rFonts w:ascii="宋体" w:hAnsi="Times New Roman" w:eastAsia="宋体" w:cs="Times New Roman"/>
      <w:kern w:val="2"/>
      <w:sz w:val="21"/>
      <w:lang w:val="en-US" w:eastAsia="zh-CN" w:bidi="ar-SA"/>
    </w:rPr>
  </w:style>
  <w:style w:type="paragraph" w:customStyle="1" w:styleId="16">
    <w:name w:val="标准文件_三级条标题"/>
    <w:basedOn w:val="1"/>
    <w:next w:val="14"/>
    <w:qFormat/>
    <w:uiPriority w:val="0"/>
    <w:pPr>
      <w:widowControl/>
      <w:numPr>
        <w:ilvl w:val="4"/>
        <w:numId w:val="1"/>
      </w:numPr>
      <w:spacing w:after="156" w:afterLines="50"/>
      <w:ind w:right="-50" w:rightChars="-50"/>
      <w:outlineLvl w:val="4"/>
    </w:pPr>
    <w:rPr>
      <w:rFonts w:ascii="黑体" w:hAnsi="Times New Roman" w:eastAsia="黑体" w:cs="Times New Roman"/>
      <w:spacing w:val="2"/>
      <w:kern w:val="0"/>
      <w:szCs w:val="20"/>
    </w:rPr>
  </w:style>
  <w:style w:type="paragraph" w:customStyle="1" w:styleId="17">
    <w:name w:val="标准文件_标准部门"/>
    <w:basedOn w:val="1"/>
    <w:next w:val="1"/>
    <w:qFormat/>
    <w:uiPriority w:val="0"/>
    <w:pPr>
      <w:adjustRightInd w:val="0"/>
      <w:spacing w:line="310" w:lineRule="exact"/>
      <w:jc w:val="right"/>
    </w:pPr>
    <w:rPr>
      <w:rFonts w:ascii="黑体" w:hAnsi="Times New Roman" w:eastAsia="黑体" w:cs="Times New Roman"/>
      <w:sz w:val="32"/>
      <w:szCs w:val="20"/>
    </w:rPr>
  </w:style>
  <w:style w:type="paragraph" w:customStyle="1" w:styleId="18">
    <w:name w:val="标准文件_标准正文"/>
    <w:basedOn w:val="1"/>
    <w:next w:val="14"/>
    <w:qFormat/>
    <w:uiPriority w:val="0"/>
    <w:pPr>
      <w:adjustRightInd w:val="0"/>
      <w:snapToGrid w:val="0"/>
      <w:spacing w:line="310" w:lineRule="exact"/>
      <w:ind w:firstLine="428" w:firstLineChars="200"/>
    </w:pPr>
    <w:rPr>
      <w:rFonts w:ascii="Times New Roman" w:hAnsi="Times New Roman" w:eastAsia="宋体" w:cs="Times New Roman"/>
      <w:spacing w:val="2"/>
      <w:kern w:val="0"/>
      <w:szCs w:val="20"/>
    </w:rPr>
  </w:style>
  <w:style w:type="paragraph" w:customStyle="1" w:styleId="19">
    <w:name w:val="标准文件_封面标准编号"/>
    <w:basedOn w:val="1"/>
    <w:next w:val="1"/>
    <w:qFormat/>
    <w:uiPriority w:val="0"/>
    <w:pPr>
      <w:adjustRightInd w:val="0"/>
      <w:spacing w:line="310" w:lineRule="exact"/>
      <w:jc w:val="right"/>
    </w:pPr>
    <w:rPr>
      <w:rFonts w:ascii="黑体" w:hAnsi="宋体" w:eastAsia="黑体" w:cs="Times New Roman"/>
      <w:kern w:val="0"/>
      <w:sz w:val="28"/>
      <w:szCs w:val="20"/>
    </w:rPr>
  </w:style>
  <w:style w:type="paragraph" w:customStyle="1" w:styleId="20">
    <w:name w:val="标准文件_封面标准名称"/>
    <w:basedOn w:val="1"/>
    <w:qFormat/>
    <w:uiPriority w:val="0"/>
    <w:pPr>
      <w:adjustRightInd w:val="0"/>
      <w:spacing w:before="100" w:beforeLines="100" w:line="500" w:lineRule="exact"/>
      <w:jc w:val="center"/>
    </w:pPr>
    <w:rPr>
      <w:rFonts w:ascii="黑体" w:hAnsi="Times New Roman" w:eastAsia="黑体" w:cs="Times New Roman"/>
      <w:kern w:val="0"/>
      <w:sz w:val="52"/>
      <w:szCs w:val="20"/>
    </w:rPr>
  </w:style>
  <w:style w:type="paragraph" w:customStyle="1" w:styleId="21">
    <w:name w:val="标准文件_封面发布日期"/>
    <w:basedOn w:val="1"/>
    <w:qFormat/>
    <w:uiPriority w:val="0"/>
    <w:pPr>
      <w:adjustRightInd w:val="0"/>
      <w:spacing w:line="310" w:lineRule="exact"/>
    </w:pPr>
    <w:rPr>
      <w:rFonts w:ascii="黑体" w:hAnsi="Times New Roman" w:eastAsia="黑体" w:cs="Times New Roman"/>
      <w:kern w:val="0"/>
      <w:sz w:val="28"/>
      <w:szCs w:val="20"/>
    </w:rPr>
  </w:style>
  <w:style w:type="paragraph" w:customStyle="1" w:styleId="22">
    <w:name w:val="标准文件_封面实施日期"/>
    <w:basedOn w:val="1"/>
    <w:qFormat/>
    <w:uiPriority w:val="0"/>
    <w:pPr>
      <w:adjustRightInd w:val="0"/>
      <w:spacing w:line="310" w:lineRule="exact"/>
      <w:jc w:val="right"/>
    </w:pPr>
    <w:rPr>
      <w:rFonts w:ascii="黑体" w:hAnsi="Times New Roman" w:eastAsia="黑体" w:cs="Times New Roman"/>
      <w:sz w:val="28"/>
      <w:szCs w:val="20"/>
    </w:rPr>
  </w:style>
  <w:style w:type="paragraph" w:customStyle="1" w:styleId="23">
    <w:name w:val="标准书脚_奇数页"/>
    <w:qFormat/>
    <w:uiPriority w:val="0"/>
    <w:pPr>
      <w:jc w:val="right"/>
    </w:pPr>
    <w:rPr>
      <w:rFonts w:ascii="宋体" w:hAnsi="Times New Roman" w:eastAsia="宋体" w:cs="Times New Roman"/>
      <w:sz w:val="18"/>
      <w:lang w:val="en-US" w:eastAsia="zh-CN" w:bidi="ar-SA"/>
    </w:rPr>
  </w:style>
  <w:style w:type="paragraph" w:customStyle="1" w:styleId="24">
    <w:name w:val="标准文件_标准书眉_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25">
    <w:name w:val="标准文件_标准书眉_偶数页"/>
    <w:basedOn w:val="24"/>
    <w:next w:val="1"/>
    <w:qFormat/>
    <w:uiPriority w:val="0"/>
    <w:pPr>
      <w:jc w:val="left"/>
    </w:pPr>
  </w:style>
  <w:style w:type="character" w:customStyle="1" w:styleId="26">
    <w:name w:val="fontstyle01"/>
    <w:basedOn w:val="7"/>
    <w:qFormat/>
    <w:uiPriority w:val="0"/>
    <w:rPr>
      <w:rFonts w:hint="default" w:ascii="TimesNewRomanPSMT" w:hAnsi="TimesNewRomanPSMT"/>
      <w:color w:val="000000"/>
      <w:sz w:val="22"/>
      <w:szCs w:val="22"/>
    </w:rPr>
  </w:style>
  <w:style w:type="character" w:customStyle="1" w:styleId="27">
    <w:name w:val="fontstyle21"/>
    <w:basedOn w:val="7"/>
    <w:qFormat/>
    <w:uiPriority w:val="0"/>
    <w:rPr>
      <w:rFonts w:hint="eastAsia" w:ascii="宋体" w:hAnsi="宋体" w:eastAsia="宋体"/>
      <w:color w:val="000000"/>
      <w:sz w:val="22"/>
      <w:szCs w:val="22"/>
    </w:rPr>
  </w:style>
  <w:style w:type="character" w:customStyle="1" w:styleId="28">
    <w:name w:val="日期 字符"/>
    <w:basedOn w:val="7"/>
    <w:link w:val="2"/>
    <w:qFormat/>
    <w:uiPriority w:val="99"/>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604</Words>
  <Characters>3445</Characters>
  <Lines>28</Lines>
  <Paragraphs>8</Paragraphs>
  <TotalTime>233</TotalTime>
  <ScaleCrop>false</ScaleCrop>
  <LinksUpToDate>false</LinksUpToDate>
  <CharactersWithSpaces>4041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2022-05-28T15:33:00Z</dcterms:created>
  <dc:creator>86133</dc:creator>
  <cp:lastModifiedBy>kylin</cp:lastModifiedBy>
  <dcterms:modified xsi:type="dcterms:W3CDTF">2022-06-01T09:24:25Z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D2E418BE084E445E8E6DF51592BD9046</vt:lpwstr>
  </property>
</Properties>
</file>