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framePr w:wrap="around"/>
        <w:rPr>
          <w:rFonts w:hAnsi="黑体"/>
        </w:rPr>
      </w:pPr>
      <w:r>
        <w:rPr>
          <w:rFonts w:hAnsi="黑体"/>
        </w:rPr>
        <w:t>ICS</w:t>
      </w:r>
      <w:r>
        <w:rPr>
          <w:rFonts w:hint="eastAsia" w:hAnsi="黑体" w:cs="MS Mincho"/>
        </w:rPr>
        <w:t> </w:t>
      </w:r>
      <w:r>
        <w:rPr>
          <w:rFonts w:hAnsi="黑体"/>
        </w:rPr>
        <w:fldChar w:fldCharType="begin">
          <w:ffData>
            <w:name w:val="ICS"/>
            <w:enabled/>
            <w:calcOnExit w:val="0"/>
            <w:helpText w:type="text" w:val="请输入正确的ICS号："/>
            <w:textInput>
              <w:default w:val="43.040.60"/>
            </w:textInput>
          </w:ffData>
        </w:fldChar>
      </w:r>
      <w:bookmarkStart w:id="0" w:name="ICS"/>
      <w:r>
        <w:rPr>
          <w:rFonts w:hAnsi="黑体"/>
        </w:rPr>
        <w:instrText xml:space="preserve"> FORMTEXT </w:instrText>
      </w:r>
      <w:r>
        <w:rPr>
          <w:rFonts w:hAnsi="黑体"/>
        </w:rPr>
        <w:fldChar w:fldCharType="separate"/>
      </w:r>
      <w:r>
        <w:rPr>
          <w:rFonts w:hAnsi="黑体"/>
        </w:rPr>
        <w:t>43.040.60</w:t>
      </w:r>
      <w:r>
        <w:rPr>
          <w:rFonts w:hAnsi="黑体"/>
        </w:rPr>
        <w:fldChar w:fldCharType="end"/>
      </w:r>
      <w:bookmarkEnd w:id="0"/>
    </w:p>
    <w:p>
      <w:pPr>
        <w:pStyle w:val="55"/>
        <w:framePr w:wrap="around"/>
        <w:rPr>
          <w:rFonts w:hAnsi="黑体"/>
        </w:rPr>
      </w:pPr>
      <w:r>
        <w:rPr>
          <w:rFonts w:hAnsi="黑体"/>
        </w:rPr>
        <w:fldChar w:fldCharType="begin">
          <w:ffData>
            <w:name w:val="WXFLH"/>
            <w:enabled/>
            <w:calcOnExit w:val="0"/>
            <w:helpText w:type="text" w:val="请输入中国标准文献分类号："/>
            <w:textInput>
              <w:default w:val="T26"/>
            </w:textInput>
          </w:ffData>
        </w:fldChar>
      </w:r>
      <w:bookmarkStart w:id="1" w:name="WXFLH"/>
      <w:r>
        <w:rPr>
          <w:rFonts w:hAnsi="黑体"/>
        </w:rPr>
        <w:instrText xml:space="preserve"> FORMTEXT </w:instrText>
      </w:r>
      <w:r>
        <w:rPr>
          <w:rFonts w:hAnsi="黑体"/>
        </w:rPr>
        <w:fldChar w:fldCharType="separate"/>
      </w:r>
      <w:r>
        <w:rPr>
          <w:rFonts w:hAnsi="黑体"/>
        </w:rPr>
        <w:t>T26</w:t>
      </w:r>
      <w:r>
        <w:rPr>
          <w:rFonts w:hAnsi="黑体"/>
        </w:rPr>
        <w:fldChar w:fldCharType="end"/>
      </w:r>
      <w:bookmarkEnd w:id="1"/>
    </w:p>
    <w:p>
      <w:pPr>
        <w:pStyle w:val="121"/>
        <w:framePr w:wrap="around"/>
        <w:rPr>
          <w:rFonts w:ascii="黑体" w:hAnsi="黑体" w:eastAsia="黑体"/>
        </w:rPr>
      </w:pPr>
      <w:r>
        <w:rPr>
          <w:rFonts w:ascii="黑体" w:hAnsi="黑体" w:eastAsia="黑体"/>
        </w:rPr>
        <w:drawing>
          <wp:inline distT="0" distB="0" distL="114300" distR="114300">
            <wp:extent cx="1438275" cy="723900"/>
            <wp:effectExtent l="0" t="0" r="0" b="0"/>
            <wp:docPr id="15" name="图片 4"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GB"/>
                    <pic:cNvPicPr>
                      <a:picLocks noChangeAspect="1"/>
                    </pic:cNvPicPr>
                  </pic:nvPicPr>
                  <pic:blipFill>
                    <a:blip r:embed="rId7"/>
                    <a:stretch>
                      <a:fillRect/>
                    </a:stretch>
                  </pic:blipFill>
                  <pic:spPr>
                    <a:xfrm>
                      <a:off x="0" y="0"/>
                      <a:ext cx="1438275" cy="723900"/>
                    </a:xfrm>
                    <a:prstGeom prst="rect">
                      <a:avLst/>
                    </a:prstGeom>
                    <a:noFill/>
                    <a:ln>
                      <a:noFill/>
                    </a:ln>
                  </pic:spPr>
                </pic:pic>
              </a:graphicData>
            </a:graphic>
          </wp:inline>
        </w:drawing>
      </w:r>
    </w:p>
    <w:p>
      <w:pPr>
        <w:pStyle w:val="116"/>
        <w:framePr w:wrap="around"/>
        <w:rPr>
          <w:rFonts w:ascii="黑体" w:hAnsi="黑体" w:eastAsia="黑体"/>
        </w:rPr>
      </w:pPr>
      <w:r>
        <w:rPr>
          <w:rFonts w:hint="eastAsia" w:ascii="黑体" w:hAnsi="黑体" w:eastAsia="黑体"/>
        </w:rPr>
        <w:t>中华人民共和国国家标准</w:t>
      </w:r>
    </w:p>
    <w:p>
      <w:pPr>
        <w:pStyle w:val="98"/>
        <w:framePr w:wrap="around"/>
        <w:rPr>
          <w:rFonts w:hAnsi="黑体"/>
        </w:rPr>
      </w:pPr>
      <w:r>
        <w:rPr>
          <w:rFonts w:hAnsi="黑体"/>
        </w:rPr>
        <w:t xml:space="preserve">GB </w:t>
      </w:r>
      <w:r>
        <w:rPr>
          <w:rFonts w:hAnsi="黑体"/>
        </w:rPr>
        <w:fldChar w:fldCharType="begin">
          <w:ffData>
            <w:name w:val="StdNo1"/>
            <w:enabled/>
            <w:calcOnExit w:val="0"/>
            <w:textInput>
              <w:default w:val="17354"/>
            </w:textInput>
          </w:ffData>
        </w:fldChar>
      </w:r>
      <w:bookmarkStart w:id="2" w:name="StdNo1"/>
      <w:r>
        <w:rPr>
          <w:rFonts w:hAnsi="黑体"/>
        </w:rPr>
        <w:instrText xml:space="preserve"> FORMTEXT </w:instrText>
      </w:r>
      <w:r>
        <w:rPr>
          <w:rFonts w:hAnsi="黑体"/>
        </w:rPr>
        <w:fldChar w:fldCharType="separate"/>
      </w:r>
      <w:r>
        <w:rPr>
          <w:rFonts w:hAnsi="黑体"/>
        </w:rPr>
        <w:t>17354</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202X"/>
              <w:maxLength w:val="4"/>
            </w:textInput>
          </w:ffData>
        </w:fldChar>
      </w:r>
      <w:r>
        <w:rPr>
          <w:rFonts w:hAnsi="黑体"/>
        </w:rPr>
        <w:instrText xml:space="preserve">FORMTEXT</w:instrText>
      </w:r>
      <w:r>
        <w:rPr>
          <w:rFonts w:hAnsi="黑体"/>
        </w:rPr>
        <w:fldChar w:fldCharType="separate"/>
      </w:r>
      <w:r>
        <w:rPr>
          <w:rFonts w:hAnsi="黑体"/>
        </w:rPr>
        <w:t>202X</w:t>
      </w:r>
      <w:r>
        <w:rPr>
          <w:rFonts w:hAnsi="黑体"/>
        </w:rPr>
        <w:fldChar w:fldCharType="end"/>
      </w:r>
      <w:bookmarkEnd w:id="3"/>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5"/>
              <w:framePr w:wrap="around"/>
              <w:rPr>
                <w:rFonts w:ascii="黑体" w:hAnsi="黑体" w:eastAsia="黑体"/>
              </w:rPr>
            </w:pPr>
            <w:bookmarkStart w:id="4" w:name="DT"/>
            <w:r>
              <w:rPr>
                <w:rFonts w:ascii="黑体" w:hAnsi="黑体" w:eastAsia="黑体"/>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Og6xsdAgAANAQAAA4AAABkcnMvZTJvRG9jLnhtbK1TwY7T&#10;MBC9I/EPlu80SSnLNm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bZ7NZmEzozN79X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s6DrGx0C&#10;AAA0BAAADgAAAAAAAAABACAAAAAlAQAAZHJzL2Uyb0RvYy54bWxQSwUGAAAAAAYABgBZAQAAtAUA&#10;AAAA&#10;">
                      <v:fill on="t" focussize="0,0"/>
                      <v:stroke on="f"/>
                      <v:imagedata o:title=""/>
                      <o:lock v:ext="edit" aspectratio="f"/>
                    </v:rect>
                  </w:pict>
                </mc:Fallback>
              </mc:AlternateContent>
            </w:r>
            <w:bookmarkEnd w:id="4"/>
            <w:r>
              <w:rPr>
                <w:rFonts w:ascii="黑体" w:hAnsi="黑体" w:eastAsia="黑体"/>
              </w:rPr>
              <w:fldChar w:fldCharType="begin">
                <w:ffData>
                  <w:enabled/>
                  <w:calcOnExit w:val="0"/>
                  <w:textInput>
                    <w:default w:val="代替GB 17354-1998"/>
                  </w:textInput>
                </w:ffData>
              </w:fldChar>
            </w:r>
            <w:r>
              <w:rPr>
                <w:rFonts w:ascii="黑体" w:hAnsi="黑体" w:eastAsia="黑体"/>
              </w:rPr>
              <w:instrText xml:space="preserve"> FORMTEXT </w:instrText>
            </w:r>
            <w:r>
              <w:rPr>
                <w:rFonts w:ascii="黑体" w:hAnsi="黑体" w:eastAsia="黑体"/>
              </w:rPr>
              <w:fldChar w:fldCharType="separate"/>
            </w:r>
            <w:r>
              <w:rPr>
                <w:rFonts w:ascii="黑体" w:hAnsi="黑体" w:eastAsia="黑体"/>
              </w:rPr>
              <w:t>代替GB 17354-1998</w:t>
            </w:r>
            <w:r>
              <w:rPr>
                <w:rFonts w:ascii="黑体" w:hAnsi="黑体" w:eastAsia="黑体"/>
              </w:rPr>
              <w:fldChar w:fldCharType="end"/>
            </w:r>
          </w:p>
        </w:tc>
      </w:tr>
    </w:tbl>
    <w:p>
      <w:pPr>
        <w:pStyle w:val="98"/>
        <w:framePr w:wrap="around"/>
        <w:rPr>
          <w:rFonts w:hAnsi="黑体"/>
        </w:rPr>
      </w:pPr>
    </w:p>
    <w:p>
      <w:pPr>
        <w:pStyle w:val="98"/>
        <w:framePr w:wrap="around"/>
        <w:rPr>
          <w:rFonts w:hAnsi="黑体"/>
        </w:rPr>
      </w:pPr>
    </w:p>
    <w:p>
      <w:pPr>
        <w:pStyle w:val="45"/>
        <w:framePr w:wrap="around"/>
        <w:rPr>
          <w:rFonts w:hAnsi="黑体"/>
        </w:rPr>
      </w:pPr>
      <w:r>
        <w:rPr>
          <w:rFonts w:hAnsi="黑体"/>
        </w:rPr>
        <w:fldChar w:fldCharType="begin">
          <w:ffData>
            <w:name w:val="StdName"/>
            <w:enabled/>
            <w:calcOnExit w:val="0"/>
            <w:textInput>
              <w:default w:val="乘用车前后端保护装置"/>
            </w:textInput>
          </w:ffData>
        </w:fldChar>
      </w:r>
      <w:bookmarkStart w:id="5" w:name="StdName"/>
      <w:r>
        <w:rPr>
          <w:rFonts w:hAnsi="黑体"/>
        </w:rPr>
        <w:instrText xml:space="preserve"> FORMTEXT </w:instrText>
      </w:r>
      <w:r>
        <w:rPr>
          <w:rFonts w:hAnsi="黑体"/>
        </w:rPr>
        <w:fldChar w:fldCharType="separate"/>
      </w:r>
      <w:r>
        <w:rPr>
          <w:rFonts w:hAnsi="黑体"/>
        </w:rPr>
        <w:t>乘用车前后端保护装置</w:t>
      </w:r>
      <w:r>
        <w:rPr>
          <w:rFonts w:hAnsi="黑体"/>
        </w:rPr>
        <w:fldChar w:fldCharType="end"/>
      </w:r>
      <w:bookmarkEnd w:id="5"/>
    </w:p>
    <w:p>
      <w:pPr>
        <w:pStyle w:val="44"/>
        <w:framePr w:wrap="around"/>
        <w:rPr>
          <w:rFonts w:ascii="黑体" w:hAnsi="黑体"/>
        </w:rPr>
      </w:pPr>
      <w:bookmarkStart w:id="6" w:name="StdEnglishName"/>
      <w:r>
        <w:rPr>
          <w:rFonts w:ascii="黑体" w:hAnsi="黑体" w:eastAsia="黑体" w:cs="Times New Roman"/>
          <w:sz w:val="28"/>
          <w:szCs w:val="28"/>
          <w:lang w:val="en-US" w:eastAsia="zh-CN" w:bidi="ar-SA"/>
        </w:rPr>
        <w:fldChar w:fldCharType="begin">
          <w:ffData>
            <w:name w:val="StdEnglishName"/>
            <w:enabled/>
            <w:calcOnExit w:val="0"/>
            <w:textInput>
              <w:default w:val="Front and rear protective devices for passenger cars"/>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Front and rear protective devices for passenger cars</w:t>
      </w:r>
      <w:r>
        <w:rPr>
          <w:rFonts w:ascii="黑体" w:hAnsi="黑体" w:eastAsia="黑体" w:cs="Times New Roman"/>
          <w:sz w:val="28"/>
          <w:szCs w:val="28"/>
          <w:lang w:val="en-US" w:eastAsia="zh-CN" w:bidi="ar-SA"/>
        </w:rPr>
        <w:fldChar w:fldCharType="end"/>
      </w:r>
      <w:bookmarkEnd w:id="6"/>
    </w:p>
    <w:p>
      <w:pPr>
        <w:pStyle w:val="63"/>
        <w:framePr w:wrap="around"/>
        <w:rPr>
          <w:rFonts w:ascii="黑体" w:hAnsi="黑体" w:eastAsia="黑体"/>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4"/>
              <w:framePr w:wrap="around"/>
              <w:rPr>
                <w:rFonts w:ascii="黑体" w:hAnsi="黑体" w:eastAsia="黑体"/>
              </w:rPr>
            </w:pPr>
            <w:r>
              <w:rPr>
                <w:rFonts w:ascii="黑体" w:hAnsi="黑体" w:eastAsia="黑体"/>
              </w:rPr>
              <mc:AlternateContent>
                <mc:Choice Requires="wps">
                  <w:drawing>
                    <wp:anchor distT="0" distB="0" distL="114300" distR="114300" simplePos="0" relativeHeight="251660288" behindDoc="1" locked="1" layoutInCell="1" allowOverlap="1">
                      <wp:simplePos x="0" y="0"/>
                      <wp:positionH relativeFrom="column">
                        <wp:posOffset>1301115</wp:posOffset>
                      </wp:positionH>
                      <wp:positionV relativeFrom="paragraph">
                        <wp:posOffset>573405</wp:posOffset>
                      </wp:positionV>
                      <wp:extent cx="1905000" cy="25400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45pt;margin-top:45.15pt;height:20pt;width:150pt;z-index:-251656192;mso-width-relative:page;mso-height-relative:page;" fillcolor="#FFFFFF" filled="t" stroked="f" coordsize="21600,21600" o:gfxdata="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H9w9YAAAAKAQAA&#10;DwAAAAAAAAABACAAAAAiAAAAZHJzL2Rvd25yZXYueG1sUEsBAhQAFAAAAAgAh07iQBLBGFwbAgAA&#10;NAQAAA4AAAAAAAAAAQAgAAAAJQEAAGRycy9lMm9Eb2MueG1sUEsFBgAAAAAGAAYAWQEAALIFAAAA&#10;AA==&#10;">
                      <v:fill on="t" focussize="0,0"/>
                      <v:stroke on="f"/>
                      <v:imagedata o:title=""/>
                      <o:lock v:ext="edit" aspectratio="f"/>
                      <w10:anchorlock/>
                    </v:rect>
                  </w:pict>
                </mc:Fallback>
              </mc:AlternateContent>
            </w:r>
            <w:r>
              <w:rPr>
                <w:rFonts w:hint="eastAsia" w:ascii="黑体" w:hAnsi="黑体" w:eastAsia="黑体"/>
              </w:rPr>
              <w:t>征求</w:t>
            </w:r>
            <w:r>
              <w:rPr>
                <w:rFonts w:hint="eastAsia" w:ascii="黑体" w:hAnsi="黑体" w:eastAsia="黑体"/>
                <w:lang w:val="en-US" w:eastAsia="zh-CN"/>
              </w:rPr>
              <w:t>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66"/>
              <w:framePr w:wrap="around"/>
              <w:rPr>
                <w:rFonts w:ascii="黑体" w:hAnsi="黑体" w:eastAsia="黑体"/>
                <w:sz w:val="18"/>
              </w:rPr>
            </w:pPr>
            <w:r>
              <w:rPr>
                <w:rFonts w:ascii="黑体" w:hAnsi="黑体" w:eastAsia="黑体"/>
                <w:sz w:val="18"/>
              </w:rPr>
              <w:t>本稿完成日期</w:t>
            </w:r>
            <w:r>
              <w:rPr>
                <w:rFonts w:hint="eastAsia" w:ascii="黑体" w:hAnsi="黑体" w:eastAsia="黑体"/>
                <w:sz w:val="18"/>
              </w:rPr>
              <w:t>：20</w:t>
            </w:r>
            <w:r>
              <w:rPr>
                <w:rFonts w:ascii="黑体" w:hAnsi="黑体" w:eastAsia="黑体"/>
                <w:sz w:val="18"/>
              </w:rPr>
              <w:t>2</w:t>
            </w:r>
            <w:r>
              <w:rPr>
                <w:rFonts w:hint="eastAsia" w:ascii="黑体" w:hAnsi="黑体" w:eastAsia="黑体"/>
                <w:sz w:val="18"/>
              </w:rPr>
              <w:t>2年</w:t>
            </w:r>
            <w:r>
              <w:rPr>
                <w:rFonts w:hint="eastAsia" w:ascii="黑体" w:hAnsi="黑体" w:eastAsia="黑体"/>
                <w:sz w:val="18"/>
                <w:lang w:val="en-US" w:eastAsia="zh-CN"/>
              </w:rPr>
              <w:t>4</w:t>
            </w:r>
            <w:r>
              <w:rPr>
                <w:rFonts w:hint="eastAsia" w:ascii="黑体" w:hAnsi="黑体" w:eastAsia="黑体"/>
                <w:sz w:val="18"/>
              </w:rPr>
              <w:t>月</w:t>
            </w:r>
            <w:r>
              <w:rPr>
                <w:rFonts w:hint="eastAsia" w:ascii="黑体" w:hAnsi="黑体" w:eastAsia="黑体"/>
                <w:sz w:val="18"/>
                <w:lang w:val="en-US" w:eastAsia="zh-CN"/>
              </w:rPr>
              <w:t>29</w:t>
            </w:r>
            <w:r>
              <w:rPr>
                <w:rFonts w:hint="eastAsia" w:ascii="黑体" w:hAnsi="黑体" w:eastAsia="黑体"/>
                <w:sz w:val="18"/>
              </w:rPr>
              <w:t>日</w:t>
            </w:r>
          </w:p>
          <w:p>
            <w:pPr>
              <w:pStyle w:val="66"/>
              <w:framePr w:wrap="around"/>
              <w:rPr>
                <w:rFonts w:ascii="黑体" w:hAnsi="黑体" w:eastAsia="黑体"/>
                <w:sz w:val="18"/>
              </w:rPr>
            </w:pPr>
          </w:p>
          <w:p>
            <w:pPr>
              <w:pStyle w:val="66"/>
              <w:framePr w:wrap="around"/>
              <w:rPr>
                <w:rFonts w:ascii="黑体" w:hAnsi="黑体" w:eastAsia="黑体"/>
                <w:sz w:val="18"/>
              </w:rPr>
            </w:pPr>
            <w:r>
              <w:rPr>
                <w:rFonts w:hint="eastAsia" w:ascii="黑体" w:hAnsi="黑体" w:eastAsia="黑体"/>
                <w:sz w:val="18"/>
              </w:rPr>
              <w:t>在提交反馈意见时，请将您知道的相关专利连同支持性文件一并附上。</w:t>
            </w:r>
          </w:p>
        </w:tc>
      </w:tr>
    </w:tbl>
    <w:p>
      <w:pPr>
        <w:pStyle w:val="126"/>
        <w:framePr w:wrap="around" w:hAnchor="page" w:x="1006" w:y="14116"/>
        <w:rPr>
          <w:rFonts w:ascii="黑体" w:hAnsi="黑体"/>
        </w:rPr>
      </w:pPr>
      <w:bookmarkStart w:id="7" w:name="FY"/>
      <w:r>
        <w:rPr>
          <w:rFonts w:ascii="黑体" w:hAnsi="黑体"/>
        </w:rPr>
        <w:fldChar w:fldCharType="begin">
          <w:ffData>
            <w:name w:val="FY"/>
            <w:enabled/>
            <w:calcOnExit w:val="0"/>
            <w:textInput>
              <w:default w:val="202X"/>
              <w:maxLength w:val="4"/>
            </w:textInput>
          </w:ffData>
        </w:fldChar>
      </w:r>
      <w:r>
        <w:rPr>
          <w:rFonts w:ascii="黑体" w:hAnsi="黑体"/>
        </w:rPr>
        <w:instrText xml:space="preserve">FORMTEXT</w:instrText>
      </w:r>
      <w:r>
        <w:rPr>
          <w:rFonts w:ascii="黑体" w:hAnsi="黑体"/>
        </w:rPr>
        <w:fldChar w:fldCharType="separate"/>
      </w:r>
      <w:r>
        <w:rPr>
          <w:rFonts w:ascii="黑体" w:hAnsi="黑体"/>
        </w:rPr>
        <w:t>202X</w:t>
      </w:r>
      <w:r>
        <w:rPr>
          <w:rFonts w:ascii="黑体" w:hAnsi="黑体"/>
        </w:rPr>
        <w:fldChar w:fldCharType="end"/>
      </w:r>
      <w:bookmarkEnd w:id="7"/>
      <w:r>
        <w:rPr>
          <w:rFonts w:ascii="黑体" w:hAnsi="黑体"/>
        </w:rPr>
        <w:t xml:space="preserve"> - </w:t>
      </w:r>
      <w:bookmarkStart w:id="8" w:name="FM"/>
      <w:r>
        <w:rPr>
          <w:rFonts w:ascii="黑体" w:hAnsi="黑体"/>
        </w:rPr>
        <w:fldChar w:fldCharType="begin">
          <w:ffData>
            <w:name w:val="FM"/>
            <w:enabled/>
            <w:calcOnExit w:val="0"/>
            <w:entryMacro w:val="ShowHelp8"/>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8"/>
      <w:r>
        <w:rPr>
          <w:rFonts w:ascii="黑体" w:hAnsi="黑体"/>
        </w:rPr>
        <w:t xml:space="preserve"> - </w:t>
      </w:r>
      <w:bookmarkStart w:id="9" w:name="FD"/>
      <w:r>
        <w:rPr>
          <w:rFonts w:ascii="黑体" w:hAnsi="黑体"/>
        </w:rPr>
        <w:fldChar w:fldCharType="begin">
          <w:ffData>
            <w:name w:val="FD"/>
            <w:enabled/>
            <w:calcOnExit w:val="0"/>
            <w:entryMacro w:val="ShowHelp8"/>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hint="eastAsia" w:ascii="黑体" w:hAnsi="黑体"/>
        </w:rPr>
        <w:t>发布</w:t>
      </w:r>
      <w:r>
        <w:rPr>
          <w:rFonts w:ascii="黑体" w:hAnsi="黑体"/>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H7Y&#10;G/roAQAAuAMAAA4AAAAAAAAAAQAgAAAAJQEAAGRycy9lMm9Eb2MueG1sUEsFBgAAAAAGAAYAWQEA&#10;AH8FAAAAAA==&#10;">
                <v:fill on="f" focussize="0,0"/>
                <v:stroke color="#000000" joinstyle="round"/>
                <v:imagedata o:title=""/>
                <o:lock v:ext="edit" aspectratio="f"/>
                <w10:anchorlock/>
              </v:line>
            </w:pict>
          </mc:Fallback>
        </mc:AlternateContent>
      </w:r>
    </w:p>
    <w:p>
      <w:pPr>
        <w:pStyle w:val="109"/>
        <w:framePr w:wrap="around" w:hAnchor="page" w:x="6684" w:y="14089"/>
        <w:rPr>
          <w:rFonts w:ascii="黑体" w:hAnsi="黑体"/>
        </w:rPr>
      </w:pPr>
      <w:bookmarkStart w:id="10" w:name="SY"/>
      <w:r>
        <w:rPr>
          <w:rFonts w:ascii="黑体" w:hAnsi="黑体"/>
        </w:rPr>
        <w:fldChar w:fldCharType="begin">
          <w:ffData>
            <w:name w:val="SY"/>
            <w:enabled/>
            <w:calcOnExit w:val="0"/>
            <w:textInput>
              <w:default w:val="202X"/>
              <w:maxLength w:val="4"/>
            </w:textInput>
          </w:ffData>
        </w:fldChar>
      </w:r>
      <w:r>
        <w:rPr>
          <w:rFonts w:ascii="黑体" w:hAnsi="黑体"/>
        </w:rPr>
        <w:instrText xml:space="preserve">FORMTEXT</w:instrText>
      </w:r>
      <w:r>
        <w:rPr>
          <w:rFonts w:ascii="黑体" w:hAnsi="黑体"/>
        </w:rPr>
        <w:fldChar w:fldCharType="separate"/>
      </w:r>
      <w:r>
        <w:rPr>
          <w:rFonts w:ascii="黑体" w:hAnsi="黑体"/>
        </w:rPr>
        <w:t>202X</w:t>
      </w:r>
      <w:r>
        <w:rPr>
          <w:rFonts w:ascii="黑体" w:hAnsi="黑体"/>
        </w:rPr>
        <w:fldChar w:fldCharType="end"/>
      </w:r>
      <w:bookmarkEnd w:id="10"/>
      <w:r>
        <w:rPr>
          <w:rFonts w:ascii="黑体" w:hAnsi="黑体"/>
        </w:rPr>
        <w:t xml:space="preserve"> - </w:t>
      </w:r>
      <w:bookmarkStart w:id="11" w:name="SM"/>
      <w:r>
        <w:rPr>
          <w:rFonts w:ascii="黑体" w:hAnsi="黑体"/>
        </w:rPr>
        <w:fldChar w:fldCharType="begin">
          <w:ffData>
            <w:name w:val="SM"/>
            <w:enabled/>
            <w:calcOnExit w:val="0"/>
            <w:entryMacro w:val="ShowHelp9"/>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1"/>
      <w:r>
        <w:rPr>
          <w:rFonts w:ascii="黑体" w:hAnsi="黑体"/>
        </w:rPr>
        <w:t xml:space="preserve"> - </w:t>
      </w:r>
      <w:bookmarkStart w:id="12" w:name="SD"/>
      <w:r>
        <w:rPr>
          <w:rFonts w:ascii="黑体" w:hAnsi="黑体"/>
        </w:rPr>
        <w:fldChar w:fldCharType="begin">
          <w:ffData>
            <w:name w:val="SD"/>
            <w:enabled/>
            <w:calcOnExit w:val="0"/>
            <w:entryMacro w:val="ShowHelp9"/>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2"/>
      <w:r>
        <w:rPr>
          <w:rFonts w:hint="eastAsia" w:ascii="黑体" w:hAnsi="黑体"/>
        </w:rPr>
        <w:t>实施</w:t>
      </w:r>
    </w:p>
    <w:p>
      <w:pPr>
        <w:pStyle w:val="74"/>
        <w:framePr w:wrap="around"/>
        <w:rPr>
          <w:rFonts w:ascii="黑体" w:hAnsi="黑体" w:eastAsia="黑体"/>
        </w:rPr>
      </w:pPr>
      <w:r>
        <w:rPr>
          <w:rFonts w:ascii="黑体" w:hAnsi="黑体" w:eastAsia="黑体"/>
          <w:w w:val="100"/>
        </w:rPr>
        <mc:AlternateContent>
          <mc:Choice Requires="wps">
            <w:drawing>
              <wp:anchor distT="0" distB="0" distL="114300" distR="114300" simplePos="0" relativeHeight="251666432" behindDoc="0" locked="1" layoutInCell="1" allowOverlap="1">
                <wp:simplePos x="0" y="0"/>
                <wp:positionH relativeFrom="margin">
                  <wp:posOffset>4594225</wp:posOffset>
                </wp:positionH>
                <wp:positionV relativeFrom="margin">
                  <wp:posOffset>9143365</wp:posOffset>
                </wp:positionV>
                <wp:extent cx="733425" cy="450215"/>
                <wp:effectExtent l="0" t="0" r="0" b="0"/>
                <wp:wrapNone/>
                <wp:docPr id="3" name="fmFrame7"/>
                <wp:cNvGraphicFramePr/>
                <a:graphic xmlns:a="http://schemas.openxmlformats.org/drawingml/2006/main">
                  <a:graphicData uri="http://schemas.microsoft.com/office/word/2010/wordprocessingShape">
                    <wps:wsp>
                      <wps:cNvSpPr txBox="1"/>
                      <wps:spPr>
                        <a:xfrm>
                          <a:off x="0" y="0"/>
                          <a:ext cx="733425" cy="450215"/>
                        </a:xfrm>
                        <a:prstGeom prst="rect">
                          <a:avLst/>
                        </a:prstGeom>
                        <a:solidFill>
                          <a:srgbClr val="FFFFFF"/>
                        </a:solidFill>
                        <a:ln>
                          <a:noFill/>
                        </a:ln>
                      </wps:spPr>
                      <wps:txbx>
                        <w:txbxContent>
                          <w:p>
                            <w:pPr>
                              <w:pStyle w:val="74"/>
                              <w:jc w:val="both"/>
                              <w:rPr>
                                <w:rFonts w:ascii="黑体" w:hAnsi="黑体" w:eastAsia="黑体"/>
                                <w:spacing w:val="0"/>
                                <w:w w:val="100"/>
                                <w:szCs w:val="36"/>
                              </w:rPr>
                            </w:pPr>
                            <w:r>
                              <w:rPr>
                                <w:rFonts w:hint="eastAsia" w:ascii="黑体" w:hAnsi="黑体" w:eastAsia="黑体"/>
                                <w:spacing w:val="0"/>
                                <w:w w:val="100"/>
                                <w:szCs w:val="36"/>
                              </w:rPr>
                              <w:t xml:space="preserve">发 </w:t>
                            </w:r>
                            <w:r>
                              <w:rPr>
                                <w:rFonts w:ascii="黑体" w:hAnsi="黑体" w:eastAsia="黑体"/>
                                <w:spacing w:val="0"/>
                                <w:w w:val="100"/>
                                <w:szCs w:val="36"/>
                              </w:rPr>
                              <w:t xml:space="preserve"> </w:t>
                            </w:r>
                            <w:r>
                              <w:rPr>
                                <w:rFonts w:hint="eastAsia" w:ascii="黑体" w:hAnsi="黑体" w:eastAsia="黑体"/>
                                <w:spacing w:val="0"/>
                                <w:w w:val="100"/>
                                <w:szCs w:val="36"/>
                              </w:rPr>
                              <w:t>布</w:t>
                            </w:r>
                          </w:p>
                        </w:txbxContent>
                      </wps:txbx>
                      <wps:bodyPr wrap="square" lIns="0" tIns="0" rIns="0" bIns="0" upright="1"/>
                    </wps:wsp>
                  </a:graphicData>
                </a:graphic>
              </wp:anchor>
            </w:drawing>
          </mc:Choice>
          <mc:Fallback>
            <w:pict>
              <v:shape id="fmFrame7" o:spid="_x0000_s1026" o:spt="202" type="#_x0000_t202" style="position:absolute;left:0pt;margin-left:361.75pt;margin-top:719.95pt;height:35.45pt;width:57.75pt;mso-position-horizontal-relative:margin;mso-position-vertical-relative:margin;z-index:251666432;mso-width-relative:page;mso-height-relative:page;" fillcolor="#FFFFFF" filled="t" stroked="f" coordsize="21600,21600" o:gfxdata="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Secp9wAAAANAQAADwAAAAAAAAABACAAAAAiAAAAZHJz&#10;L2Rvd25yZXYueG1sUEsBAhQAFAAAAAgAh07iQAgou9nHAQAApQMAAA4AAAAAAAAAAQAgAAAAKwEA&#10;AGRycy9lMm9Eb2MueG1sUEsFBgAAAAAGAAYAWQEAAGQFAAAAAA==&#10;">
                <v:fill on="t" focussize="0,0"/>
                <v:stroke on="f"/>
                <v:imagedata o:title=""/>
                <o:lock v:ext="edit" aspectratio="f"/>
                <v:textbox inset="0mm,0mm,0mm,0mm">
                  <w:txbxContent>
                    <w:p>
                      <w:pPr>
                        <w:pStyle w:val="74"/>
                        <w:jc w:val="both"/>
                        <w:rPr>
                          <w:rFonts w:ascii="黑体" w:hAnsi="黑体" w:eastAsia="黑体"/>
                          <w:spacing w:val="0"/>
                          <w:w w:val="100"/>
                          <w:szCs w:val="36"/>
                        </w:rPr>
                      </w:pPr>
                      <w:r>
                        <w:rPr>
                          <w:rFonts w:hint="eastAsia" w:ascii="黑体" w:hAnsi="黑体" w:eastAsia="黑体"/>
                          <w:spacing w:val="0"/>
                          <w:w w:val="100"/>
                          <w:szCs w:val="36"/>
                        </w:rPr>
                        <w:t xml:space="preserve">发 </w:t>
                      </w:r>
                      <w:r>
                        <w:rPr>
                          <w:rFonts w:ascii="黑体" w:hAnsi="黑体" w:eastAsia="黑体"/>
                          <w:spacing w:val="0"/>
                          <w:w w:val="100"/>
                          <w:szCs w:val="36"/>
                        </w:rPr>
                        <w:t xml:space="preserve"> </w:t>
                      </w:r>
                      <w:r>
                        <w:rPr>
                          <w:rFonts w:hint="eastAsia" w:ascii="黑体" w:hAnsi="黑体" w:eastAsia="黑体"/>
                          <w:spacing w:val="0"/>
                          <w:w w:val="100"/>
                          <w:szCs w:val="36"/>
                        </w:rPr>
                        <w:t>布</w:t>
                      </w:r>
                    </w:p>
                  </w:txbxContent>
                </v:textbox>
                <w10:anchorlock/>
              </v:shape>
            </w:pict>
          </mc:Fallback>
        </mc:AlternateContent>
      </w:r>
      <w:r>
        <w:rPr>
          <w:rFonts w:ascii="黑体" w:hAnsi="黑体" w:eastAsia="黑体"/>
        </w:rPr>
        <mc:AlternateContent>
          <mc:Choice Requires="wps">
            <w:drawing>
              <wp:anchor distT="0" distB="0" distL="114300" distR="114300" simplePos="0" relativeHeight="251663360" behindDoc="0" locked="1" layoutInCell="1" allowOverlap="1">
                <wp:simplePos x="0" y="0"/>
                <wp:positionH relativeFrom="column">
                  <wp:posOffset>10147935</wp:posOffset>
                </wp:positionH>
                <wp:positionV relativeFrom="page">
                  <wp:posOffset>9251950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99.05pt;margin-top:728.5pt;height:0pt;width:481.9pt;mso-position-vertical-relative:page;z-index:251663360;mso-width-relative:page;mso-height-relative:page;" filled="f" stroked="t" coordsize="21600,21600" o:gfxdata="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OjPW2gAAAA8BAAAPAAAAAAAAAAEAIAAAACIAAABkcnMvZG93bnJldi54bWxQSwECFAAUAAAACACH&#10;TuJAel3sDukBAAC6AwAADgAAAAAAAAABACAAAAApAQAAZHJzL2Uyb0RvYy54bWxQSwUGAAAAAAYA&#10;BgBZAQAAhAUAAAAA&#10;">
                <v:fill on="f" focussize="0,0"/>
                <v:stroke color="#000000" joinstyle="round"/>
                <v:imagedata o:title=""/>
                <o:lock v:ext="edit" aspectratio="f"/>
                <w10:anchorlock/>
              </v:line>
            </w:pict>
          </mc:Fallback>
        </mc:AlternateContent>
      </w:r>
    </w:p>
    <w:p>
      <w:pPr>
        <w:pStyle w:val="24"/>
        <w:ind w:firstLine="0" w:firstLineChars="0"/>
        <w:rPr>
          <w:rFonts w:ascii="黑体" w:hAnsi="黑体" w:eastAsia="黑体"/>
        </w:rPr>
        <w:sectPr>
          <w:headerReference r:id="rId3" w:type="even"/>
          <w:pgSz w:w="11906" w:h="16838"/>
          <w:pgMar w:top="567" w:right="850" w:bottom="1134" w:left="1418" w:header="0" w:footer="0" w:gutter="0"/>
          <w:pgNumType w:fmt="upperRoman" w:start="1"/>
          <w:cols w:space="720" w:num="1"/>
          <w:docGrid w:type="lines" w:linePitch="312" w:charSpace="0"/>
        </w:sectPr>
      </w:pP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1399540</wp:posOffset>
                </wp:positionH>
                <wp:positionV relativeFrom="paragraph">
                  <wp:posOffset>9064625</wp:posOffset>
                </wp:positionV>
                <wp:extent cx="2959735" cy="661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59735" cy="661035"/>
                        </a:xfrm>
                        <a:prstGeom prst="rect">
                          <a:avLst/>
                        </a:prstGeom>
                        <a:noFill/>
                        <a:ln>
                          <a:noFill/>
                        </a:ln>
                      </wps:spPr>
                      <wps:txbx>
                        <w:txbxContent>
                          <w:p>
                            <w:pPr>
                              <w:spacing w:line="400" w:lineRule="exact"/>
                              <w:jc w:val="distribute"/>
                              <w:rPr>
                                <w:rFonts w:ascii="方正小标宋简体" w:eastAsia="方正小标宋简体"/>
                                <w:b/>
                                <w:w w:val="90"/>
                                <w:sz w:val="36"/>
                                <w:szCs w:val="36"/>
                              </w:rPr>
                            </w:pPr>
                            <w:r>
                              <w:rPr>
                                <w:rFonts w:hint="eastAsia" w:ascii="方正小标宋简体" w:eastAsia="方正小标宋简体"/>
                                <w:b/>
                                <w:w w:val="90"/>
                                <w:sz w:val="36"/>
                                <w:szCs w:val="36"/>
                              </w:rPr>
                              <w:t>国家市场监督管理总局</w:t>
                            </w:r>
                          </w:p>
                          <w:p>
                            <w:pPr>
                              <w:spacing w:line="400" w:lineRule="exact"/>
                              <w:jc w:val="distribute"/>
                              <w:rPr>
                                <w:rFonts w:ascii="方正小标宋简体" w:eastAsia="方正小标宋简体"/>
                                <w:b/>
                                <w:w w:val="90"/>
                                <w:sz w:val="36"/>
                                <w:szCs w:val="36"/>
                              </w:rPr>
                            </w:pPr>
                            <w:r>
                              <w:rPr>
                                <w:rFonts w:hint="eastAsia" w:ascii="方正小标宋简体" w:eastAsia="方正小标宋简体"/>
                                <w:b/>
                                <w:w w:val="90"/>
                                <w:sz w:val="36"/>
                                <w:szCs w:val="36"/>
                              </w:rPr>
                              <w:t>国家标准化管理委员会</w:t>
                            </w:r>
                          </w:p>
                        </w:txbxContent>
                      </wps:txbx>
                      <wps:bodyPr wrap="square" upright="1"/>
                    </wps:wsp>
                  </a:graphicData>
                </a:graphic>
              </wp:anchor>
            </w:drawing>
          </mc:Choice>
          <mc:Fallback>
            <w:pict>
              <v:shape id="_x0000_s1026" o:spid="_x0000_s1026" o:spt="202" type="#_x0000_t202" style="position:absolute;left:0pt;margin-left:110.2pt;margin-top:713.75pt;height:52.05pt;width:233.05pt;z-index:251665408;mso-width-relative:page;mso-height-relative:page;" filled="f" stroked="f" coordsize="21600,21600" o:gfxdata="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81py2QAAAA0BAAAPAAAAAAAAAAEAIAAAACIAAABkcnMvZG93bnJldi54bWxQSwECFAAU&#10;AAAACACHTuJA4CyABLcBAABcAwAADgAAAAAAAAABACAAAAAoAQAAZHJzL2Uyb0RvYy54bWxQSwUG&#10;AAAAAAYABgBZAQAAUQUAAAAA&#10;">
                <v:fill on="f" focussize="0,0"/>
                <v:stroke on="f"/>
                <v:imagedata o:title=""/>
                <o:lock v:ext="edit" aspectratio="f"/>
                <v:textbox>
                  <w:txbxContent>
                    <w:p>
                      <w:pPr>
                        <w:spacing w:line="400" w:lineRule="exact"/>
                        <w:jc w:val="distribute"/>
                        <w:rPr>
                          <w:rFonts w:ascii="方正小标宋简体" w:eastAsia="方正小标宋简体"/>
                          <w:b/>
                          <w:w w:val="90"/>
                          <w:sz w:val="36"/>
                          <w:szCs w:val="36"/>
                        </w:rPr>
                      </w:pPr>
                      <w:r>
                        <w:rPr>
                          <w:rFonts w:hint="eastAsia" w:ascii="方正小标宋简体" w:eastAsia="方正小标宋简体"/>
                          <w:b/>
                          <w:w w:val="90"/>
                          <w:sz w:val="36"/>
                          <w:szCs w:val="36"/>
                        </w:rPr>
                        <w:t>国家市场监督管理总局</w:t>
                      </w:r>
                    </w:p>
                    <w:p>
                      <w:pPr>
                        <w:spacing w:line="400" w:lineRule="exact"/>
                        <w:jc w:val="distribute"/>
                        <w:rPr>
                          <w:rFonts w:ascii="方正小标宋简体" w:eastAsia="方正小标宋简体"/>
                          <w:b/>
                          <w:w w:val="90"/>
                          <w:sz w:val="36"/>
                          <w:szCs w:val="36"/>
                        </w:rPr>
                      </w:pPr>
                      <w:r>
                        <w:rPr>
                          <w:rFonts w:hint="eastAsia" w:ascii="方正小标宋简体" w:eastAsia="方正小标宋简体"/>
                          <w:b/>
                          <w:w w:val="90"/>
                          <w:sz w:val="36"/>
                          <w:szCs w:val="36"/>
                        </w:rPr>
                        <w:t>国家标准化管理委员会</w:t>
                      </w:r>
                    </w:p>
                  </w:txbxContent>
                </v:textbox>
              </v:shape>
            </w:pict>
          </mc:Fallback>
        </mc:AlternateContent>
      </w: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B4l/X&#10;AAAACQEAAA8AAAAAAAAAAQAgAAAAIgAAAGRycy9kb3ducmV2LnhtbFBLAQIUABQAAAAIAIdO4kCU&#10;8lY26AEAALgDAAAOAAAAAAAAAAEAIAAAACYBAABkcnMvZTJvRG9jLnhtbFBLBQYAAAAABgAGAFkB&#10;AACABQAAAAA=&#10;">
                <v:fill on="f" focussize="0,0"/>
                <v:stroke color="#000000" joinstyle="round"/>
                <v:imagedata o:title=""/>
                <o:lock v:ext="edit" aspectratio="f"/>
              </v:line>
            </w:pict>
          </mc:Fallback>
        </mc:AlternateContent>
      </w:r>
    </w:p>
    <w:p>
      <w:pPr>
        <w:pStyle w:val="160"/>
        <w:spacing w:after="468"/>
      </w:pPr>
      <w:bookmarkStart w:id="13" w:name="_Toc8906464"/>
      <w:r>
        <w:rPr>
          <w:rFonts w:hint="eastAsia"/>
          <w:spacing w:val="320"/>
        </w:rPr>
        <w:t>目</w:t>
      </w:r>
      <w:r>
        <w:rPr>
          <w:rFonts w:hint="eastAsia"/>
        </w:rPr>
        <w:t>次</w:t>
      </w:r>
    </w:p>
    <w:sdt>
      <w:sdtPr>
        <w:rPr>
          <w:rFonts w:ascii="宋体" w:hAnsi="宋体" w:eastAsia="宋体" w:cs="Times New Roman"/>
          <w:kern w:val="2"/>
          <w:sz w:val="21"/>
          <w:szCs w:val="24"/>
          <w:lang w:val="en-US" w:eastAsia="zh-CN" w:bidi="ar-SA"/>
        </w:rPr>
        <w:id w:val="14745482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TOC \o "1-1" \h \u </w:instrText>
          </w:r>
          <w:r>
            <w:rPr>
              <w:rFonts w:hint="eastAsia" w:asciiTheme="majorEastAsia" w:hAnsiTheme="majorEastAsia" w:eastAsiaTheme="majorEastAsia" w:cstheme="majorEastAsia"/>
              <w:sz w:val="21"/>
              <w:szCs w:val="21"/>
            </w:rPr>
            <w:fldChar w:fldCharType="separate"/>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_Toc29278 </w:instrText>
          </w:r>
          <w:r>
            <w:rPr>
              <w:rFonts w:hint="eastAsia" w:asciiTheme="majorEastAsia" w:hAnsiTheme="majorEastAsia" w:eastAsiaTheme="majorEastAsia" w:cstheme="majorEastAsia"/>
              <w:szCs w:val="21"/>
            </w:rPr>
            <w:fldChar w:fldCharType="separate"/>
          </w:r>
          <w:r>
            <w:rPr>
              <w:rFonts w:hint="eastAsia" w:hAnsi="黑体"/>
            </w:rPr>
            <w:t>前言</w:t>
          </w:r>
          <w:r>
            <w:tab/>
          </w:r>
          <w:r>
            <w:fldChar w:fldCharType="begin"/>
          </w:r>
          <w:r>
            <w:instrText xml:space="preserve"> PAGEREF _Toc29278 \h </w:instrText>
          </w:r>
          <w:r>
            <w:fldChar w:fldCharType="separate"/>
          </w:r>
          <w:r>
            <w:t>II</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_Toc27370 </w:instrText>
          </w:r>
          <w:r>
            <w:rPr>
              <w:rFonts w:hint="eastAsia" w:asciiTheme="majorEastAsia" w:hAnsiTheme="majorEastAsia" w:eastAsiaTheme="majorEastAsia" w:cstheme="majorEastAsia"/>
              <w:szCs w:val="21"/>
            </w:rPr>
            <w:fldChar w:fldCharType="separate"/>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_Toc24254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1 </w:t>
          </w:r>
          <w:r>
            <w:rPr>
              <w:rFonts w:hint="eastAsia" w:hAnsi="黑体"/>
            </w:rPr>
            <w:t>范围</w:t>
          </w:r>
          <w:r>
            <w:tab/>
          </w:r>
          <w:r>
            <w:fldChar w:fldCharType="begin"/>
          </w:r>
          <w:r>
            <w:instrText xml:space="preserve"> PAGEREF _Toc24254 \h </w:instrText>
          </w:r>
          <w:r>
            <w:fldChar w:fldCharType="separate"/>
          </w:r>
          <w:r>
            <w:t>1</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_Toc15119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2 </w:t>
          </w:r>
          <w:r>
            <w:rPr>
              <w:rFonts w:hint="eastAsia" w:hAnsi="黑体"/>
            </w:rPr>
            <w:t>规范性引用文件</w:t>
          </w:r>
          <w:r>
            <w:tab/>
          </w:r>
          <w:r>
            <w:fldChar w:fldCharType="begin"/>
          </w:r>
          <w:r>
            <w:instrText xml:space="preserve"> PAGEREF _Toc15119 \h </w:instrText>
          </w:r>
          <w:r>
            <w:fldChar w:fldCharType="separate"/>
          </w:r>
          <w:r>
            <w:t>1</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_Toc20004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3 </w:t>
          </w:r>
          <w:r>
            <w:rPr>
              <w:rFonts w:hint="eastAsia" w:hAnsi="黑体"/>
            </w:rPr>
            <w:t>术语和定义</w:t>
          </w:r>
          <w:r>
            <w:tab/>
          </w:r>
          <w:r>
            <w:fldChar w:fldCharType="begin"/>
          </w:r>
          <w:r>
            <w:instrText xml:space="preserve"> PAGEREF _Toc20004 \h </w:instrText>
          </w:r>
          <w:r>
            <w:fldChar w:fldCharType="separate"/>
          </w:r>
          <w:r>
            <w:t>1</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_Toc28283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4 </w:t>
          </w:r>
          <w:r>
            <w:rPr>
              <w:rFonts w:hint="eastAsia" w:hAnsi="黑体"/>
            </w:rPr>
            <w:t>技术要求</w:t>
          </w:r>
          <w:r>
            <w:tab/>
          </w:r>
          <w:r>
            <w:fldChar w:fldCharType="begin"/>
          </w:r>
          <w:r>
            <w:instrText xml:space="preserve"> PAGEREF _Toc28283 \h </w:instrText>
          </w:r>
          <w:r>
            <w:fldChar w:fldCharType="separate"/>
          </w:r>
          <w:r>
            <w:t>3</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_Toc19364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5 </w:t>
          </w:r>
          <w:r>
            <w:rPr>
              <w:rFonts w:hint="eastAsia" w:hAnsi="黑体"/>
            </w:rPr>
            <w:t>试验</w:t>
          </w:r>
          <w:r>
            <w:rPr>
              <w:rFonts w:hint="eastAsia" w:hAnsi="黑体"/>
              <w:lang w:val="en-US" w:eastAsia="zh-CN"/>
            </w:rPr>
            <w:t>要求及</w:t>
          </w:r>
          <w:r>
            <w:rPr>
              <w:rFonts w:hint="eastAsia" w:hAnsi="黑体"/>
            </w:rPr>
            <w:t>方法</w:t>
          </w:r>
          <w:r>
            <w:tab/>
          </w:r>
          <w:r>
            <w:fldChar w:fldCharType="begin"/>
          </w:r>
          <w:r>
            <w:instrText xml:space="preserve"> PAGEREF _Toc19364 \h </w:instrText>
          </w:r>
          <w:r>
            <w:fldChar w:fldCharType="separate"/>
          </w:r>
          <w:r>
            <w:t>3</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_Toc22733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6 </w:t>
          </w:r>
          <w:r>
            <w:rPr>
              <w:rFonts w:hint="eastAsia"/>
              <w:lang w:val="en-US" w:eastAsia="zh-CN"/>
            </w:rPr>
            <w:t>同一</w:t>
          </w:r>
          <w:r>
            <w:rPr>
              <w:rFonts w:hint="eastAsia"/>
            </w:rPr>
            <w:t>型式</w:t>
          </w:r>
          <w:r>
            <w:rPr>
              <w:rFonts w:hint="eastAsia"/>
              <w:lang w:val="en-US" w:eastAsia="zh-CN"/>
            </w:rPr>
            <w:t>判定</w:t>
          </w:r>
          <w:r>
            <w:tab/>
          </w:r>
          <w:r>
            <w:fldChar w:fldCharType="begin"/>
          </w:r>
          <w:r>
            <w:instrText xml:space="preserve"> PAGEREF _Toc22733 \h </w:instrText>
          </w:r>
          <w:r>
            <w:fldChar w:fldCharType="separate"/>
          </w:r>
          <w:r>
            <w:t>5</w:t>
          </w:r>
          <w:r>
            <w:fldChar w:fldCharType="end"/>
          </w:r>
          <w:r>
            <w:rPr>
              <w:rFonts w:hint="eastAsia" w:asciiTheme="majorEastAsia" w:hAnsiTheme="majorEastAsia" w:eastAsiaTheme="majorEastAsia" w:cstheme="majorEastAsia"/>
              <w:szCs w:val="21"/>
            </w:rPr>
            <w:fldChar w:fldCharType="end"/>
          </w:r>
        </w:p>
        <w:p>
          <w:pPr>
            <w:pStyle w:val="20"/>
            <w:tabs>
              <w:tab w:val="right" w:leader="dot" w:pos="9354"/>
              <w:tab w:val="clear" w:pos="9242"/>
            </w:tabs>
          </w:pP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\l _Toc26066 </w:instrText>
          </w:r>
          <w:r>
            <w:rPr>
              <w:rFonts w:hint="eastAsia" w:asciiTheme="majorEastAsia" w:hAnsiTheme="majorEastAsia" w:eastAsiaTheme="majorEastAsia" w:cstheme="majorEastAsia"/>
              <w:szCs w:val="21"/>
            </w:rPr>
            <w:fldChar w:fldCharType="separate"/>
          </w:r>
          <w:r>
            <w:rPr>
              <w:rFonts w:hint="eastAsia" w:ascii="黑体" w:hAnsi="Times New Roman" w:eastAsia="黑体"/>
              <w:i w:val="0"/>
              <w:szCs w:val="21"/>
            </w:rPr>
            <w:t xml:space="preserve">7 </w:t>
          </w:r>
          <w:r>
            <w:rPr>
              <w:rFonts w:hint="eastAsia"/>
              <w:lang w:val="en-US" w:eastAsia="zh-CN"/>
            </w:rPr>
            <w:t>标准</w:t>
          </w:r>
          <w:r>
            <w:rPr>
              <w:rFonts w:hint="eastAsia"/>
            </w:rPr>
            <w:t>实施</w:t>
          </w:r>
          <w:r>
            <w:rPr>
              <w:rFonts w:hint="eastAsia"/>
              <w:lang w:val="en-US" w:eastAsia="zh-CN"/>
            </w:rPr>
            <w:t>过渡</w:t>
          </w:r>
          <w:r>
            <w:rPr>
              <w:rFonts w:hint="eastAsia"/>
            </w:rPr>
            <w:t>期</w:t>
          </w:r>
          <w:r>
            <w:tab/>
          </w:r>
          <w:r>
            <w:fldChar w:fldCharType="begin"/>
          </w:r>
          <w:r>
            <w:instrText xml:space="preserve"> PAGEREF _Toc26066 \h </w:instrText>
          </w:r>
          <w:r>
            <w:fldChar w:fldCharType="separate"/>
          </w:r>
          <w:r>
            <w:t>5</w:t>
          </w:r>
          <w:r>
            <w:fldChar w:fldCharType="end"/>
          </w:r>
          <w:r>
            <w:rPr>
              <w:rFonts w:hint="eastAsia" w:asciiTheme="majorEastAsia" w:hAnsiTheme="majorEastAsia" w:eastAsiaTheme="majorEastAsia" w:cstheme="majorEastAsia"/>
              <w:szCs w:val="21"/>
            </w:rPr>
            <w:fldChar w:fldCharType="end"/>
          </w:r>
        </w:p>
        <w:p>
          <w:pPr>
            <w:pStyle w:val="159"/>
            <w:tabs>
              <w:tab w:val="right" w:leader="dot" w:pos="9354"/>
            </w:tabs>
          </w:pPr>
          <w:r>
            <w:rPr>
              <w:rFonts w:hint="eastAsia" w:asciiTheme="majorEastAsia" w:hAnsiTheme="majorEastAsia" w:eastAsiaTheme="majorEastAsia" w:cstheme="majorEastAsia"/>
              <w:sz w:val="21"/>
              <w:szCs w:val="21"/>
            </w:rPr>
            <w:fldChar w:fldCharType="end"/>
          </w:r>
        </w:p>
      </w:sdtContent>
    </w:sdt>
    <w:p>
      <w:pPr>
        <w:pStyle w:val="122"/>
        <w:rPr>
          <w:rFonts w:hAnsi="黑体"/>
        </w:rPr>
      </w:pPr>
      <w:bookmarkStart w:id="14" w:name="_Toc28859"/>
      <w:bookmarkStart w:id="15" w:name="_Toc29278"/>
      <w:r>
        <w:rPr>
          <w:rFonts w:hint="eastAsia" w:hAnsi="黑体"/>
        </w:rPr>
        <w:t>前</w:t>
      </w:r>
      <w:bookmarkStart w:id="16" w:name="BKQY"/>
      <w:r>
        <w:rPr>
          <w:rFonts w:hint="eastAsia" w:hAnsi="黑体" w:cs="MS Mincho"/>
        </w:rPr>
        <w:t>  </w:t>
      </w:r>
      <w:r>
        <w:rPr>
          <w:rFonts w:hint="eastAsia" w:hAnsi="黑体"/>
        </w:rPr>
        <w:t>言</w:t>
      </w:r>
      <w:bookmarkEnd w:id="13"/>
      <w:bookmarkEnd w:id="14"/>
      <w:bookmarkEnd w:id="15"/>
      <w:bookmarkEnd w:id="16"/>
    </w:p>
    <w:p>
      <w:pPr>
        <w:pStyle w:val="157"/>
        <w:ind w:firstLine="420"/>
      </w:pPr>
      <w:r>
        <w:rPr>
          <w:rFonts w:hint="eastAsia"/>
        </w:rPr>
        <w:t>本文件按照GB/T 1.1-2020《标准化工作导则  第1部分：标准化文件的结构和起草规则》的规定起草。</w:t>
      </w:r>
    </w:p>
    <w:p>
      <w:pPr>
        <w:pStyle w:val="157"/>
        <w:ind w:firstLine="420"/>
        <w:rPr>
          <w:rFonts w:hAnsi="宋体" w:cs="宋体"/>
        </w:rPr>
      </w:pPr>
      <w:r>
        <w:rPr>
          <w:rFonts w:hint="eastAsia"/>
        </w:rPr>
        <w:t>本文件代替GB 17354-1998《汽车前、后端保护装置》，与GB 17354-1998《汽车前、后端保护装置》相比，</w:t>
      </w:r>
      <w:r>
        <w:t>除结构调整和编辑性改动外</w:t>
      </w:r>
      <w:r>
        <w:rPr>
          <w:rFonts w:hint="eastAsia"/>
        </w:rPr>
        <w:t>，</w:t>
      </w:r>
      <w:r>
        <w:t>主要技术变化如下</w:t>
      </w:r>
      <w:r>
        <w:rPr>
          <w:rFonts w:hint="eastAsia"/>
        </w:rPr>
        <w:t>：</w:t>
      </w:r>
    </w:p>
    <w:p>
      <w:pPr>
        <w:pStyle w:val="24"/>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更改</w:t>
      </w:r>
      <w:r>
        <w:rPr>
          <w:rFonts w:hint="eastAsia" w:hAnsi="宋体" w:cs="宋体"/>
          <w:color w:val="000000" w:themeColor="text1"/>
          <w:highlight w:val="none"/>
          <w14:textFill>
            <w14:solidFill>
              <w14:schemeClr w14:val="tx1"/>
            </w14:solidFill>
          </w14:textFill>
        </w:rPr>
        <w:t>了标准</w:t>
      </w:r>
      <w:r>
        <w:rPr>
          <w:rFonts w:hint="eastAsia" w:hAnsi="宋体" w:cs="宋体"/>
          <w:color w:val="000000" w:themeColor="text1"/>
          <w:highlight w:val="none"/>
          <w:lang w:val="en-US" w:eastAsia="zh-CN"/>
          <w14:textFill>
            <w14:solidFill>
              <w14:schemeClr w14:val="tx1"/>
            </w14:solidFill>
          </w14:textFill>
        </w:rPr>
        <w:t>中文</w:t>
      </w:r>
      <w:r>
        <w:rPr>
          <w:rFonts w:hint="eastAsia" w:hAnsi="宋体" w:cs="宋体"/>
          <w:color w:val="000000" w:themeColor="text1"/>
          <w:highlight w:val="none"/>
          <w14:textFill>
            <w14:solidFill>
              <w14:schemeClr w14:val="tx1"/>
            </w14:solidFill>
          </w14:textFill>
        </w:rPr>
        <w:t>名称，更加准确地体现标准适用领域和范围；</w:t>
      </w:r>
    </w:p>
    <w:p>
      <w:pPr>
        <w:pStyle w:val="24"/>
        <w:ind w:left="840" w:leftChars="200" w:hanging="420" w:hanging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——增加</w:t>
      </w:r>
      <w:r>
        <w:rPr>
          <w:rFonts w:hint="eastAsia" w:hAnsi="宋体" w:cs="宋体"/>
          <w:color w:val="000000" w:themeColor="text1"/>
          <w:lang w:val="en-US" w:eastAsia="zh-CN"/>
          <w14:textFill>
            <w14:solidFill>
              <w14:schemeClr w14:val="tx1"/>
            </w14:solidFill>
          </w14:textFill>
        </w:rPr>
        <w:t>了</w:t>
      </w:r>
      <w:r>
        <w:rPr>
          <w:rFonts w:hint="eastAsia" w:hAnsi="宋体" w:cs="宋体"/>
          <w:color w:val="000000" w:themeColor="text1"/>
          <w14:textFill>
            <w14:solidFill>
              <w14:schemeClr w14:val="tx1"/>
            </w14:solidFill>
          </w14:textFill>
        </w:rPr>
        <w:t>第2章“规范性引用文件”；</w:t>
      </w:r>
    </w:p>
    <w:p>
      <w:pPr>
        <w:pStyle w:val="24"/>
        <w:ind w:left="840" w:leftChars="200" w:hanging="420" w:hangingChars="200"/>
        <w:rPr>
          <w:rFonts w:hAnsi="宋体" w:cs="宋体"/>
          <w:color w:val="000000" w:themeColor="text1"/>
          <w14:textFill>
            <w14:solidFill>
              <w14:schemeClr w14:val="tx1"/>
            </w14:solidFill>
          </w14:textFill>
        </w:rPr>
      </w:pPr>
      <w:bookmarkStart w:id="17" w:name="_Hlk33791105"/>
      <w:r>
        <w:rPr>
          <w:rFonts w:hint="eastAsia" w:hAnsi="宋体" w:cs="宋体"/>
          <w:color w:val="000000" w:themeColor="text1"/>
          <w14:textFill>
            <w14:solidFill>
              <w14:schemeClr w14:val="tx1"/>
            </w14:solidFill>
          </w14:textFill>
        </w:rPr>
        <w:t>——</w:t>
      </w:r>
      <w:bookmarkEnd w:id="17"/>
      <w:r>
        <w:rPr>
          <w:rFonts w:hint="eastAsia" w:hAnsi="宋体" w:cs="宋体"/>
          <w:color w:val="000000" w:themeColor="text1"/>
          <w:lang w:val="en-US" w:eastAsia="zh-CN"/>
          <w14:textFill>
            <w14:solidFill>
              <w14:schemeClr w14:val="tx1"/>
            </w14:solidFill>
          </w14:textFill>
        </w:rPr>
        <w:t>更改</w:t>
      </w:r>
      <w:r>
        <w:rPr>
          <w:rFonts w:hint="eastAsia" w:hAnsi="宋体" w:cs="宋体"/>
          <w:color w:val="000000" w:themeColor="text1"/>
          <w14:textFill>
            <w14:solidFill>
              <w14:schemeClr w14:val="tx1"/>
            </w14:solidFill>
          </w14:textFill>
        </w:rPr>
        <w:t>了保护装置的</w:t>
      </w:r>
      <w:r>
        <w:rPr>
          <w:rFonts w:hint="eastAsia" w:hAnsi="宋体" w:cs="宋体"/>
          <w:color w:val="000000" w:themeColor="text1"/>
          <w:lang w:val="en-US" w:eastAsia="zh-CN"/>
          <w14:textFill>
            <w14:solidFill>
              <w14:schemeClr w14:val="tx1"/>
            </w14:solidFill>
          </w14:textFill>
        </w:rPr>
        <w:t>术语和</w:t>
      </w:r>
      <w:r>
        <w:rPr>
          <w:rFonts w:hint="eastAsia" w:hAnsi="宋体" w:cs="宋体"/>
          <w:color w:val="000000" w:themeColor="text1"/>
          <w14:textFill>
            <w14:solidFill>
              <w14:schemeClr w14:val="tx1"/>
            </w14:solidFill>
          </w14:textFill>
        </w:rPr>
        <w:t>定义（</w:t>
      </w:r>
      <w:r>
        <w:rPr>
          <w:rFonts w:hint="eastAsia"/>
          <w:color w:val="000000" w:themeColor="text1"/>
          <w14:textFill>
            <w14:solidFill>
              <w14:schemeClr w14:val="tx1"/>
            </w14:solidFill>
          </w14:textFill>
        </w:rPr>
        <w:t>见</w:t>
      </w:r>
      <w:r>
        <w:rPr>
          <w:rFonts w:hint="eastAsia" w:hAnsi="宋体" w:cs="宋体"/>
          <w:color w:val="000000" w:themeColor="text1"/>
          <w14:textFill>
            <w14:solidFill>
              <w14:schemeClr w14:val="tx1"/>
            </w14:solidFill>
          </w14:textFill>
        </w:rPr>
        <w:t>3.1</w:t>
      </w:r>
      <w:r>
        <w:rPr>
          <w:rFonts w:hint="eastAsia" w:hAnsi="宋体" w:cs="宋体"/>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1998</w:t>
      </w:r>
      <w:r>
        <w:rPr>
          <w:rFonts w:hint="eastAsia"/>
          <w:color w:val="000000" w:themeColor="text1"/>
          <w14:textFill>
            <w14:solidFill>
              <w14:schemeClr w14:val="tx1"/>
            </w14:solidFill>
          </w14:textFill>
        </w:rPr>
        <w:t>年版的</w:t>
      </w:r>
      <w:r>
        <w:rPr>
          <w:rFonts w:hint="eastAsia"/>
          <w:color w:val="000000" w:themeColor="text1"/>
          <w:lang w:val="en-US" w:eastAsia="zh-CN"/>
          <w14:textFill>
            <w14:solidFill>
              <w14:schemeClr w14:val="tx1"/>
            </w14:solidFill>
          </w14:textFill>
        </w:rPr>
        <w:t>2.1</w:t>
      </w:r>
      <w:r>
        <w:rPr>
          <w:rFonts w:hint="eastAsia" w:hAnsi="宋体" w:cs="宋体"/>
          <w:color w:val="000000" w:themeColor="text1"/>
          <w14:textFill>
            <w14:solidFill>
              <w14:schemeClr w14:val="tx1"/>
            </w14:solidFill>
          </w14:textFill>
        </w:rPr>
        <w:t>）；</w:t>
      </w:r>
    </w:p>
    <w:p>
      <w:pPr>
        <w:pStyle w:val="24"/>
        <w:ind w:left="840" w:leftChars="200" w:hanging="420" w:hanging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删除了</w:t>
      </w:r>
      <w:r>
        <w:rPr>
          <w:rFonts w:hint="eastAsia" w:hAnsi="宋体" w:cs="宋体"/>
          <w:color w:val="000000" w:themeColor="text1"/>
          <w14:textFill>
            <w14:solidFill>
              <w14:schemeClr w14:val="tx1"/>
            </w14:solidFill>
          </w14:textFill>
        </w:rPr>
        <w:t>车型</w:t>
      </w:r>
      <w:r>
        <w:rPr>
          <w:rFonts w:hint="eastAsia" w:hAnsi="宋体" w:cs="宋体"/>
          <w:color w:val="000000" w:themeColor="text1"/>
          <w:lang w:val="en-US" w:eastAsia="zh-CN"/>
          <w14:textFill>
            <w14:solidFill>
              <w14:schemeClr w14:val="tx1"/>
            </w14:solidFill>
          </w14:textFill>
        </w:rPr>
        <w:t>的术语和</w:t>
      </w:r>
      <w:r>
        <w:rPr>
          <w:rFonts w:hint="eastAsia" w:hAnsi="宋体" w:cs="宋体"/>
          <w:color w:val="000000" w:themeColor="text1"/>
          <w14:textFill>
            <w14:solidFill>
              <w14:schemeClr w14:val="tx1"/>
            </w14:solidFill>
          </w14:textFill>
        </w:rPr>
        <w:t>定义（</w:t>
      </w:r>
      <w:r>
        <w:rPr>
          <w:rFonts w:hint="eastAsia"/>
          <w:color w:val="000000" w:themeColor="text1"/>
          <w:lang w:val="en-US" w:eastAsia="zh-CN"/>
          <w14:textFill>
            <w14:solidFill>
              <w14:schemeClr w14:val="tx1"/>
            </w14:solidFill>
          </w14:textFill>
        </w:rPr>
        <w:t>1998</w:t>
      </w:r>
      <w:r>
        <w:rPr>
          <w:rFonts w:hint="eastAsia"/>
          <w:color w:val="000000" w:themeColor="text1"/>
          <w14:textFill>
            <w14:solidFill>
              <w14:schemeClr w14:val="tx1"/>
            </w14:solidFill>
          </w14:textFill>
        </w:rPr>
        <w:t>年版的</w:t>
      </w:r>
      <w:r>
        <w:rPr>
          <w:rFonts w:hint="eastAsia"/>
          <w:color w:val="000000" w:themeColor="text1"/>
          <w:lang w:val="en-US" w:eastAsia="zh-CN"/>
          <w14:textFill>
            <w14:solidFill>
              <w14:schemeClr w14:val="tx1"/>
            </w14:solidFill>
          </w14:textFill>
        </w:rPr>
        <w:t>2.2</w:t>
      </w:r>
      <w:r>
        <w:rPr>
          <w:rFonts w:hint="eastAsia" w:hAnsi="宋体" w:cs="宋体"/>
          <w:color w:val="000000" w:themeColor="text1"/>
          <w14:textFill>
            <w14:solidFill>
              <w14:schemeClr w14:val="tx1"/>
            </w14:solidFill>
          </w14:textFill>
        </w:rPr>
        <w:t>）；</w:t>
      </w:r>
    </w:p>
    <w:p>
      <w:pPr>
        <w:pStyle w:val="24"/>
        <w:ind w:left="840" w:leftChars="200" w:hanging="420" w:hanging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删除了加载试</w:t>
      </w:r>
      <w:r>
        <w:rPr>
          <w:rFonts w:hint="eastAsia" w:hAnsi="宋体" w:cs="宋体"/>
          <w:color w:val="000000" w:themeColor="text1"/>
          <w:highlight w:val="none"/>
          <w14:textFill>
            <w14:solidFill>
              <w14:schemeClr w14:val="tx1"/>
            </w14:solidFill>
          </w14:textFill>
        </w:rPr>
        <w:t>验车质量的</w:t>
      </w:r>
      <w:r>
        <w:rPr>
          <w:rFonts w:hint="eastAsia" w:hAnsi="宋体" w:cs="宋体"/>
          <w:color w:val="000000" w:themeColor="text1"/>
          <w:highlight w:val="none"/>
          <w:lang w:val="en-US" w:eastAsia="zh-CN"/>
          <w14:textFill>
            <w14:solidFill>
              <w14:schemeClr w14:val="tx1"/>
            </w14:solidFill>
          </w14:textFill>
        </w:rPr>
        <w:t>术语和</w:t>
      </w:r>
      <w:r>
        <w:rPr>
          <w:rFonts w:hint="eastAsia" w:hAnsi="宋体" w:cs="宋体"/>
          <w:color w:val="000000" w:themeColor="text1"/>
          <w:highlight w:val="none"/>
          <w14:textFill>
            <w14:solidFill>
              <w14:schemeClr w14:val="tx1"/>
            </w14:solidFill>
          </w14:textFill>
        </w:rPr>
        <w:t>定义（</w:t>
      </w:r>
      <w:r>
        <w:rPr>
          <w:rFonts w:hint="eastAsia" w:hAnsi="宋体" w:cs="宋体"/>
          <w:color w:val="000000" w:themeColor="text1"/>
          <w:highlight w:val="none"/>
          <w:lang w:val="en-US" w:eastAsia="zh-CN"/>
          <w14:textFill>
            <w14:solidFill>
              <w14:schemeClr w14:val="tx1"/>
            </w14:solidFill>
          </w14:textFill>
        </w:rPr>
        <w:t>见</w:t>
      </w:r>
      <w:r>
        <w:rPr>
          <w:rFonts w:hint="eastAsia"/>
          <w:color w:val="000000" w:themeColor="text1"/>
          <w:highlight w:val="none"/>
          <w:lang w:val="en-US" w:eastAsia="zh-CN"/>
          <w14:textFill>
            <w14:solidFill>
              <w14:schemeClr w14:val="tx1"/>
            </w14:solidFill>
          </w14:textFill>
        </w:rPr>
        <w:t>1998</w:t>
      </w:r>
      <w:r>
        <w:rPr>
          <w:rFonts w:hint="eastAsia"/>
          <w:color w:val="000000" w:themeColor="text1"/>
          <w:highlight w:val="none"/>
          <w14:textFill>
            <w14:solidFill>
              <w14:schemeClr w14:val="tx1"/>
            </w14:solidFill>
          </w14:textFill>
        </w:rPr>
        <w:t>年版</w:t>
      </w:r>
      <w:r>
        <w:rPr>
          <w:rFonts w:hint="eastAsia"/>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2.3</w:t>
      </w:r>
      <w:r>
        <w:rPr>
          <w:rFonts w:hint="eastAsia" w:hAnsi="宋体" w:cs="宋体"/>
          <w:color w:val="000000" w:themeColor="text1"/>
          <w14:textFill>
            <w14:solidFill>
              <w14:schemeClr w14:val="tx1"/>
            </w14:solidFill>
          </w14:textFill>
        </w:rPr>
        <w:t>）；</w:t>
      </w:r>
    </w:p>
    <w:p>
      <w:pPr>
        <w:pStyle w:val="24"/>
        <w:ind w:left="840" w:leftChars="200" w:hanging="420" w:hanging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增加了基准线的术语和定义的碰撞器示意图</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见</w:t>
      </w:r>
      <w:r>
        <w:rPr>
          <w:rFonts w:hint="eastAsia" w:hAnsi="宋体" w:cs="宋体"/>
          <w:color w:val="000000" w:themeColor="text1"/>
          <w:highlight w:val="none"/>
          <w14:textFill>
            <w14:solidFill>
              <w14:schemeClr w14:val="tx1"/>
            </w14:solidFill>
          </w14:textFill>
        </w:rPr>
        <w:t>3.</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1998</w:t>
      </w:r>
      <w:r>
        <w:rPr>
          <w:rFonts w:hint="eastAsia"/>
          <w:color w:val="000000" w:themeColor="text1"/>
          <w:highlight w:val="none"/>
          <w14:textFill>
            <w14:solidFill>
              <w14:schemeClr w14:val="tx1"/>
            </w14:solidFill>
          </w14:textFill>
        </w:rPr>
        <w:t>年版的</w:t>
      </w:r>
      <w:r>
        <w:rPr>
          <w:rFonts w:hint="eastAsia"/>
          <w:color w:val="000000" w:themeColor="text1"/>
          <w:highlight w:val="none"/>
          <w:lang w:val="en-US" w:eastAsia="zh-CN"/>
          <w14:textFill>
            <w14:solidFill>
              <w14:schemeClr w14:val="tx1"/>
            </w14:solidFill>
          </w14:textFill>
        </w:rPr>
        <w:t>2.6</w:t>
      </w:r>
      <w:r>
        <w:rPr>
          <w:rFonts w:hint="eastAsia" w:hAnsi="宋体" w:cs="宋体"/>
          <w:color w:val="000000" w:themeColor="text1"/>
          <w:highlight w:val="none"/>
          <w14:textFill>
            <w14:solidFill>
              <w14:schemeClr w14:val="tx1"/>
            </w14:solidFill>
          </w14:textFill>
        </w:rPr>
        <w:t>）；</w:t>
      </w:r>
    </w:p>
    <w:p>
      <w:pPr>
        <w:pStyle w:val="24"/>
        <w:ind w:left="840" w:leftChars="200" w:hanging="420" w:hanging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更改</w:t>
      </w:r>
      <w:r>
        <w:rPr>
          <w:rFonts w:hint="eastAsia" w:hAnsi="宋体" w:cs="宋体"/>
          <w:color w:val="000000" w:themeColor="text1"/>
          <w14:textFill>
            <w14:solidFill>
              <w14:schemeClr w14:val="tx1"/>
            </w14:solidFill>
          </w14:textFill>
        </w:rPr>
        <w:t>了基准高度的</w:t>
      </w:r>
      <w:r>
        <w:rPr>
          <w:rFonts w:hint="eastAsia" w:hAnsi="宋体" w:cs="宋体"/>
          <w:color w:val="000000" w:themeColor="text1"/>
          <w:lang w:val="en-US" w:eastAsia="zh-CN"/>
          <w14:textFill>
            <w14:solidFill>
              <w14:schemeClr w14:val="tx1"/>
            </w14:solidFill>
          </w14:textFill>
        </w:rPr>
        <w:t>术语和</w:t>
      </w:r>
      <w:r>
        <w:rPr>
          <w:rFonts w:hint="eastAsia" w:hAnsi="宋体" w:cs="宋体"/>
          <w:color w:val="000000" w:themeColor="text1"/>
          <w:highlight w:val="none"/>
          <w14:textFill>
            <w14:solidFill>
              <w14:schemeClr w14:val="tx1"/>
            </w14:solidFill>
          </w14:textFill>
        </w:rPr>
        <w:t>定义（</w:t>
      </w:r>
      <w:r>
        <w:rPr>
          <w:rFonts w:hint="eastAsia" w:hAnsi="宋体" w:cs="宋体"/>
          <w:color w:val="000000" w:themeColor="text1"/>
          <w:highlight w:val="none"/>
          <w:lang w:val="en-US" w:eastAsia="zh-CN"/>
          <w14:textFill>
            <w14:solidFill>
              <w14:schemeClr w14:val="tx1"/>
            </w14:solidFill>
          </w14:textFill>
        </w:rPr>
        <w:t>见</w:t>
      </w:r>
      <w:r>
        <w:rPr>
          <w:rFonts w:hint="eastAsia" w:hAnsi="宋体" w:cs="宋体"/>
          <w:color w:val="000000" w:themeColor="text1"/>
          <w:highlight w:val="none"/>
          <w14:textFill>
            <w14:solidFill>
              <w14:schemeClr w14:val="tx1"/>
            </w14:solidFill>
          </w14:textFill>
        </w:rPr>
        <w:t>3.</w:t>
      </w:r>
      <w:r>
        <w:rPr>
          <w:rFonts w:hint="eastAsia" w:hAnsi="宋体" w:cs="宋体"/>
          <w:color w:val="000000" w:themeColor="text1"/>
          <w:highlight w:val="none"/>
          <w:lang w:val="en-US" w:eastAsia="zh-CN"/>
          <w14:textFill>
            <w14:solidFill>
              <w14:schemeClr w14:val="tx1"/>
            </w14:solidFill>
          </w14:textFill>
        </w:rPr>
        <w:t>3</w:t>
      </w:r>
      <w:r>
        <w:rPr>
          <w:rFonts w:hint="eastAsia"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1998</w:t>
      </w:r>
      <w:r>
        <w:rPr>
          <w:rFonts w:hint="eastAsia"/>
          <w:color w:val="000000" w:themeColor="text1"/>
          <w:highlight w:val="none"/>
          <w14:textFill>
            <w14:solidFill>
              <w14:schemeClr w14:val="tx1"/>
            </w14:solidFill>
          </w14:textFill>
        </w:rPr>
        <w:t>年版的</w:t>
      </w:r>
      <w:r>
        <w:rPr>
          <w:rFonts w:hint="eastAsia"/>
          <w:color w:val="000000" w:themeColor="text1"/>
          <w:highlight w:val="none"/>
          <w:lang w:val="en-US" w:eastAsia="zh-CN"/>
          <w14:textFill>
            <w14:solidFill>
              <w14:schemeClr w14:val="tx1"/>
            </w14:solidFill>
          </w14:textFill>
        </w:rPr>
        <w:t>2.5</w:t>
      </w:r>
      <w:r>
        <w:rPr>
          <w:rFonts w:hint="eastAsia" w:hAnsi="宋体" w:cs="宋体"/>
          <w:color w:val="000000" w:themeColor="text1"/>
          <w:highlight w:val="none"/>
          <w14:textFill>
            <w14:solidFill>
              <w14:schemeClr w14:val="tx1"/>
            </w14:solidFill>
          </w14:textFill>
        </w:rPr>
        <w:t>）；</w:t>
      </w:r>
    </w:p>
    <w:p>
      <w:pPr>
        <w:pStyle w:val="24"/>
        <w:ind w:left="840" w:leftChars="200" w:hanging="420" w:hanging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更改</w:t>
      </w:r>
      <w:r>
        <w:rPr>
          <w:rFonts w:hint="eastAsia" w:hAnsi="宋体" w:cs="宋体"/>
          <w:color w:val="000000" w:themeColor="text1"/>
          <w14:textFill>
            <w14:solidFill>
              <w14:schemeClr w14:val="tx1"/>
            </w14:solidFill>
          </w14:textFill>
        </w:rPr>
        <w:t>了车角的</w:t>
      </w:r>
      <w:r>
        <w:rPr>
          <w:rFonts w:hint="eastAsia" w:hAnsi="宋体" w:cs="宋体"/>
          <w:color w:val="000000" w:themeColor="text1"/>
          <w:lang w:val="en-US" w:eastAsia="zh-CN"/>
          <w14:textFill>
            <w14:solidFill>
              <w14:schemeClr w14:val="tx1"/>
            </w14:solidFill>
          </w14:textFill>
        </w:rPr>
        <w:t>术语和</w:t>
      </w:r>
      <w:r>
        <w:rPr>
          <w:rFonts w:hint="eastAsia" w:hAnsi="宋体" w:cs="宋体"/>
          <w:color w:val="000000" w:themeColor="text1"/>
          <w14:textFill>
            <w14:solidFill>
              <w14:schemeClr w14:val="tx1"/>
            </w14:solidFill>
          </w14:textFill>
        </w:rPr>
        <w:t>定义</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并</w:t>
      </w:r>
      <w:r>
        <w:rPr>
          <w:rFonts w:hint="eastAsia" w:hAnsi="宋体" w:cs="宋体"/>
          <w:color w:val="000000" w:themeColor="text1"/>
          <w14:textFill>
            <w14:solidFill>
              <w14:schemeClr w14:val="tx1"/>
            </w14:solidFill>
          </w14:textFill>
        </w:rPr>
        <w:t>增加了</w:t>
      </w:r>
      <w:r>
        <w:rPr>
          <w:rFonts w:hint="eastAsia" w:hAnsi="宋体" w:cs="宋体"/>
          <w:color w:val="000000" w:themeColor="text1"/>
          <w:lang w:val="en-US" w:eastAsia="zh-CN"/>
          <w14:textFill>
            <w14:solidFill>
              <w14:schemeClr w14:val="tx1"/>
            </w14:solidFill>
          </w14:textFill>
        </w:rPr>
        <w:t>保险杠角示意图，</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3.</w:t>
      </w:r>
      <w:r>
        <w:rPr>
          <w:rFonts w:hint="eastAsia" w:hAnsi="宋体" w:cs="宋体"/>
          <w:color w:val="000000" w:themeColor="text1"/>
          <w:lang w:val="en-US" w:eastAsia="zh-CN"/>
          <w14:textFill>
            <w14:solidFill>
              <w14:schemeClr w14:val="tx1"/>
            </w14:solidFill>
          </w14:textFill>
        </w:rPr>
        <w:t>4</w:t>
      </w:r>
      <w:r>
        <w:rPr>
          <w:rFonts w:hint="eastAsia" w:hAnsi="宋体" w:cs="宋体"/>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1998</w:t>
      </w:r>
      <w:r>
        <w:rPr>
          <w:rFonts w:hint="eastAsia"/>
          <w:color w:val="000000" w:themeColor="text1"/>
          <w14:textFill>
            <w14:solidFill>
              <w14:schemeClr w14:val="tx1"/>
            </w14:solidFill>
          </w14:textFill>
        </w:rPr>
        <w:t>年版的</w:t>
      </w:r>
      <w:r>
        <w:rPr>
          <w:rFonts w:hint="eastAsia"/>
          <w:color w:val="000000" w:themeColor="text1"/>
          <w:lang w:val="en-US" w:eastAsia="zh-CN"/>
          <w14:textFill>
            <w14:solidFill>
              <w14:schemeClr w14:val="tx1"/>
            </w14:solidFill>
          </w14:textFill>
        </w:rPr>
        <w:t>2.4</w:t>
      </w:r>
      <w:r>
        <w:rPr>
          <w:rFonts w:hint="eastAsia" w:hAnsi="宋体" w:cs="宋体"/>
          <w:color w:val="000000" w:themeColor="text1"/>
          <w14:textFill>
            <w14:solidFill>
              <w14:schemeClr w14:val="tx1"/>
            </w14:solidFill>
          </w14:textFill>
        </w:rPr>
        <w:t>）；</w:t>
      </w:r>
    </w:p>
    <w:p>
      <w:pPr>
        <w:pStyle w:val="24"/>
        <w:ind w:left="840" w:leftChars="200" w:hanging="420" w:hangingChars="200"/>
        <w:rPr>
          <w:rFonts w:hAnsi="宋体" w:cs="宋体"/>
          <w:color w:val="000000" w:themeColor="text1"/>
          <w14:textFill>
            <w14:solidFill>
              <w14:schemeClr w14:val="tx1"/>
            </w14:solidFill>
          </w14:textFill>
        </w:rPr>
      </w:pPr>
      <w:bookmarkStart w:id="18" w:name="_Hlk34209353"/>
      <w:r>
        <w:rPr>
          <w:rFonts w:hint="eastAsia" w:hAnsi="宋体" w:cs="宋体"/>
          <w:color w:val="000000" w:themeColor="text1"/>
          <w14:textFill>
            <w14:solidFill>
              <w14:schemeClr w14:val="tx1"/>
            </w14:solidFill>
          </w14:textFill>
        </w:rPr>
        <w:t>——增加了混合动力和</w:t>
      </w:r>
      <w:r>
        <w:rPr>
          <w:rFonts w:hint="eastAsia" w:hAnsi="宋体" w:cs="宋体"/>
          <w:color w:val="000000" w:themeColor="text1"/>
          <w:lang w:val="en-US" w:eastAsia="zh-CN"/>
          <w14:textFill>
            <w14:solidFill>
              <w14:schemeClr w14:val="tx1"/>
            </w14:solidFill>
          </w14:textFill>
        </w:rPr>
        <w:t>纯电动</w:t>
      </w:r>
      <w:r>
        <w:rPr>
          <w:rFonts w:hint="eastAsia" w:hAnsi="宋体" w:cs="宋体"/>
          <w:color w:val="000000" w:themeColor="text1"/>
          <w14:textFill>
            <w14:solidFill>
              <w14:schemeClr w14:val="tx1"/>
            </w14:solidFill>
          </w14:textFill>
        </w:rPr>
        <w:t>车辆的相关技术要求（</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4.4）；</w:t>
      </w:r>
      <w:r>
        <w:rPr>
          <w:rFonts w:hAnsi="宋体" w:cs="宋体"/>
          <w:color w:val="000000" w:themeColor="text1"/>
          <w14:textFill>
            <w14:solidFill>
              <w14:schemeClr w14:val="tx1"/>
            </w14:solidFill>
          </w14:textFill>
        </w:rPr>
        <w:t xml:space="preserve"> </w:t>
      </w:r>
    </w:p>
    <w:p>
      <w:pPr>
        <w:pStyle w:val="24"/>
        <w:ind w:left="840" w:leftChars="200" w:hanging="420" w:hanging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——增加了前后端保护装置及其所覆盖结构件的技术要求（</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4.7）；</w:t>
      </w:r>
    </w:p>
    <w:p>
      <w:pPr>
        <w:pStyle w:val="24"/>
        <w:ind w:left="840" w:leftChars="200" w:hanging="420" w:hanging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——增加了前后端保护装置上的各类传感器和其他功能件的技术要求（</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4.8）；</w:t>
      </w:r>
    </w:p>
    <w:p>
      <w:pPr>
        <w:pStyle w:val="24"/>
        <w:ind w:left="840" w:leftChars="200" w:hanging="420" w:hanging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highlight w:val="none"/>
          <w14:textFill>
            <w14:solidFill>
              <w14:schemeClr w14:val="tx1"/>
            </w14:solidFill>
          </w14:textFill>
        </w:rPr>
        <w:t>增加了</w:t>
      </w:r>
      <w:r>
        <w:rPr>
          <w:rFonts w:hint="eastAsia" w:hAnsi="宋体" w:cs="宋体"/>
          <w:color w:val="000000" w:themeColor="text1"/>
          <w:highlight w:val="none"/>
          <w:lang w:val="en-US" w:eastAsia="zh-CN"/>
          <w14:textFill>
            <w14:solidFill>
              <w14:schemeClr w14:val="tx1"/>
            </w14:solidFill>
          </w14:textFill>
        </w:rPr>
        <w:t>试验车</w:t>
      </w:r>
      <w:r>
        <w:rPr>
          <w:rFonts w:hint="eastAsia" w:hAnsi="宋体" w:cs="宋体"/>
          <w:color w:val="000000" w:themeColor="text1"/>
          <w:highlight w:val="none"/>
          <w:lang w:val="en-US" w:eastAsia="zh-CN"/>
          <w14:textFill>
            <w14:solidFill>
              <w14:schemeClr w14:val="tx1"/>
            </w14:solidFill>
          </w14:textFill>
        </w:rPr>
        <w:t>加载</w:t>
      </w:r>
      <w:r>
        <w:rPr>
          <w:rFonts w:hint="eastAsia" w:hAnsi="宋体" w:cs="宋体"/>
          <w:color w:val="000000" w:themeColor="text1"/>
          <w:highlight w:val="none"/>
          <w:lang w:val="en-US" w:eastAsia="zh-CN"/>
          <w14:textFill>
            <w14:solidFill>
              <w14:schemeClr w14:val="tx1"/>
            </w14:solidFill>
          </w14:textFill>
        </w:rPr>
        <w:t>质量的</w:t>
      </w:r>
      <w:r>
        <w:rPr>
          <w:rFonts w:hint="eastAsia" w:hAnsi="宋体" w:cs="宋体"/>
          <w:color w:val="000000" w:themeColor="text1"/>
          <w:highlight w:val="none"/>
          <w:lang w:val="en-US" w:eastAsia="zh-CN"/>
          <w14:textFill>
            <w14:solidFill>
              <w14:schemeClr w14:val="tx1"/>
            </w14:solidFill>
          </w14:textFill>
        </w:rPr>
        <w:t>试验要求</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见</w:t>
      </w:r>
      <w:r>
        <w:rPr>
          <w:rFonts w:hint="eastAsia" w:hAnsi="宋体" w:cs="宋体"/>
          <w:color w:val="000000" w:themeColor="text1"/>
          <w:highlight w:val="none"/>
          <w:lang w:val="en-US" w:eastAsia="zh-CN"/>
          <w14:textFill>
            <w14:solidFill>
              <w14:schemeClr w14:val="tx1"/>
            </w14:solidFill>
          </w14:textFill>
        </w:rPr>
        <w:t>5</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2.6</w:t>
      </w:r>
      <w:r>
        <w:rPr>
          <w:rFonts w:hint="eastAsia" w:hAnsi="宋体" w:cs="宋体"/>
          <w:color w:val="000000" w:themeColor="text1"/>
          <w:highlight w:val="none"/>
          <w14:textFill>
            <w14:solidFill>
              <w14:schemeClr w14:val="tx1"/>
            </w14:solidFill>
          </w14:textFill>
        </w:rPr>
        <w:t>）；</w:t>
      </w:r>
    </w:p>
    <w:p>
      <w:pPr>
        <w:pStyle w:val="24"/>
        <w:ind w:left="840" w:leftChars="200" w:hanging="420" w:hanging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更改</w:t>
      </w:r>
      <w:r>
        <w:rPr>
          <w:rFonts w:hint="eastAsia" w:hAnsi="宋体" w:cs="宋体"/>
          <w:color w:val="000000" w:themeColor="text1"/>
          <w:highlight w:val="none"/>
          <w14:textFill>
            <w14:solidFill>
              <w14:schemeClr w14:val="tx1"/>
            </w14:solidFill>
          </w14:textFill>
        </w:rPr>
        <w:t>了基准高度（</w:t>
      </w:r>
      <w:r>
        <w:rPr>
          <w:rFonts w:hint="eastAsia" w:hAnsi="宋体" w:cs="宋体"/>
          <w:color w:val="000000" w:themeColor="text1"/>
          <w:highlight w:val="none"/>
          <w:lang w:val="en-US" w:eastAsia="zh-CN"/>
          <w14:textFill>
            <w14:solidFill>
              <w14:schemeClr w14:val="tx1"/>
            </w14:solidFill>
          </w14:textFill>
        </w:rPr>
        <w:t>见</w:t>
      </w:r>
      <w:r>
        <w:rPr>
          <w:rFonts w:hint="eastAsia" w:hAnsi="宋体" w:cs="宋体"/>
          <w:color w:val="000000" w:themeColor="text1"/>
          <w:highlight w:val="none"/>
          <w14:textFill>
            <w14:solidFill>
              <w14:schemeClr w14:val="tx1"/>
            </w14:solidFill>
          </w14:textFill>
        </w:rPr>
        <w:t>5.3.</w:t>
      </w:r>
      <w:r>
        <w:rPr>
          <w:rFonts w:hint="eastAsia" w:hAnsi="宋体" w:cs="宋体"/>
          <w:color w:val="000000" w:themeColor="text1"/>
          <w:highlight w:val="none"/>
          <w:lang w:val="en-US" w:eastAsia="zh-CN"/>
          <w14:textFill>
            <w14:solidFill>
              <w14:schemeClr w14:val="tx1"/>
            </w14:solidFill>
          </w14:textFill>
        </w:rPr>
        <w:t>1.</w:t>
      </w:r>
      <w:r>
        <w:rPr>
          <w:rFonts w:hint="eastAsia" w:hAnsi="宋体" w:cs="宋体"/>
          <w:color w:val="000000" w:themeColor="text1"/>
          <w:highlight w:val="none"/>
          <w14:textFill>
            <w14:solidFill>
              <w14:schemeClr w14:val="tx1"/>
            </w14:solidFill>
          </w14:textFill>
        </w:rPr>
        <w:t>5</w:t>
      </w:r>
      <w:r>
        <w:rPr>
          <w:rFonts w:hint="eastAsia"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1998</w:t>
      </w:r>
      <w:r>
        <w:rPr>
          <w:rFonts w:hint="eastAsia"/>
          <w:color w:val="000000" w:themeColor="text1"/>
          <w:highlight w:val="none"/>
          <w14:textFill>
            <w14:solidFill>
              <w14:schemeClr w14:val="tx1"/>
            </w14:solidFill>
          </w14:textFill>
        </w:rPr>
        <w:t>年</w:t>
      </w:r>
      <w:r>
        <w:rPr>
          <w:rFonts w:hint="eastAsia"/>
          <w:color w:val="000000" w:themeColor="text1"/>
          <w14:textFill>
            <w14:solidFill>
              <w14:schemeClr w14:val="tx1"/>
            </w14:solidFill>
          </w14:textFill>
        </w:rPr>
        <w:t>版的</w:t>
      </w:r>
      <w:r>
        <w:rPr>
          <w:rFonts w:hint="eastAsia"/>
          <w:color w:val="000000" w:themeColor="text1"/>
          <w:lang w:val="en-US" w:eastAsia="zh-CN"/>
          <w14:textFill>
            <w14:solidFill>
              <w14:schemeClr w14:val="tx1"/>
            </w14:solidFill>
          </w14:textFill>
        </w:rPr>
        <w:t>4.3.6</w:t>
      </w:r>
      <w:r>
        <w:rPr>
          <w:rFonts w:hint="eastAsia" w:hAnsi="宋体" w:cs="宋体"/>
          <w:color w:val="000000" w:themeColor="text1"/>
          <w14:textFill>
            <w14:solidFill>
              <w14:schemeClr w14:val="tx1"/>
            </w14:solidFill>
          </w14:textFill>
        </w:rPr>
        <w:t>）；</w:t>
      </w:r>
    </w:p>
    <w:p>
      <w:pPr>
        <w:pStyle w:val="24"/>
        <w:ind w:left="840" w:leftChars="200" w:hanging="420" w:hangingChars="200"/>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——增加了同一型式判定（</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第</w:t>
      </w:r>
      <w:r>
        <w:rPr>
          <w:rFonts w:hint="eastAsia" w:hAnsi="宋体" w:cs="宋体"/>
          <w:color w:val="000000" w:themeColor="text1"/>
          <w:lang w:val="en-US" w:eastAsia="zh-CN"/>
          <w14:textFill>
            <w14:solidFill>
              <w14:schemeClr w14:val="tx1"/>
            </w14:solidFill>
          </w14:textFill>
        </w:rPr>
        <w:t>6</w:t>
      </w:r>
      <w:r>
        <w:rPr>
          <w:rFonts w:hint="eastAsia" w:hAnsi="宋体" w:cs="宋体"/>
          <w:color w:val="000000" w:themeColor="text1"/>
          <w14:textFill>
            <w14:solidFill>
              <w14:schemeClr w14:val="tx1"/>
            </w14:solidFill>
          </w14:textFill>
        </w:rPr>
        <w:t>章）；</w:t>
      </w:r>
    </w:p>
    <w:p>
      <w:pPr>
        <w:pStyle w:val="24"/>
        <w:ind w:left="840" w:leftChars="200" w:hanging="420" w:hanging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——增加了</w:t>
      </w:r>
      <w:r>
        <w:rPr>
          <w:rFonts w:hint="eastAsia" w:hAnsi="宋体" w:cs="宋体"/>
          <w:color w:val="000000" w:themeColor="text1"/>
          <w:lang w:val="en-US" w:eastAsia="zh-CN"/>
          <w14:textFill>
            <w14:solidFill>
              <w14:schemeClr w14:val="tx1"/>
            </w14:solidFill>
          </w14:textFill>
        </w:rPr>
        <w:t>标准实施过渡期</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见</w:t>
      </w:r>
      <w:r>
        <w:rPr>
          <w:rFonts w:hint="eastAsia" w:hAnsi="宋体" w:cs="宋体"/>
          <w:color w:val="000000" w:themeColor="text1"/>
          <w14:textFill>
            <w14:solidFill>
              <w14:schemeClr w14:val="tx1"/>
            </w14:solidFill>
          </w14:textFill>
        </w:rPr>
        <w:t>第</w:t>
      </w:r>
      <w:r>
        <w:rPr>
          <w:rFonts w:hint="eastAsia" w:hAnsi="宋体" w:cs="宋体"/>
          <w:color w:val="000000" w:themeColor="text1"/>
          <w:lang w:val="en-US" w:eastAsia="zh-CN"/>
          <w14:textFill>
            <w14:solidFill>
              <w14:schemeClr w14:val="tx1"/>
            </w14:solidFill>
          </w14:textFill>
        </w:rPr>
        <w:t>7</w:t>
      </w:r>
      <w:r>
        <w:rPr>
          <w:rFonts w:hint="eastAsia" w:hAnsi="宋体" w:cs="宋体"/>
          <w:color w:val="000000" w:themeColor="text1"/>
          <w14:textFill>
            <w14:solidFill>
              <w14:schemeClr w14:val="tx1"/>
            </w14:solidFill>
          </w14:textFill>
        </w:rPr>
        <w:t>章）。</w:t>
      </w:r>
    </w:p>
    <w:bookmarkEnd w:id="18"/>
    <w:p>
      <w:pPr>
        <w:pStyle w:val="24"/>
        <w:rPr>
          <w:rFonts w:hAnsi="宋体" w:cs="宋体"/>
        </w:rPr>
      </w:pPr>
      <w:r>
        <w:rPr>
          <w:rFonts w:hint="eastAsia" w:hAnsi="宋体" w:cs="宋体"/>
        </w:rPr>
        <w:t>本</w:t>
      </w:r>
      <w:r>
        <w:rPr>
          <w:rFonts w:hint="eastAsia" w:hAnsi="宋体" w:cs="宋体"/>
          <w:lang w:val="en-US" w:eastAsia="zh-CN"/>
        </w:rPr>
        <w:t>文件</w:t>
      </w:r>
      <w:r>
        <w:rPr>
          <w:rFonts w:hint="eastAsia" w:hAnsi="宋体" w:cs="宋体"/>
        </w:rPr>
        <w:t>由中华人民共和国工业和信息化部提出并归口。</w:t>
      </w:r>
    </w:p>
    <w:p>
      <w:pPr>
        <w:pStyle w:val="24"/>
        <w:rPr>
          <w:rFonts w:hAnsi="宋体" w:cs="宋体"/>
        </w:rPr>
      </w:pPr>
      <w:r>
        <w:rPr>
          <w:rFonts w:hAnsi="宋体" w:cs="宋体"/>
        </w:rPr>
        <w:t>本</w:t>
      </w:r>
      <w:r>
        <w:rPr>
          <w:rFonts w:hint="eastAsia" w:hAnsi="宋体" w:cs="宋体"/>
          <w:lang w:val="en-US" w:eastAsia="zh-CN"/>
        </w:rPr>
        <w:t>文件</w:t>
      </w:r>
      <w:r>
        <w:rPr>
          <w:rFonts w:hAnsi="宋体" w:cs="宋体"/>
        </w:rPr>
        <w:t>所代替标准的历次版本发布情况为</w:t>
      </w:r>
      <w:r>
        <w:rPr>
          <w:rFonts w:hint="eastAsia" w:hAnsi="宋体" w:cs="宋体"/>
        </w:rPr>
        <w:t>：</w:t>
      </w:r>
    </w:p>
    <w:p>
      <w:pPr>
        <w:pStyle w:val="24"/>
        <w:rPr>
          <w:rFonts w:hAnsi="宋体"/>
        </w:rPr>
      </w:pPr>
      <w:r>
        <w:rPr>
          <w:rFonts w:hint="eastAsia" w:hAnsi="宋体" w:cs="宋体"/>
        </w:rPr>
        <w:t>——</w:t>
      </w:r>
      <w:r>
        <w:rPr>
          <w:rFonts w:hint="eastAsia"/>
        </w:rPr>
        <w:t>本文件于</w:t>
      </w:r>
      <w:r>
        <w:rPr>
          <w:rFonts w:hint="eastAsia"/>
          <w:lang w:val="en-US" w:eastAsia="zh-CN"/>
        </w:rPr>
        <w:t>1998</w:t>
      </w:r>
      <w:r>
        <w:rPr>
          <w:rFonts w:hint="eastAsia"/>
        </w:rPr>
        <w:t>年首次发布，本次为第一次修订</w:t>
      </w:r>
      <w:r>
        <w:rPr>
          <w:rFonts w:hint="eastAsia" w:hAnsi="宋体" w:cs="宋体"/>
        </w:rPr>
        <w:t>。</w:t>
      </w:r>
    </w:p>
    <w:p>
      <w:pPr>
        <w:pStyle w:val="122"/>
        <w:outlineLvl w:val="9"/>
        <w:rPr>
          <w:rFonts w:ascii="宋体" w:hAnsi="宋体" w:eastAsia="宋体"/>
        </w:rPr>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pPr>
        <w:pStyle w:val="75"/>
        <w:rPr>
          <w:rFonts w:hAnsi="黑体"/>
        </w:rPr>
      </w:pPr>
      <w:bookmarkStart w:id="19" w:name="_Toc8906465"/>
      <w:bookmarkStart w:id="20" w:name="_Toc11545"/>
      <w:bookmarkStart w:id="21" w:name="_Toc27370"/>
      <w:r>
        <w:rPr>
          <w:rFonts w:hint="eastAsia" w:hAnsi="黑体" w:cs="黑体"/>
          <w:szCs w:val="32"/>
        </w:rPr>
        <w:t>乘用车前后端保护装置</w:t>
      </w:r>
      <w:bookmarkEnd w:id="19"/>
      <w:bookmarkEnd w:id="20"/>
      <w:bookmarkEnd w:id="21"/>
    </w:p>
    <w:p>
      <w:pPr>
        <w:pStyle w:val="84"/>
        <w:spacing w:before="312" w:after="312"/>
        <w:outlineLvl w:val="0"/>
        <w:rPr>
          <w:rFonts w:hAnsi="黑体"/>
        </w:rPr>
      </w:pPr>
      <w:bookmarkStart w:id="22" w:name="_Toc21454"/>
      <w:bookmarkStart w:id="23" w:name="_Toc8906466"/>
      <w:bookmarkStart w:id="24" w:name="_Toc24254"/>
      <w:r>
        <w:rPr>
          <w:rFonts w:hint="eastAsia" w:hAnsi="黑体"/>
        </w:rPr>
        <w:t>范围</w:t>
      </w:r>
      <w:bookmarkEnd w:id="22"/>
      <w:bookmarkEnd w:id="23"/>
      <w:bookmarkEnd w:id="24"/>
    </w:p>
    <w:p>
      <w:pPr>
        <w:pStyle w:val="24"/>
        <w:rPr>
          <w:rFonts w:hAnsi="宋体"/>
        </w:rPr>
      </w:pPr>
      <w:r>
        <w:rPr>
          <w:rFonts w:hAnsi="宋体"/>
        </w:rPr>
        <w:t>本</w:t>
      </w:r>
      <w:r>
        <w:rPr>
          <w:rFonts w:hint="eastAsia" w:hAnsi="宋体"/>
        </w:rPr>
        <w:t>文件</w:t>
      </w:r>
      <w:r>
        <w:rPr>
          <w:rFonts w:hAnsi="宋体"/>
        </w:rPr>
        <w:t>规定了</w:t>
      </w:r>
      <w:r>
        <w:rPr>
          <w:rFonts w:hint="eastAsia" w:hAnsi="宋体"/>
        </w:rPr>
        <w:t>乘用车前后端保护装置的技术要求及试验方法</w:t>
      </w:r>
      <w:r>
        <w:rPr>
          <w:rFonts w:hAnsi="宋体"/>
        </w:rPr>
        <w:t>。</w:t>
      </w:r>
    </w:p>
    <w:p>
      <w:pPr>
        <w:pStyle w:val="24"/>
        <w:rPr>
          <w:rFonts w:hAnsi="宋体"/>
        </w:rPr>
      </w:pPr>
      <w:r>
        <w:rPr>
          <w:rFonts w:hint="eastAsia" w:hAnsi="宋体"/>
        </w:rPr>
        <w:t>本文件适用于M</w:t>
      </w:r>
      <w:r>
        <w:rPr>
          <w:rFonts w:hint="eastAsia" w:hAnsi="宋体"/>
          <w:vertAlign w:val="subscript"/>
        </w:rPr>
        <w:t>1</w:t>
      </w:r>
      <w:r>
        <w:rPr>
          <w:rFonts w:hint="eastAsia" w:hAnsi="宋体"/>
        </w:rPr>
        <w:t>类汽车</w:t>
      </w:r>
      <w:r>
        <w:rPr>
          <w:rFonts w:hAnsi="宋体"/>
        </w:rPr>
        <w:t>。</w:t>
      </w:r>
    </w:p>
    <w:p>
      <w:pPr>
        <w:pStyle w:val="84"/>
        <w:spacing w:before="312" w:after="312"/>
        <w:outlineLvl w:val="0"/>
        <w:rPr>
          <w:rFonts w:hAnsi="黑体"/>
        </w:rPr>
      </w:pPr>
      <w:bookmarkStart w:id="25" w:name="_Toc8906467"/>
      <w:bookmarkStart w:id="26" w:name="_Toc3764"/>
      <w:bookmarkStart w:id="27" w:name="_Toc15119"/>
      <w:r>
        <w:rPr>
          <w:rFonts w:hint="eastAsia" w:hAnsi="黑体"/>
        </w:rPr>
        <w:t>规范性引用文件</w:t>
      </w:r>
      <w:bookmarkEnd w:id="25"/>
      <w:bookmarkEnd w:id="26"/>
      <w:bookmarkEnd w:id="27"/>
    </w:p>
    <w:p>
      <w:pPr>
        <w:pStyle w:val="157"/>
        <w:ind w:firstLine="420"/>
        <w:rPr>
          <w:rFonts w:hAnsi="宋体"/>
        </w:rPr>
      </w:pPr>
      <w:sdt>
        <w:sdtPr>
          <w:rPr>
            <w:rFonts w:hint="eastAsia"/>
          </w:rPr>
          <w:id w:val="715848253"/>
          <w:placeholder>
            <w:docPart w:val="{feb9a272-0f39-4939-bbe7-17e141db6d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24"/>
        <w:rPr>
          <w:rStyle w:val="40"/>
          <w:rFonts w:ascii="Times New Roman"/>
          <w:kern w:val="2"/>
        </w:rPr>
      </w:pPr>
      <w:r>
        <w:rPr>
          <w:rFonts w:hint="eastAsia" w:hAnsi="宋体"/>
          <w:color w:val="000000"/>
        </w:rPr>
        <w:t>G</w:t>
      </w:r>
      <w:r>
        <w:rPr>
          <w:rFonts w:hAnsi="宋体"/>
          <w:color w:val="000000"/>
        </w:rPr>
        <w:t xml:space="preserve">B 4785 </w:t>
      </w:r>
      <w:r>
        <w:rPr>
          <w:rFonts w:hint="eastAsia" w:hAnsi="宋体"/>
          <w:color w:val="000000"/>
        </w:rPr>
        <w:t>汽车及挂车外部照明和光信号装置的安装规定</w:t>
      </w:r>
    </w:p>
    <w:p>
      <w:pPr>
        <w:pStyle w:val="84"/>
        <w:spacing w:before="312" w:after="312"/>
        <w:outlineLvl w:val="0"/>
        <w:rPr>
          <w:rFonts w:hAnsi="黑体"/>
        </w:rPr>
      </w:pPr>
      <w:bookmarkStart w:id="28" w:name="_Toc18846"/>
      <w:bookmarkStart w:id="29" w:name="_Toc8906468"/>
      <w:bookmarkStart w:id="30" w:name="_Toc20004"/>
      <w:r>
        <w:rPr>
          <w:rFonts w:hint="eastAsia" w:hAnsi="黑体"/>
        </w:rPr>
        <w:t>术语和定义</w:t>
      </w:r>
      <w:bookmarkEnd w:id="28"/>
      <w:bookmarkEnd w:id="29"/>
      <w:bookmarkEnd w:id="30"/>
    </w:p>
    <w:p>
      <w:pPr>
        <w:pStyle w:val="24"/>
        <w:rPr>
          <w:rFonts w:ascii="黑体" w:hAnsi="黑体" w:eastAsia="黑体"/>
        </w:rPr>
      </w:pPr>
      <w:r>
        <w:rPr>
          <w:rFonts w:hint="eastAsia" w:ascii="黑体" w:hAnsi="黑体" w:eastAsia="黑体"/>
        </w:rPr>
        <w:t>下列术语和定义适用于本文件。</w:t>
      </w:r>
    </w:p>
    <w:p>
      <w:pPr>
        <w:pStyle w:val="51"/>
        <w:numPr>
          <w:ilvl w:val="0"/>
          <w:numId w:val="18"/>
        </w:numPr>
        <w:spacing w:before="156" w:after="156"/>
        <w:ind w:left="0" w:firstLine="0"/>
        <w:rPr>
          <w:rFonts w:hAnsi="黑体"/>
        </w:rPr>
      </w:pPr>
      <w:bookmarkStart w:id="31" w:name="_Toc8906469"/>
      <w:bookmarkEnd w:id="31"/>
    </w:p>
    <w:p>
      <w:pPr>
        <w:pStyle w:val="51"/>
        <w:numPr>
          <w:ilvl w:val="0"/>
          <w:numId w:val="0"/>
        </w:numPr>
        <w:spacing w:before="156" w:after="156"/>
        <w:ind w:firstLine="420" w:firstLineChars="200"/>
        <w:rPr>
          <w:rFonts w:hAnsi="黑体"/>
          <w:color w:val="auto"/>
        </w:rPr>
      </w:pPr>
      <w:bookmarkStart w:id="32" w:name="_Hlk33789907"/>
      <w:bookmarkStart w:id="33" w:name="_Toc8906470"/>
      <w:r>
        <w:rPr>
          <w:rFonts w:hint="eastAsia" w:hAnsi="黑体"/>
          <w:bCs/>
          <w:color w:val="auto"/>
        </w:rPr>
        <w:t>保护装置</w:t>
      </w:r>
      <w:bookmarkEnd w:id="32"/>
      <w:r>
        <w:rPr>
          <w:rFonts w:hint="eastAsia" w:hAnsi="黑体"/>
          <w:bCs/>
          <w:color w:val="auto"/>
        </w:rPr>
        <w:t xml:space="preserve"> </w:t>
      </w:r>
      <w:r>
        <w:rPr>
          <w:rFonts w:hAnsi="黑体"/>
          <w:bCs/>
          <w:color w:val="auto"/>
        </w:rPr>
        <w:t>p</w:t>
      </w:r>
      <w:r>
        <w:rPr>
          <w:rFonts w:hint="eastAsia" w:hAnsi="黑体"/>
          <w:bCs/>
          <w:color w:val="auto"/>
        </w:rPr>
        <w:t>rotective</w:t>
      </w:r>
      <w:r>
        <w:rPr>
          <w:rFonts w:hAnsi="黑体"/>
          <w:bCs/>
          <w:color w:val="auto"/>
        </w:rPr>
        <w:t xml:space="preserve"> </w:t>
      </w:r>
      <w:r>
        <w:rPr>
          <w:rFonts w:hint="eastAsia" w:hAnsi="黑体"/>
          <w:bCs/>
          <w:color w:val="auto"/>
        </w:rPr>
        <w:t>device</w:t>
      </w:r>
      <w:bookmarkEnd w:id="33"/>
    </w:p>
    <w:p>
      <w:pPr>
        <w:pStyle w:val="24"/>
        <w:rPr>
          <w:rFonts w:hint="eastAsia" w:hAnsi="宋体" w:eastAsia="宋体"/>
          <w:color w:val="auto"/>
          <w:lang w:val="en-US" w:eastAsia="zh-CN"/>
        </w:rPr>
      </w:pPr>
      <w:r>
        <w:rPr>
          <w:rFonts w:hint="eastAsia" w:hAnsi="宋体"/>
          <w:color w:val="auto"/>
        </w:rPr>
        <w:t>位于车辆前端和后端</w:t>
      </w:r>
      <w:r>
        <w:rPr>
          <w:rFonts w:hint="eastAsia" w:hAnsi="宋体"/>
          <w:color w:val="auto"/>
          <w:lang w:val="en-US" w:eastAsia="zh-CN"/>
        </w:rPr>
        <w:t>的用于</w:t>
      </w:r>
      <w:r>
        <w:rPr>
          <w:rFonts w:hint="eastAsia" w:hAnsi="宋体"/>
          <w:color w:val="auto"/>
        </w:rPr>
        <w:t>保护车辆在发生低速碰撞时不会造成严重损伤的</w:t>
      </w:r>
      <w:r>
        <w:rPr>
          <w:rFonts w:hint="eastAsia" w:hAnsi="宋体"/>
          <w:color w:val="auto"/>
          <w:lang w:val="en-US" w:eastAsia="zh-CN"/>
        </w:rPr>
        <w:t>装置。</w:t>
      </w:r>
    </w:p>
    <w:p>
      <w:pPr>
        <w:pStyle w:val="24"/>
        <w:rPr>
          <w:rFonts w:hAnsi="黑体"/>
          <w:bCs/>
        </w:rPr>
      </w:pPr>
      <w:r>
        <w:rPr>
          <w:rFonts w:hint="eastAsia" w:ascii="黑体" w:hAnsi="黑体" w:eastAsia="黑体" w:cs="黑体"/>
          <w:b w:val="0"/>
          <w:bCs w:val="0"/>
          <w:color w:val="auto"/>
          <w:sz w:val="18"/>
          <w:szCs w:val="16"/>
          <w:lang w:val="en-US" w:eastAsia="zh-CN"/>
        </w:rPr>
        <w:t>注：</w:t>
      </w:r>
      <w:r>
        <w:rPr>
          <w:rFonts w:hint="eastAsia" w:asciiTheme="minorEastAsia" w:hAnsiTheme="minorEastAsia" w:eastAsiaTheme="minorEastAsia" w:cstheme="minorEastAsia"/>
          <w:color w:val="auto"/>
          <w:sz w:val="18"/>
          <w:szCs w:val="18"/>
        </w:rPr>
        <w:t>包括</w:t>
      </w:r>
      <w:bookmarkStart w:id="34" w:name="_Hlk33789774"/>
      <w:r>
        <w:rPr>
          <w:rFonts w:hint="eastAsia" w:asciiTheme="minorEastAsia" w:hAnsiTheme="minorEastAsia" w:eastAsiaTheme="minorEastAsia" w:cstheme="minorEastAsia"/>
          <w:color w:val="auto"/>
          <w:sz w:val="18"/>
          <w:szCs w:val="18"/>
        </w:rPr>
        <w:t>保险杠罩</w:t>
      </w:r>
      <w:bookmarkEnd w:id="34"/>
      <w:r>
        <w:rPr>
          <w:rFonts w:hint="eastAsia" w:asciiTheme="minorEastAsia" w:hAnsiTheme="minorEastAsia" w:eastAsiaTheme="minorEastAsia" w:cstheme="minorEastAsia"/>
          <w:color w:val="auto"/>
          <w:sz w:val="18"/>
          <w:szCs w:val="18"/>
        </w:rPr>
        <w:t>及其固定件、泡沫件、横梁及其连接件、尾部端板、纵梁及吸能部件以及安装在保险杠罩上的其他组件。</w:t>
      </w:r>
    </w:p>
    <w:p>
      <w:pPr>
        <w:pStyle w:val="51"/>
        <w:numPr>
          <w:ilvl w:val="0"/>
          <w:numId w:val="18"/>
        </w:numPr>
        <w:spacing w:before="156" w:after="156"/>
        <w:ind w:left="0" w:firstLine="0" w:firstLineChars="0"/>
        <w:rPr>
          <w:rFonts w:hAnsi="黑体"/>
          <w:bCs/>
        </w:rPr>
      </w:pPr>
    </w:p>
    <w:p>
      <w:pPr>
        <w:pStyle w:val="51"/>
        <w:numPr>
          <w:ilvl w:val="0"/>
          <w:numId w:val="0"/>
        </w:numPr>
        <w:spacing w:before="156" w:after="156"/>
        <w:ind w:firstLine="420" w:firstLineChars="200"/>
        <w:rPr>
          <w:rFonts w:hint="eastAsia" w:hAnsi="黑体"/>
          <w:bCs/>
          <w:color w:val="auto"/>
        </w:rPr>
      </w:pPr>
      <w:r>
        <w:rPr>
          <w:rFonts w:hint="default" w:hAnsi="黑体"/>
          <w:bCs/>
          <w:color w:val="auto"/>
        </w:rPr>
        <w:t xml:space="preserve">基准线 </w:t>
      </w:r>
      <w:r>
        <w:rPr>
          <w:rFonts w:hint="eastAsia" w:hAnsi="黑体"/>
          <w:bCs/>
          <w:color w:val="auto"/>
        </w:rPr>
        <w:t>r</w:t>
      </w:r>
      <w:r>
        <w:rPr>
          <w:rFonts w:hint="default" w:hAnsi="黑体"/>
          <w:bCs/>
          <w:color w:val="auto"/>
        </w:rPr>
        <w:t>eferen</w:t>
      </w:r>
      <w:r>
        <w:rPr>
          <w:rFonts w:hint="eastAsia" w:hAnsi="黑体"/>
          <w:bCs/>
          <w:color w:val="auto"/>
        </w:rPr>
        <w:t>ce line</w:t>
      </w:r>
    </w:p>
    <w:p>
      <w:pPr>
        <w:pStyle w:val="24"/>
        <w:rPr>
          <w:rFonts w:hAnsi="宋体"/>
        </w:rPr>
      </w:pPr>
      <w:r>
        <w:rPr>
          <w:rFonts w:hint="eastAsia" w:hAnsi="宋体"/>
        </w:rPr>
        <w:t>在碰撞器的A平面（见图</w:t>
      </w:r>
      <w:r>
        <w:rPr>
          <w:rFonts w:hAnsi="宋体"/>
        </w:rPr>
        <w:t>1</w:t>
      </w:r>
      <w:r>
        <w:rPr>
          <w:rFonts w:hint="eastAsia" w:hAnsi="宋体"/>
        </w:rPr>
        <w:t>）与水平地面垂直时，撞击头对称水平面与撞击头本身轮廓的交线。</w:t>
      </w:r>
    </w:p>
    <w:p>
      <w:pPr>
        <w:rPr>
          <w:rFonts w:hint="eastAsia" w:hAnsi="宋体"/>
          <w:sz w:val="18"/>
          <w:szCs w:val="16"/>
          <w:lang w:val="en-US" w:eastAsia="zh-CN"/>
        </w:rPr>
      </w:pPr>
      <w:r>
        <w:rPr>
          <w:rFonts w:hint="eastAsia" w:hAnsi="宋体"/>
          <w:sz w:val="18"/>
          <w:szCs w:val="16"/>
          <w:lang w:val="en-US" w:eastAsia="zh-CN"/>
        </w:rPr>
        <w:br w:type="page"/>
      </w:r>
    </w:p>
    <w:p>
      <w:pPr>
        <w:pStyle w:val="24"/>
        <w:jc w:val="right"/>
        <w:rPr>
          <w:rFonts w:hint="default" w:hAnsi="宋体" w:eastAsia="宋体"/>
          <w:sz w:val="18"/>
          <w:szCs w:val="16"/>
          <w:lang w:val="en-US" w:eastAsia="zh-CN"/>
        </w:rPr>
      </w:pPr>
      <w:r>
        <w:rPr>
          <w:rFonts w:hint="eastAsia" w:hAnsi="宋体"/>
          <w:sz w:val="18"/>
          <w:szCs w:val="16"/>
          <w:lang w:val="en-US" w:eastAsia="zh-CN"/>
        </w:rPr>
        <w:t>单位：毫米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3834765" cy="3115945"/>
            <wp:effectExtent l="0" t="0" r="63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3834765" cy="3115945"/>
                    </a:xfrm>
                    <a:prstGeom prst="rect">
                      <a:avLst/>
                    </a:prstGeom>
                  </pic:spPr>
                </pic:pic>
              </a:graphicData>
            </a:graphic>
          </wp:inline>
        </w:drawing>
      </w:r>
    </w:p>
    <w:p>
      <w:pPr>
        <w:pStyle w:val="24"/>
        <w:jc w:val="center"/>
        <w:rPr>
          <w:rFonts w:hAnsi="宋体"/>
        </w:rPr>
      </w:pPr>
    </w:p>
    <w:p>
      <w:pPr>
        <w:pStyle w:val="48"/>
        <w:spacing w:before="156" w:after="156"/>
      </w:pPr>
      <w:r>
        <w:rPr>
          <w:rFonts w:hint="eastAsia"/>
        </w:rPr>
        <w:t>碰撞器</w:t>
      </w:r>
      <w:r>
        <w:rPr>
          <w:rFonts w:hint="eastAsia"/>
          <w:lang w:val="en-US" w:eastAsia="zh-CN"/>
        </w:rPr>
        <w:t>示意图</w:t>
      </w:r>
    </w:p>
    <w:p>
      <w:pPr>
        <w:pStyle w:val="51"/>
        <w:numPr>
          <w:ilvl w:val="0"/>
          <w:numId w:val="18"/>
        </w:numPr>
        <w:spacing w:before="156" w:after="156"/>
        <w:ind w:left="0" w:firstLine="0"/>
        <w:rPr>
          <w:rFonts w:hAnsi="黑体"/>
        </w:rPr>
      </w:pPr>
      <w:bookmarkStart w:id="35" w:name="_Toc8906477"/>
      <w:bookmarkEnd w:id="35"/>
    </w:p>
    <w:p>
      <w:pPr>
        <w:pStyle w:val="51"/>
        <w:numPr>
          <w:ilvl w:val="0"/>
          <w:numId w:val="0"/>
        </w:numPr>
        <w:spacing w:before="156" w:after="156"/>
        <w:ind w:firstLine="420" w:firstLineChars="200"/>
        <w:rPr>
          <w:rFonts w:hAnsi="黑体"/>
          <w:bCs/>
        </w:rPr>
      </w:pPr>
      <w:r>
        <w:rPr>
          <w:rFonts w:hint="eastAsia" w:hAnsi="黑体"/>
          <w:bCs/>
        </w:rPr>
        <w:t xml:space="preserve">基准高度 </w:t>
      </w:r>
      <w:r>
        <w:rPr>
          <w:rFonts w:hAnsi="黑体"/>
          <w:bCs/>
        </w:rPr>
        <w:t>r</w:t>
      </w:r>
      <w:r>
        <w:rPr>
          <w:rFonts w:hint="eastAsia" w:hAnsi="黑体"/>
          <w:bCs/>
        </w:rPr>
        <w:t>eference</w:t>
      </w:r>
      <w:r>
        <w:rPr>
          <w:rFonts w:hAnsi="黑体"/>
          <w:bCs/>
        </w:rPr>
        <w:t xml:space="preserve"> </w:t>
      </w:r>
      <w:r>
        <w:rPr>
          <w:rFonts w:hint="eastAsia" w:hAnsi="黑体"/>
          <w:bCs/>
        </w:rPr>
        <w:t>height</w:t>
      </w:r>
    </w:p>
    <w:p>
      <w:pPr>
        <w:pStyle w:val="24"/>
        <w:rPr>
          <w:rFonts w:hAnsi="宋体"/>
        </w:rPr>
      </w:pPr>
      <w:r>
        <w:rPr>
          <w:rFonts w:hint="eastAsia" w:hAnsi="宋体"/>
        </w:rPr>
        <w:t>过碰撞器基准线的横向水平面与水平地面的垂直距离。</w:t>
      </w:r>
    </w:p>
    <w:p>
      <w:pPr>
        <w:pStyle w:val="51"/>
        <w:numPr>
          <w:ilvl w:val="0"/>
          <w:numId w:val="0"/>
        </w:numPr>
        <w:spacing w:before="156" w:after="156"/>
        <w:rPr>
          <w:rFonts w:hint="eastAsia" w:hAnsi="黑体"/>
          <w:bCs/>
        </w:rPr>
      </w:pPr>
      <w:bookmarkStart w:id="36" w:name="_Toc8906478"/>
      <w:r>
        <w:rPr>
          <w:rFonts w:hint="eastAsia" w:hAnsi="黑体"/>
          <w:bCs/>
        </w:rPr>
        <w:t>3.</w:t>
      </w:r>
      <w:r>
        <w:rPr>
          <w:rFonts w:hint="eastAsia" w:hAnsi="黑体"/>
          <w:bCs/>
          <w:lang w:val="en-US" w:eastAsia="zh-CN"/>
        </w:rPr>
        <w:t>4</w:t>
      </w:r>
      <w:r>
        <w:rPr>
          <w:rFonts w:hint="eastAsia" w:hAnsi="黑体"/>
          <w:bCs/>
        </w:rPr>
        <w:t xml:space="preserve"> </w:t>
      </w:r>
    </w:p>
    <w:p>
      <w:pPr>
        <w:pStyle w:val="51"/>
        <w:numPr>
          <w:ilvl w:val="0"/>
          <w:numId w:val="0"/>
        </w:numPr>
        <w:spacing w:before="156" w:after="156"/>
        <w:ind w:firstLine="420" w:firstLineChars="200"/>
        <w:rPr>
          <w:rFonts w:hAnsi="黑体"/>
          <w:bCs/>
        </w:rPr>
      </w:pPr>
      <w:r>
        <w:rPr>
          <w:rFonts w:hint="eastAsia" w:hAnsi="黑体"/>
          <w:bCs/>
        </w:rPr>
        <w:t>保险杠角 corner of bumper</w:t>
      </w:r>
      <w:bookmarkEnd w:id="36"/>
    </w:p>
    <w:p>
      <w:pPr>
        <w:pStyle w:val="24"/>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车辆悬架处于制造厂规定的正常行驶状态</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碰撞器处于基准高度为450</w:t>
      </w:r>
      <w:r>
        <w:rPr>
          <w:rFonts w:hAnsi="宋体"/>
          <w:color w:val="000000" w:themeColor="text1"/>
          <w:highlight w:val="none"/>
          <w14:textFill>
            <w14:solidFill>
              <w14:schemeClr w14:val="tx1"/>
            </w14:solidFill>
          </w14:textFill>
        </w:rPr>
        <w:t xml:space="preserve"> mm</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碰撞器撞击头轮廓与车辆纵向中心垂直平面成60°角</w:t>
      </w:r>
      <w:r>
        <w:rPr>
          <w:rFonts w:hint="eastAsia" w:hAnsi="宋体"/>
          <w:color w:val="000000" w:themeColor="text1"/>
          <w:highlight w:val="none"/>
          <w:lang w:val="en-US" w:eastAsia="zh-CN"/>
          <w14:textFill>
            <w14:solidFill>
              <w14:schemeClr w14:val="tx1"/>
            </w14:solidFill>
          </w14:textFill>
        </w:rPr>
        <w:t>时，</w:t>
      </w:r>
      <w:r>
        <w:rPr>
          <w:rFonts w:hint="eastAsia" w:hAnsi="宋体"/>
          <w:color w:val="000000" w:themeColor="text1"/>
          <w:highlight w:val="none"/>
          <w14:textFill>
            <w14:solidFill>
              <w14:schemeClr w14:val="tx1"/>
            </w14:solidFill>
          </w14:textFill>
        </w:rPr>
        <w:t>碰撞器与车辆的接触点（见图2）；</w:t>
      </w:r>
    </w:p>
    <w:p>
      <w:pPr>
        <w:pStyle w:val="24"/>
        <w:rPr>
          <w:rFonts w:hint="eastAsia" w:hAnsi="宋体"/>
          <w:color w:val="FF0000"/>
          <w:sz w:val="18"/>
          <w:szCs w:val="16"/>
          <w:highlight w:val="none"/>
        </w:rPr>
      </w:pPr>
      <w:r>
        <w:rPr>
          <w:rFonts w:hint="eastAsia" w:ascii="黑体" w:hAnsi="黑体" w:eastAsia="黑体" w:cs="黑体"/>
          <w:color w:val="000000" w:themeColor="text1"/>
          <w:sz w:val="18"/>
          <w:szCs w:val="16"/>
          <w:highlight w:val="none"/>
          <w:lang w:val="en-US" w:eastAsia="zh-CN"/>
          <w14:textFill>
            <w14:solidFill>
              <w14:schemeClr w14:val="tx1"/>
            </w14:solidFill>
          </w14:textFill>
        </w:rPr>
        <w:t>注：</w:t>
      </w:r>
      <w:r>
        <w:rPr>
          <w:rFonts w:hint="eastAsia" w:hAnsi="宋体"/>
          <w:color w:val="000000" w:themeColor="text1"/>
          <w:sz w:val="18"/>
          <w:szCs w:val="16"/>
          <w:highlight w:val="none"/>
          <w14:textFill>
            <w14:solidFill>
              <w14:schemeClr w14:val="tx1"/>
            </w14:solidFill>
          </w14:textFill>
        </w:rPr>
        <w:t>若有多个接触点取与车辆纵向中心垂直平面距离最远的点作为</w:t>
      </w:r>
      <w:r>
        <w:rPr>
          <w:rFonts w:hint="eastAsia" w:hAnsi="宋体"/>
          <w:color w:val="000000" w:themeColor="text1"/>
          <w:sz w:val="18"/>
          <w:szCs w:val="16"/>
          <w:highlight w:val="none"/>
          <w:lang w:val="en-US" w:eastAsia="zh-CN"/>
          <w14:textFill>
            <w14:solidFill>
              <w14:schemeClr w14:val="tx1"/>
            </w14:solidFill>
          </w14:textFill>
        </w:rPr>
        <w:t>保险杠角</w:t>
      </w:r>
      <w:r>
        <w:rPr>
          <w:rFonts w:hint="eastAsia" w:hAnsi="宋体"/>
          <w:color w:val="000000" w:themeColor="text1"/>
          <w:sz w:val="18"/>
          <w:szCs w:val="16"/>
          <w:highlight w:val="none"/>
          <w14:textFill>
            <w14:solidFill>
              <w14:schemeClr w14:val="tx1"/>
            </w14:solidFill>
          </w14:textFill>
        </w:rPr>
        <w:t>。</w:t>
      </w:r>
      <w:r>
        <w:rPr>
          <w:rFonts w:hint="eastAsia"/>
          <w:sz w:val="18"/>
          <w:szCs w:val="16"/>
          <w:highlight w:val="none"/>
          <w:lang w:val="en-US" w:eastAsia="zh-CN"/>
        </w:rPr>
        <w:t xml:space="preserve"> </w:t>
      </w:r>
    </w:p>
    <w:p>
      <w:pPr>
        <w:pStyle w:val="24"/>
        <w:rPr>
          <w:rFonts w:hAnsi="宋体"/>
        </w:rPr>
      </w:pPr>
    </w:p>
    <w:p>
      <w:pPr>
        <w:pStyle w:val="24"/>
        <w:jc w:val="center"/>
      </w:pPr>
      <w:r>
        <w:rPr>
          <w:rFonts w:hint="eastAsia" w:hAnsi="宋体"/>
        </w:rPr>
        <w:drawing>
          <wp:inline distT="0" distB="0" distL="114300" distR="114300">
            <wp:extent cx="2528570" cy="1511935"/>
            <wp:effectExtent l="0" t="0" r="11430" b="12065"/>
            <wp:docPr id="22" name="图片 25" descr="C:\1标准工作\work test\汽车被动安全\01被动安全标准动态文件\GB 17354前后端保护\前后端标准图片\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C:\1标准工作\work test\汽车被动安全\01被动安全标准动态文件\GB 17354前后端保护\前后端标准图片\图片2.jpg图片2"/>
                    <pic:cNvPicPr>
                      <a:picLocks noChangeAspect="1"/>
                    </pic:cNvPicPr>
                  </pic:nvPicPr>
                  <pic:blipFill>
                    <a:blip r:embed="rId9"/>
                    <a:stretch>
                      <a:fillRect/>
                    </a:stretch>
                  </pic:blipFill>
                  <pic:spPr>
                    <a:xfrm>
                      <a:off x="0" y="0"/>
                      <a:ext cx="2528570" cy="1511935"/>
                    </a:xfrm>
                    <a:prstGeom prst="rect">
                      <a:avLst/>
                    </a:prstGeom>
                    <a:noFill/>
                    <a:ln>
                      <a:noFill/>
                    </a:ln>
                  </pic:spPr>
                </pic:pic>
              </a:graphicData>
            </a:graphic>
          </wp:inline>
        </w:drawing>
      </w:r>
      <w:r>
        <w:rPr>
          <w:rFonts w:hint="eastAsia" w:hAnsi="宋体"/>
        </w:rPr>
        <w:t xml:space="preserve">    </w:t>
      </w:r>
      <w:r>
        <w:drawing>
          <wp:inline distT="0" distB="0" distL="114300" distR="114300">
            <wp:extent cx="2143760" cy="1511935"/>
            <wp:effectExtent l="0" t="0" r="2540" b="12065"/>
            <wp:docPr id="4" name="Grafik 103" descr="C:\1标准工作\work test\汽车被动安全\01被动安全标准动态文件\GB 17354前后端保护\前后端标准图片\图片3.jp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3" descr="C:\1标准工作\work test\汽车被动安全\01被动安全标准动态文件\GB 17354前后端保护\前后端标准图片\图片3.jpg图片3"/>
                    <pic:cNvPicPr>
                      <a:picLocks noChangeAspect="1"/>
                    </pic:cNvPicPr>
                  </pic:nvPicPr>
                  <pic:blipFill>
                    <a:blip r:embed="rId10"/>
                    <a:stretch>
                      <a:fillRect/>
                    </a:stretch>
                  </pic:blipFill>
                  <pic:spPr>
                    <a:xfrm>
                      <a:off x="0" y="0"/>
                      <a:ext cx="2143760" cy="1511935"/>
                    </a:xfrm>
                    <a:prstGeom prst="rect">
                      <a:avLst/>
                    </a:prstGeom>
                    <a:noFill/>
                    <a:ln>
                      <a:noFill/>
                    </a:ln>
                  </pic:spPr>
                </pic:pic>
              </a:graphicData>
            </a:graphic>
          </wp:inline>
        </w:drawing>
      </w:r>
    </w:p>
    <w:p>
      <w:pPr>
        <w:pStyle w:val="24"/>
        <w:numPr>
          <w:ilvl w:val="-1"/>
          <w:numId w:val="0"/>
        </w:numPr>
        <w:ind w:firstLine="2880" w:firstLineChars="1600"/>
        <w:jc w:val="both"/>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a)侧视图                                   b)俯视图</w:t>
      </w:r>
    </w:p>
    <w:p>
      <w:pPr>
        <w:pStyle w:val="48"/>
        <w:spacing w:before="156" w:after="156"/>
      </w:pPr>
      <w:r>
        <w:rPr>
          <w:rFonts w:hint="eastAsia"/>
        </w:rPr>
        <w:t>保险杠角</w:t>
      </w:r>
      <w:r>
        <w:rPr>
          <w:rFonts w:hint="eastAsia"/>
          <w:lang w:val="en-US" w:eastAsia="zh-CN"/>
        </w:rPr>
        <w:t>示意图</w:t>
      </w:r>
    </w:p>
    <w:p>
      <w:pPr>
        <w:pStyle w:val="84"/>
        <w:spacing w:before="312" w:after="312"/>
        <w:outlineLvl w:val="0"/>
        <w:rPr>
          <w:rFonts w:hAnsi="黑体"/>
        </w:rPr>
      </w:pPr>
      <w:bookmarkStart w:id="37" w:name="_Toc8906479"/>
      <w:bookmarkStart w:id="38" w:name="_Toc11259"/>
      <w:bookmarkStart w:id="39" w:name="_Toc28283"/>
      <w:r>
        <w:rPr>
          <w:rFonts w:hint="eastAsia" w:hAnsi="黑体"/>
        </w:rPr>
        <w:t>技术要求</w:t>
      </w:r>
      <w:bookmarkEnd w:id="37"/>
      <w:bookmarkEnd w:id="38"/>
      <w:bookmarkEnd w:id="39"/>
    </w:p>
    <w:p>
      <w:pPr>
        <w:pStyle w:val="51"/>
        <w:spacing w:before="0" w:beforeLines="0" w:after="0" w:afterLines="0"/>
        <w:ind w:left="0"/>
        <w:rPr>
          <w:rFonts w:ascii="宋体" w:hAnsi="宋体" w:eastAsia="宋体"/>
          <w:highlight w:val="none"/>
        </w:rPr>
      </w:pPr>
      <w:r>
        <w:rPr>
          <w:rFonts w:hint="eastAsia" w:ascii="宋体" w:hAnsi="宋体" w:eastAsia="宋体"/>
        </w:rPr>
        <w:t>按照第5章规定的</w:t>
      </w:r>
      <w:r>
        <w:rPr>
          <w:rFonts w:hint="eastAsia" w:ascii="宋体" w:hAnsi="宋体" w:eastAsia="宋体"/>
          <w:highlight w:val="none"/>
        </w:rPr>
        <w:t>试验方法进行碰撞试验，</w:t>
      </w:r>
      <w:r>
        <w:rPr>
          <w:rFonts w:hint="eastAsia" w:ascii="宋体" w:hAnsi="宋体" w:eastAsia="宋体"/>
          <w:highlight w:val="none"/>
          <w:lang w:val="en-US" w:eastAsia="zh-CN"/>
        </w:rPr>
        <w:t>试验</w:t>
      </w:r>
      <w:r>
        <w:rPr>
          <w:rFonts w:hint="eastAsia" w:ascii="宋体" w:hAnsi="宋体" w:eastAsia="宋体"/>
          <w:highlight w:val="none"/>
        </w:rPr>
        <w:t>车辆应符合</w:t>
      </w:r>
      <w:bookmarkStart w:id="40" w:name="_Hlk34291658"/>
      <w:r>
        <w:rPr>
          <w:rFonts w:hint="eastAsia" w:ascii="宋体" w:hAnsi="宋体" w:eastAsia="宋体"/>
          <w:highlight w:val="none"/>
        </w:rPr>
        <w:t>4.2</w:t>
      </w:r>
      <w:bookmarkEnd w:id="40"/>
      <w:r>
        <w:rPr>
          <w:rFonts w:hint="eastAsia" w:ascii="宋体" w:hAnsi="宋体" w:eastAsia="宋体"/>
          <w:highlight w:val="none"/>
          <w:lang w:eastAsia="zh-CN"/>
        </w:rPr>
        <w:t>～</w:t>
      </w:r>
      <w:r>
        <w:rPr>
          <w:rFonts w:hint="eastAsia" w:ascii="宋体" w:hAnsi="宋体" w:eastAsia="宋体"/>
          <w:highlight w:val="none"/>
        </w:rPr>
        <w:t>4.8的要求。</w:t>
      </w:r>
    </w:p>
    <w:p>
      <w:pPr>
        <w:pStyle w:val="51"/>
        <w:spacing w:before="0" w:beforeLines="0" w:after="0" w:afterLines="0"/>
        <w:ind w:left="0"/>
        <w:rPr>
          <w:rFonts w:ascii="宋体" w:hAnsi="宋体" w:eastAsia="宋体"/>
          <w:highlight w:val="none"/>
        </w:rPr>
      </w:pPr>
      <w:r>
        <w:rPr>
          <w:rFonts w:hint="eastAsia" w:ascii="宋体" w:hAnsi="宋体" w:eastAsia="宋体"/>
          <w:highlight w:val="none"/>
        </w:rPr>
        <w:t>车门在碰撞过程中不应开启</w:t>
      </w:r>
      <w:r>
        <w:rPr>
          <w:rFonts w:hint="eastAsia" w:ascii="宋体" w:hAnsi="宋体" w:eastAsia="宋体"/>
          <w:highlight w:val="none"/>
          <w:lang w:eastAsia="zh-CN"/>
        </w:rPr>
        <w:t>；</w:t>
      </w:r>
      <w:r>
        <w:rPr>
          <w:rFonts w:hint="eastAsia" w:ascii="宋体" w:hAnsi="宋体" w:eastAsia="宋体"/>
          <w:highlight w:val="none"/>
        </w:rPr>
        <w:t>发动机罩、行李箱盖和车门在试验后应正常开闭。</w:t>
      </w:r>
    </w:p>
    <w:p>
      <w:pPr>
        <w:pStyle w:val="51"/>
        <w:spacing w:before="0" w:beforeLines="0" w:after="0" w:afterLines="0"/>
        <w:ind w:left="0"/>
        <w:rPr>
          <w:rFonts w:ascii="宋体" w:hAnsi="宋体" w:eastAsia="宋体"/>
          <w:highlight w:val="none"/>
        </w:rPr>
      </w:pPr>
      <w:r>
        <w:rPr>
          <w:rFonts w:hint="eastAsia" w:ascii="宋体" w:hAnsi="宋体" w:eastAsia="宋体"/>
          <w:highlight w:val="none"/>
        </w:rPr>
        <w:t>GB 4785所规定强制安装的照明、光信号装置和回复反射装置应能正常工作。</w:t>
      </w:r>
    </w:p>
    <w:p>
      <w:pPr>
        <w:pStyle w:val="51"/>
        <w:spacing w:before="0" w:beforeLines="0" w:after="0" w:afterLines="0"/>
        <w:ind w:left="0"/>
        <w:rPr>
          <w:rFonts w:ascii="宋体" w:hAnsi="宋体" w:eastAsia="宋体"/>
          <w:highlight w:val="none"/>
        </w:rPr>
      </w:pPr>
      <w:r>
        <w:rPr>
          <w:rFonts w:hint="eastAsia" w:ascii="宋体" w:hAnsi="宋体" w:eastAsia="宋体"/>
          <w:highlight w:val="none"/>
        </w:rPr>
        <w:t>车辆的燃料和冷却系统应无泄漏且能正常工作。对于混合动力和纯电动汽车，其充电系统和动力系统应能正常工作。</w:t>
      </w:r>
    </w:p>
    <w:p>
      <w:pPr>
        <w:pStyle w:val="51"/>
        <w:spacing w:before="0" w:beforeLines="0" w:after="0" w:afterLines="0"/>
        <w:ind w:left="0"/>
        <w:rPr>
          <w:rFonts w:ascii="宋体" w:hAnsi="宋体" w:eastAsia="宋体"/>
          <w:highlight w:val="none"/>
        </w:rPr>
      </w:pPr>
      <w:r>
        <w:rPr>
          <w:rFonts w:hint="eastAsia" w:ascii="宋体" w:hAnsi="宋体" w:eastAsia="宋体"/>
          <w:highlight w:val="none"/>
        </w:rPr>
        <w:t>车辆的排气系统不应有妨碍其正常工作的损坏或错位。</w:t>
      </w:r>
    </w:p>
    <w:p>
      <w:pPr>
        <w:pStyle w:val="51"/>
        <w:spacing w:before="0" w:beforeLines="0" w:after="0" w:afterLines="0"/>
        <w:ind w:left="0"/>
        <w:rPr>
          <w:rFonts w:hint="eastAsia" w:ascii="宋体" w:hAnsi="宋体" w:eastAsia="宋体"/>
          <w:highlight w:val="none"/>
        </w:rPr>
      </w:pPr>
      <w:r>
        <w:rPr>
          <w:rFonts w:hint="eastAsia" w:ascii="宋体" w:hAnsi="宋体" w:eastAsia="宋体"/>
          <w:highlight w:val="none"/>
        </w:rPr>
        <w:t>车辆的传动系统、悬架系统（包括轮胎）、转向系统、制动系统应能正常工作。</w:t>
      </w:r>
    </w:p>
    <w:p>
      <w:pPr>
        <w:pStyle w:val="51"/>
        <w:spacing w:before="0" w:beforeLines="0" w:after="0" w:afterLines="0"/>
        <w:ind w:left="0"/>
        <w:rPr>
          <w:rFonts w:hint="eastAsia" w:ascii="宋体" w:hAnsi="宋体" w:eastAsia="宋体"/>
          <w:highlight w:val="none"/>
        </w:rPr>
      </w:pPr>
      <w:r>
        <w:rPr>
          <w:rFonts w:hint="eastAsia" w:ascii="宋体" w:hAnsi="宋体" w:eastAsia="宋体"/>
          <w:highlight w:val="none"/>
        </w:rPr>
        <w:t>前后端保护装置的横梁与车身的连接不脱离，车身纵梁结构件无开裂，车身尾部端板无开裂。牵引装置安装套筒及固定件无可见裂纹，不影响牵引装置安装。</w:t>
      </w:r>
    </w:p>
    <w:p>
      <w:pPr>
        <w:pStyle w:val="51"/>
        <w:spacing w:before="0" w:beforeLines="0" w:after="0" w:afterLines="0"/>
        <w:ind w:left="0"/>
        <w:rPr>
          <w:rFonts w:ascii="宋体" w:hAnsi="宋体" w:eastAsia="宋体"/>
          <w:color w:val="FF0000"/>
        </w:rPr>
      </w:pPr>
      <w:r>
        <w:rPr>
          <w:rFonts w:hint="eastAsia" w:ascii="宋体" w:hAnsi="宋体" w:eastAsia="宋体"/>
          <w:highlight w:val="none"/>
        </w:rPr>
        <w:t>安装在前后端保护装置上的摄像头（若安装）不</w:t>
      </w:r>
      <w:r>
        <w:rPr>
          <w:rFonts w:hint="eastAsia" w:ascii="宋体" w:hAnsi="宋体" w:eastAsia="宋体"/>
        </w:rPr>
        <w:t>脱落、功能正常（若需要，允许使用随车工具处理），传感器不损坏、不脱落。</w:t>
      </w:r>
    </w:p>
    <w:p>
      <w:pPr>
        <w:pStyle w:val="84"/>
        <w:spacing w:before="312" w:after="312"/>
        <w:outlineLvl w:val="0"/>
        <w:rPr>
          <w:rFonts w:hAnsi="黑体"/>
        </w:rPr>
      </w:pPr>
      <w:bookmarkStart w:id="41" w:name="_Toc8906480"/>
      <w:bookmarkStart w:id="42" w:name="_Toc2502"/>
      <w:bookmarkStart w:id="43" w:name="_Toc19364"/>
      <w:r>
        <w:rPr>
          <w:rFonts w:hint="eastAsia" w:hAnsi="黑体"/>
        </w:rPr>
        <w:t>试验</w:t>
      </w:r>
      <w:r>
        <w:rPr>
          <w:rFonts w:hint="eastAsia" w:hAnsi="黑体"/>
          <w:lang w:val="en-US" w:eastAsia="zh-CN"/>
        </w:rPr>
        <w:t>要求及</w:t>
      </w:r>
      <w:r>
        <w:rPr>
          <w:rFonts w:hint="eastAsia" w:hAnsi="黑体"/>
        </w:rPr>
        <w:t>方法</w:t>
      </w:r>
      <w:bookmarkEnd w:id="41"/>
      <w:bookmarkEnd w:id="42"/>
      <w:bookmarkEnd w:id="43"/>
    </w:p>
    <w:p>
      <w:pPr>
        <w:pStyle w:val="51"/>
        <w:spacing w:before="156" w:after="156"/>
        <w:ind w:left="0"/>
        <w:outlineLvl w:val="1"/>
        <w:rPr>
          <w:rFonts w:ascii="宋体" w:hAnsi="宋体" w:eastAsia="宋体"/>
        </w:rPr>
      </w:pPr>
      <w:bookmarkStart w:id="44" w:name="_Toc8906481"/>
      <w:r>
        <w:rPr>
          <w:rFonts w:hint="eastAsia"/>
        </w:rPr>
        <w:t>试验场地</w:t>
      </w:r>
    </w:p>
    <w:p>
      <w:pPr>
        <w:pStyle w:val="118"/>
        <w:numPr>
          <w:ilvl w:val="0"/>
          <w:numId w:val="0"/>
        </w:numPr>
        <w:ind w:firstLine="420" w:firstLineChars="200"/>
      </w:pPr>
      <w:r>
        <w:rPr>
          <w:rFonts w:hint="eastAsia"/>
        </w:rPr>
        <w:t>试验</w:t>
      </w:r>
      <w:r>
        <w:rPr>
          <w:rFonts w:hint="eastAsia"/>
          <w:highlight w:val="none"/>
        </w:rPr>
        <w:t>场地应</w:t>
      </w:r>
      <w:r>
        <w:rPr>
          <w:rFonts w:hint="eastAsia"/>
          <w:highlight w:val="none"/>
          <w:lang w:val="en-US" w:eastAsia="zh-CN"/>
        </w:rPr>
        <w:t>能</w:t>
      </w:r>
      <w:r>
        <w:rPr>
          <w:rFonts w:hint="eastAsia"/>
          <w:highlight w:val="none"/>
        </w:rPr>
        <w:t>容纳碰撞器</w:t>
      </w:r>
      <w:r>
        <w:rPr>
          <w:rFonts w:hint="eastAsia"/>
        </w:rPr>
        <w:t>的驱动系统</w:t>
      </w:r>
      <w:r>
        <w:rPr>
          <w:rFonts w:hint="eastAsia"/>
          <w:lang w:eastAsia="zh-CN"/>
        </w:rPr>
        <w:t>、</w:t>
      </w:r>
      <w:r>
        <w:rPr>
          <w:rFonts w:hint="eastAsia"/>
        </w:rPr>
        <w:t>试验车辆碰撞后滑移以及安置试验所需的设备等。试验场地的地面应水平、硬实、光滑、平整。</w:t>
      </w:r>
    </w:p>
    <w:p>
      <w:pPr>
        <w:pStyle w:val="51"/>
        <w:spacing w:before="156" w:after="156"/>
        <w:ind w:left="0"/>
        <w:outlineLvl w:val="1"/>
        <w:rPr>
          <w:rFonts w:ascii="宋体" w:hAnsi="宋体" w:eastAsia="宋体"/>
        </w:rPr>
      </w:pPr>
      <w:r>
        <w:rPr>
          <w:rFonts w:hint="eastAsia"/>
          <w:lang w:val="en-US" w:eastAsia="zh-CN"/>
        </w:rPr>
        <w:t>试验车辆准备</w:t>
      </w:r>
    </w:p>
    <w:p>
      <w:pPr>
        <w:pStyle w:val="50"/>
        <w:spacing w:before="0" w:beforeLines="0" w:after="0" w:afterLines="0"/>
        <w:rPr>
          <w:rFonts w:ascii="宋体" w:hAnsi="宋体" w:eastAsia="宋体"/>
        </w:rPr>
      </w:pPr>
      <w:r>
        <w:rPr>
          <w:rFonts w:hint="eastAsia" w:ascii="宋体" w:hAnsi="宋体" w:eastAsia="宋体"/>
        </w:rPr>
        <w:t>试验车辆应处于静止</w:t>
      </w:r>
      <w:r>
        <w:rPr>
          <w:rFonts w:hint="eastAsia" w:ascii="宋体" w:hAnsi="宋体" w:eastAsia="宋体"/>
          <w:lang w:val="en-US" w:eastAsia="zh-CN"/>
        </w:rPr>
        <w:t>且动力源起动</w:t>
      </w:r>
      <w:r>
        <w:rPr>
          <w:rFonts w:hint="eastAsia" w:ascii="宋体" w:hAnsi="宋体" w:eastAsia="宋体"/>
        </w:rPr>
        <w:t>状态。</w:t>
      </w:r>
    </w:p>
    <w:p>
      <w:pPr>
        <w:pStyle w:val="50"/>
        <w:spacing w:before="0" w:beforeLines="0" w:after="0" w:afterLines="0"/>
        <w:rPr>
          <w:rFonts w:ascii="宋体" w:hAnsi="宋体" w:eastAsia="宋体"/>
        </w:rPr>
      </w:pPr>
      <w:r>
        <w:rPr>
          <w:rFonts w:hint="eastAsia" w:ascii="宋体" w:hAnsi="宋体" w:eastAsia="宋体"/>
        </w:rPr>
        <w:t>试验车辆应处于直线行驶的位置。</w:t>
      </w:r>
    </w:p>
    <w:p>
      <w:pPr>
        <w:pStyle w:val="50"/>
        <w:spacing w:before="0" w:beforeLines="0" w:after="0" w:afterLines="0"/>
        <w:rPr>
          <w:rFonts w:ascii="宋体" w:hAnsi="宋体" w:eastAsia="宋体"/>
        </w:rPr>
      </w:pPr>
      <w:r>
        <w:rPr>
          <w:rFonts w:hint="eastAsia" w:ascii="宋体" w:hAnsi="宋体" w:eastAsia="宋体"/>
        </w:rPr>
        <w:t>车辆轮胎应符合制造厂规定的气压。</w:t>
      </w:r>
    </w:p>
    <w:p>
      <w:pPr>
        <w:pStyle w:val="50"/>
        <w:spacing w:before="0" w:beforeLines="0" w:after="0" w:afterLines="0"/>
        <w:rPr>
          <w:rFonts w:ascii="宋体" w:hAnsi="宋体" w:eastAsia="宋体"/>
        </w:rPr>
      </w:pPr>
      <w:r>
        <w:rPr>
          <w:rFonts w:hint="eastAsia" w:ascii="宋体" w:hAnsi="宋体" w:eastAsia="宋体"/>
        </w:rPr>
        <w:t>驻车制动器应松开，挡位处于空挡。</w:t>
      </w:r>
    </w:p>
    <w:p>
      <w:pPr>
        <w:pStyle w:val="50"/>
        <w:spacing w:beforeLines="0" w:afterLines="0"/>
        <w:rPr>
          <w:rFonts w:hAnsi="宋体"/>
        </w:rPr>
      </w:pPr>
      <w:r>
        <w:rPr>
          <w:rFonts w:hint="eastAsia" w:ascii="宋体" w:hAnsi="宋体" w:eastAsia="宋体"/>
        </w:rPr>
        <w:t>对于装备高度</w:t>
      </w:r>
      <w:r>
        <w:rPr>
          <w:rFonts w:hint="eastAsia" w:ascii="宋体" w:hAnsi="宋体" w:eastAsia="宋体"/>
          <w:color w:val="000000" w:themeColor="text1"/>
          <w14:textFill>
            <w14:solidFill>
              <w14:schemeClr w14:val="tx1"/>
            </w14:solidFill>
          </w14:textFill>
        </w:rPr>
        <w:t>可调整悬架的车辆以及装有自动调平悬架（能根据载荷自动对车辆进行调平）的车辆，应调整至制造厂规定的正常行驶条件下进行试验。</w:t>
      </w:r>
    </w:p>
    <w:p>
      <w:pPr>
        <w:pStyle w:val="50"/>
        <w:spacing w:beforeLines="0" w:afterLines="0"/>
        <w:rPr>
          <w:rFonts w:hint="eastAsia" w:hAnsi="Times New Roman"/>
        </w:rPr>
      </w:pPr>
      <w:r>
        <w:rPr>
          <w:rFonts w:hint="eastAsia" w:ascii="宋体" w:hAnsi="宋体" w:eastAsia="宋体"/>
          <w:bCs w:val="0"/>
          <w:color w:val="000000" w:themeColor="text1"/>
          <w14:textFill>
            <w14:solidFill>
              <w14:schemeClr w14:val="tx1"/>
            </w14:solidFill>
          </w14:textFill>
        </w:rPr>
        <w:t>试验</w:t>
      </w:r>
      <w:r>
        <w:rPr>
          <w:rFonts w:hint="eastAsia" w:ascii="宋体" w:hAnsi="宋体" w:eastAsia="宋体"/>
          <w:bCs w:val="0"/>
          <w:color w:val="000000" w:themeColor="text1"/>
          <w:lang w:val="en-US" w:eastAsia="zh-CN"/>
          <w14:textFill>
            <w14:solidFill>
              <w14:schemeClr w14:val="tx1"/>
            </w14:solidFill>
          </w14:textFill>
        </w:rPr>
        <w:t>车加载质量为</w:t>
      </w:r>
      <w:r>
        <w:rPr>
          <w:rFonts w:hint="eastAsia" w:ascii="宋体" w:hAnsi="宋体" w:eastAsia="宋体"/>
          <w:color w:val="000000" w:themeColor="text1"/>
          <w14:textFill>
            <w14:solidFill>
              <w14:schemeClr w14:val="tx1"/>
            </w14:solidFill>
          </w14:textFill>
        </w:rPr>
        <w:t>整车整备</w:t>
      </w:r>
      <w:r>
        <w:rPr>
          <w:rFonts w:hint="eastAsia" w:ascii="宋体" w:hAnsi="宋体" w:eastAsia="宋体"/>
          <w:color w:val="000000" w:themeColor="text1"/>
          <w14:textFill>
            <w14:solidFill>
              <w14:schemeClr w14:val="tx1"/>
            </w14:solidFill>
          </w14:textFill>
        </w:rPr>
        <w:t>质量加上表1规定的</w:t>
      </w:r>
      <w:r>
        <w:rPr>
          <w:rFonts w:hint="eastAsia" w:ascii="宋体" w:hAnsi="宋体" w:eastAsia="宋体"/>
          <w:color w:val="000000" w:themeColor="text1"/>
          <w:lang w:val="en-US" w:eastAsia="zh-CN"/>
          <w14:textFill>
            <w14:solidFill>
              <w14:schemeClr w14:val="tx1"/>
            </w14:solidFill>
          </w14:textFill>
        </w:rPr>
        <w:t>驾驶员和</w:t>
      </w:r>
      <w:r>
        <w:rPr>
          <w:rFonts w:hint="eastAsia" w:ascii="宋体" w:hAnsi="宋体" w:eastAsia="宋体"/>
          <w:color w:val="000000" w:themeColor="text1"/>
          <w14:textFill>
            <w14:solidFill>
              <w14:schemeClr w14:val="tx1"/>
            </w14:solidFill>
          </w14:textFill>
        </w:rPr>
        <w:t>乘员的</w:t>
      </w:r>
      <w:r>
        <w:rPr>
          <w:rFonts w:hint="eastAsia" w:ascii="宋体" w:hAnsi="宋体" w:eastAsia="宋体"/>
          <w:color w:val="000000" w:themeColor="text1"/>
          <w14:textFill>
            <w14:solidFill>
              <w14:schemeClr w14:val="tx1"/>
            </w14:solidFill>
          </w14:textFill>
        </w:rPr>
        <w:t>质量（每个</w:t>
      </w:r>
      <w:r>
        <w:rPr>
          <w:rFonts w:hint="eastAsia" w:ascii="宋体" w:hAnsi="宋体" w:eastAsia="宋体"/>
          <w:color w:val="000000" w:themeColor="text1"/>
          <w:lang w:val="en-US" w:eastAsia="zh-CN"/>
          <w14:textFill>
            <w14:solidFill>
              <w14:schemeClr w14:val="tx1"/>
            </w14:solidFill>
          </w14:textFill>
        </w:rPr>
        <w:t>驾驶员和</w:t>
      </w:r>
      <w:r>
        <w:rPr>
          <w:rFonts w:hint="eastAsia" w:ascii="宋体" w:hAnsi="宋体" w:eastAsia="宋体"/>
          <w:color w:val="000000" w:themeColor="text1"/>
          <w14:textFill>
            <w14:solidFill>
              <w14:schemeClr w14:val="tx1"/>
            </w14:solidFill>
          </w14:textFill>
        </w:rPr>
        <w:t>乘员</w:t>
      </w:r>
      <w:r>
        <w:rPr>
          <w:rFonts w:hint="eastAsia" w:ascii="宋体" w:hAnsi="宋体" w:eastAsia="宋体"/>
          <w:color w:val="000000" w:themeColor="text1"/>
          <w:lang w:val="en-US" w:eastAsia="zh-CN"/>
          <w14:textFill>
            <w14:solidFill>
              <w14:schemeClr w14:val="tx1"/>
            </w14:solidFill>
          </w14:textFill>
        </w:rPr>
        <w:t>为</w:t>
      </w:r>
      <w:r>
        <w:rPr>
          <w:rFonts w:hint="eastAsia" w:ascii="宋体" w:hAnsi="宋体" w:eastAsia="宋体"/>
          <w:color w:val="000000" w:themeColor="text1"/>
          <w14:textFill>
            <w14:solidFill>
              <w14:schemeClr w14:val="tx1"/>
            </w14:solidFill>
          </w14:textFill>
        </w:rPr>
        <w:t>75 kg）。</w:t>
      </w:r>
    </w:p>
    <w:p>
      <w:pPr>
        <w:pStyle w:val="110"/>
        <w:numPr>
          <w:ilvl w:val="0"/>
          <w:numId w:val="0"/>
        </w:numPr>
        <w:spacing w:before="156" w:after="156"/>
      </w:pPr>
      <w:r>
        <w:rPr>
          <w:rFonts w:hint="eastAsia"/>
        </w:rPr>
        <w:t xml:space="preserve">表1 </w:t>
      </w:r>
      <w:r>
        <w:rPr>
          <w:rFonts w:hint="eastAsia"/>
          <w:lang w:val="en-US" w:eastAsia="zh-CN"/>
        </w:rPr>
        <w:t>驾驶员和</w:t>
      </w:r>
      <w:r>
        <w:rPr>
          <w:rFonts w:hint="eastAsia"/>
        </w:rPr>
        <w:t>乘员数量分配表</w:t>
      </w:r>
    </w:p>
    <w:tbl>
      <w:tblPr>
        <w:tblStyle w:val="33"/>
        <w:tblW w:w="93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3"/>
        <w:gridCol w:w="2302"/>
        <w:gridCol w:w="4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3" w:type="dxa"/>
          </w:tcPr>
          <w:p>
            <w:pPr>
              <w:pStyle w:val="24"/>
              <w:ind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座位数量</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个</w:t>
            </w:r>
            <w:r>
              <w:rPr>
                <w:rFonts w:hint="eastAsia" w:asciiTheme="minorEastAsia" w:hAnsiTheme="minorEastAsia" w:eastAsiaTheme="minorEastAsia" w:cstheme="minorEastAsia"/>
                <w:sz w:val="18"/>
                <w:szCs w:val="18"/>
                <w:lang w:eastAsia="zh-CN"/>
              </w:rPr>
              <w:t>）</w:t>
            </w:r>
          </w:p>
        </w:tc>
        <w:tc>
          <w:tcPr>
            <w:tcW w:w="2302" w:type="dxa"/>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驾驶员和</w:t>
            </w:r>
            <w:r>
              <w:rPr>
                <w:rFonts w:hint="eastAsia" w:asciiTheme="minorEastAsia" w:hAnsiTheme="minorEastAsia" w:eastAsiaTheme="minorEastAsia" w:cstheme="minorEastAsia"/>
                <w:sz w:val="18"/>
                <w:szCs w:val="18"/>
              </w:rPr>
              <w:t>乘员</w:t>
            </w:r>
          </w:p>
          <w:p>
            <w:pPr>
              <w:pStyle w:val="24"/>
              <w:ind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数量</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个</w:t>
            </w:r>
            <w:r>
              <w:rPr>
                <w:rFonts w:hint="eastAsia" w:asciiTheme="minorEastAsia" w:hAnsiTheme="minorEastAsia" w:eastAsiaTheme="minorEastAsia" w:cstheme="minorEastAsia"/>
                <w:sz w:val="18"/>
                <w:szCs w:val="18"/>
                <w:lang w:eastAsia="zh-CN"/>
              </w:rPr>
              <w:t>）</w:t>
            </w:r>
          </w:p>
        </w:tc>
        <w:tc>
          <w:tcPr>
            <w:tcW w:w="4737" w:type="dxa"/>
          </w:tcPr>
          <w:p>
            <w:pPr>
              <w:pStyle w:val="24"/>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分配</w:t>
            </w:r>
            <w:r>
              <w:rPr>
                <w:rFonts w:hint="eastAsia" w:asciiTheme="minorEastAsia" w:hAnsiTheme="minorEastAsia" w:eastAsiaTheme="minorEastAsia" w:cstheme="minorEastAsia"/>
                <w:sz w:val="18"/>
                <w:szCs w:val="18"/>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343"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2和3</w:t>
            </w:r>
          </w:p>
        </w:tc>
        <w:tc>
          <w:tcPr>
            <w:tcW w:w="2302"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4737" w:type="dxa"/>
          </w:tcPr>
          <w:p>
            <w:pPr>
              <w:pStyle w:val="24"/>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1个驾驶员和1个乘员，分别安放</w:t>
            </w:r>
            <w:r>
              <w:rPr>
                <w:rFonts w:hint="eastAsia" w:asciiTheme="minorEastAsia" w:hAnsiTheme="minorEastAsia" w:eastAsiaTheme="minorEastAsia" w:cstheme="minorEastAsia"/>
                <w:color w:val="auto"/>
                <w:sz w:val="18"/>
                <w:szCs w:val="18"/>
              </w:rPr>
              <w:t>在前排外侧座位</w:t>
            </w:r>
            <w:r>
              <w:rPr>
                <w:rFonts w:hint="eastAsia" w:asciiTheme="minorEastAsia" w:hAnsiTheme="minorEastAsia" w:eastAsiaTheme="minorEastAsia" w:cstheme="minor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3"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4和5</w:t>
            </w:r>
          </w:p>
        </w:tc>
        <w:tc>
          <w:tcPr>
            <w:tcW w:w="2302"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4737"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1个驾驶员和1个乘员，分别安放</w:t>
            </w:r>
            <w:r>
              <w:rPr>
                <w:rFonts w:hint="eastAsia" w:asciiTheme="minorEastAsia" w:hAnsiTheme="minorEastAsia" w:eastAsiaTheme="minorEastAsia" w:cstheme="minorEastAsia"/>
                <w:color w:val="auto"/>
                <w:sz w:val="18"/>
                <w:szCs w:val="18"/>
              </w:rPr>
              <w:t>在前排外侧座位</w:t>
            </w:r>
            <w:r>
              <w:rPr>
                <w:rFonts w:hint="eastAsia" w:asciiTheme="minorEastAsia" w:hAnsiTheme="minorEastAsia" w:eastAsiaTheme="minorEastAsia" w:cstheme="minorEastAsia"/>
                <w:color w:val="auto"/>
                <w:sz w:val="18"/>
                <w:szCs w:val="18"/>
                <w:lang w:eastAsia="zh-CN"/>
              </w:rPr>
              <w:t>；</w:t>
            </w:r>
          </w:p>
          <w:p>
            <w:pPr>
              <w:pStyle w:val="24"/>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1个乘员</w:t>
            </w:r>
            <w:r>
              <w:rPr>
                <w:rFonts w:hint="eastAsia" w:asciiTheme="minorEastAsia" w:hAnsiTheme="minorEastAsia" w:eastAsiaTheme="minorEastAsia" w:cstheme="minorEastAsia"/>
                <w:color w:val="auto"/>
                <w:sz w:val="18"/>
                <w:szCs w:val="18"/>
                <w:lang w:val="en-US" w:eastAsia="zh-CN"/>
              </w:rPr>
              <w:t>安放</w:t>
            </w:r>
            <w:r>
              <w:rPr>
                <w:rFonts w:hint="eastAsia" w:asciiTheme="minorEastAsia" w:hAnsiTheme="minorEastAsia" w:eastAsiaTheme="minorEastAsia" w:cstheme="minorEastAsia"/>
                <w:color w:val="auto"/>
                <w:sz w:val="18"/>
                <w:szCs w:val="18"/>
              </w:rPr>
              <w:t>在后排外侧座位</w:t>
            </w:r>
            <w:r>
              <w:rPr>
                <w:rFonts w:hint="eastAsia" w:asciiTheme="minorEastAsia" w:hAnsiTheme="minorEastAsia" w:eastAsiaTheme="minorEastAsia" w:cstheme="minor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3"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6和7</w:t>
            </w:r>
          </w:p>
        </w:tc>
        <w:tc>
          <w:tcPr>
            <w:tcW w:w="2302"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4737" w:type="dxa"/>
          </w:tcPr>
          <w:p>
            <w:pPr>
              <w:pStyle w:val="24"/>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1个驾驶员和1个乘员，分别安放</w:t>
            </w:r>
            <w:r>
              <w:rPr>
                <w:rFonts w:hint="eastAsia" w:asciiTheme="minorEastAsia" w:hAnsiTheme="minorEastAsia" w:eastAsiaTheme="minorEastAsia" w:cstheme="minorEastAsia"/>
                <w:color w:val="auto"/>
                <w:sz w:val="18"/>
                <w:szCs w:val="18"/>
              </w:rPr>
              <w:t>在前排外侧座位</w:t>
            </w:r>
            <w:r>
              <w:rPr>
                <w:rFonts w:hint="eastAsia" w:asciiTheme="minorEastAsia" w:hAnsiTheme="minorEastAsia" w:eastAsiaTheme="minorEastAsia" w:cstheme="minorEastAsia"/>
                <w:color w:val="auto"/>
                <w:sz w:val="18"/>
                <w:szCs w:val="18"/>
                <w:lang w:eastAsia="zh-CN"/>
              </w:rPr>
              <w:t>；</w:t>
            </w:r>
          </w:p>
          <w:p>
            <w:pPr>
              <w:pStyle w:val="24"/>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2个乘员</w:t>
            </w:r>
            <w:r>
              <w:rPr>
                <w:rFonts w:hint="eastAsia" w:asciiTheme="minorEastAsia" w:hAnsiTheme="minorEastAsia" w:eastAsiaTheme="minorEastAsia" w:cstheme="minorEastAsia"/>
                <w:color w:val="auto"/>
                <w:sz w:val="18"/>
                <w:szCs w:val="18"/>
                <w:lang w:val="en-US" w:eastAsia="zh-CN"/>
              </w:rPr>
              <w:t>分别安放</w:t>
            </w:r>
            <w:r>
              <w:rPr>
                <w:rFonts w:hint="eastAsia" w:asciiTheme="minorEastAsia" w:hAnsiTheme="minorEastAsia" w:eastAsiaTheme="minorEastAsia" w:cstheme="minorEastAsia"/>
                <w:color w:val="auto"/>
                <w:sz w:val="18"/>
                <w:szCs w:val="18"/>
              </w:rPr>
              <w:t>在第二排外侧座位</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左右各一个</w:t>
            </w:r>
            <w:r>
              <w:rPr>
                <w:rFonts w:hint="eastAsia" w:asciiTheme="minorEastAsia" w:hAnsiTheme="minorEastAsia" w:eastAsiaTheme="minorEastAsia" w:cstheme="minor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43"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8和9</w:t>
            </w:r>
          </w:p>
        </w:tc>
        <w:tc>
          <w:tcPr>
            <w:tcW w:w="2302" w:type="dxa"/>
            <w:vAlign w:val="center"/>
          </w:tcPr>
          <w:p>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4737" w:type="dxa"/>
          </w:tcPr>
          <w:p>
            <w:pPr>
              <w:pStyle w:val="24"/>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1个驾驶员和1个乘员，分别安放</w:t>
            </w:r>
            <w:r>
              <w:rPr>
                <w:rFonts w:hint="eastAsia" w:asciiTheme="minorEastAsia" w:hAnsiTheme="minorEastAsia" w:eastAsiaTheme="minorEastAsia" w:cstheme="minorEastAsia"/>
                <w:color w:val="auto"/>
                <w:sz w:val="18"/>
                <w:szCs w:val="18"/>
              </w:rPr>
              <w:t>在前排外侧座位</w:t>
            </w:r>
            <w:r>
              <w:rPr>
                <w:rFonts w:hint="eastAsia" w:asciiTheme="minorEastAsia" w:hAnsiTheme="minorEastAsia" w:eastAsiaTheme="minorEastAsia" w:cstheme="minorEastAsia"/>
                <w:color w:val="auto"/>
                <w:sz w:val="18"/>
                <w:szCs w:val="18"/>
                <w:lang w:eastAsia="zh-CN"/>
              </w:rPr>
              <w:t>；</w:t>
            </w:r>
          </w:p>
          <w:p>
            <w:pPr>
              <w:pStyle w:val="24"/>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2个乘员</w:t>
            </w:r>
            <w:r>
              <w:rPr>
                <w:rFonts w:hint="eastAsia" w:asciiTheme="minorEastAsia" w:hAnsiTheme="minorEastAsia" w:eastAsiaTheme="minorEastAsia" w:cstheme="minorEastAsia"/>
                <w:color w:val="auto"/>
                <w:sz w:val="18"/>
                <w:szCs w:val="18"/>
                <w:lang w:val="en-US" w:eastAsia="zh-CN"/>
              </w:rPr>
              <w:t>分别安放</w:t>
            </w:r>
            <w:r>
              <w:rPr>
                <w:rFonts w:hint="eastAsia" w:asciiTheme="minorEastAsia" w:hAnsiTheme="minorEastAsia" w:eastAsiaTheme="minorEastAsia" w:cstheme="minorEastAsia"/>
                <w:color w:val="auto"/>
                <w:sz w:val="18"/>
                <w:szCs w:val="18"/>
              </w:rPr>
              <w:t>在第二排外侧座位</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左右各一个；</w:t>
            </w:r>
          </w:p>
          <w:p>
            <w:pPr>
              <w:pStyle w:val="24"/>
              <w:ind w:firstLine="0" w:firstLineChars="0"/>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1个乘员</w:t>
            </w:r>
            <w:r>
              <w:rPr>
                <w:rFonts w:hint="eastAsia" w:asciiTheme="minorEastAsia" w:hAnsiTheme="minorEastAsia" w:eastAsiaTheme="minorEastAsia" w:cstheme="minorEastAsia"/>
                <w:color w:val="auto"/>
                <w:sz w:val="18"/>
                <w:szCs w:val="18"/>
                <w:lang w:val="en-US" w:eastAsia="zh-CN"/>
              </w:rPr>
              <w:t>安放</w:t>
            </w:r>
            <w:r>
              <w:rPr>
                <w:rFonts w:hint="eastAsia" w:asciiTheme="minorEastAsia" w:hAnsiTheme="minorEastAsia" w:eastAsiaTheme="minorEastAsia" w:cstheme="minorEastAsia"/>
                <w:color w:val="auto"/>
                <w:sz w:val="18"/>
                <w:szCs w:val="18"/>
              </w:rPr>
              <w:t>在最后</w:t>
            </w:r>
            <w:r>
              <w:rPr>
                <w:rFonts w:hint="eastAsia" w:asciiTheme="minorEastAsia" w:hAnsiTheme="minorEastAsia" w:eastAsiaTheme="minorEastAsia" w:cstheme="minorEastAsia"/>
                <w:color w:val="auto"/>
                <w:sz w:val="18"/>
                <w:szCs w:val="18"/>
                <w:lang w:val="en-US" w:eastAsia="zh-CN"/>
              </w:rPr>
              <w:t>一</w:t>
            </w:r>
            <w:r>
              <w:rPr>
                <w:rFonts w:hint="eastAsia" w:asciiTheme="minorEastAsia" w:hAnsiTheme="minorEastAsia" w:eastAsiaTheme="minorEastAsia" w:cstheme="minorEastAsia"/>
                <w:color w:val="auto"/>
                <w:sz w:val="18"/>
                <w:szCs w:val="18"/>
              </w:rPr>
              <w:t>排</w:t>
            </w:r>
            <w:r>
              <w:rPr>
                <w:rFonts w:hint="eastAsia" w:asciiTheme="minorEastAsia" w:hAnsiTheme="minorEastAsia" w:eastAsiaTheme="minorEastAsia" w:cstheme="minorEastAsia"/>
                <w:color w:val="auto"/>
                <w:sz w:val="18"/>
                <w:szCs w:val="18"/>
                <w:lang w:val="en-US" w:eastAsia="zh-CN"/>
              </w:rPr>
              <w:t>左侧或右侧的</w:t>
            </w:r>
            <w:r>
              <w:rPr>
                <w:rFonts w:hint="eastAsia" w:asciiTheme="minorEastAsia" w:hAnsiTheme="minorEastAsia" w:eastAsiaTheme="minorEastAsia" w:cstheme="minorEastAsia"/>
                <w:color w:val="auto"/>
                <w:sz w:val="18"/>
                <w:szCs w:val="18"/>
              </w:rPr>
              <w:t>外侧座位</w:t>
            </w:r>
            <w:r>
              <w:rPr>
                <w:rFonts w:hint="eastAsia" w:asciiTheme="minorEastAsia" w:hAnsiTheme="minorEastAsia" w:eastAsiaTheme="minorEastAsia" w:cstheme="minorEastAsia"/>
                <w:color w:val="auto"/>
                <w:sz w:val="18"/>
                <w:szCs w:val="18"/>
                <w:lang w:eastAsia="zh-CN"/>
              </w:rPr>
              <w:t>。</w:t>
            </w:r>
          </w:p>
        </w:tc>
      </w:tr>
    </w:tbl>
    <w:p>
      <w:pPr>
        <w:pStyle w:val="51"/>
        <w:spacing w:before="156" w:after="156"/>
        <w:ind w:left="0"/>
        <w:outlineLvl w:val="1"/>
        <w:rPr>
          <w:rFonts w:ascii="宋体" w:hAnsi="宋体"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碰撞</w:t>
      </w:r>
      <w:r>
        <w:rPr>
          <w:rFonts w:hint="eastAsia"/>
          <w:color w:val="000000" w:themeColor="text1"/>
          <w:lang w:val="en-US" w:eastAsia="zh-CN"/>
          <w14:textFill>
            <w14:solidFill>
              <w14:schemeClr w14:val="tx1"/>
            </w14:solidFill>
          </w14:textFill>
        </w:rPr>
        <w:t>装置</w:t>
      </w:r>
    </w:p>
    <w:p>
      <w:pPr>
        <w:pStyle w:val="51"/>
        <w:numPr>
          <w:ilvl w:val="-1"/>
          <w:numId w:val="0"/>
        </w:numPr>
        <w:spacing w:before="156" w:after="156"/>
        <w:ind w:left="0"/>
        <w:outlineLvl w:val="1"/>
        <w:rPr>
          <w:rFonts w:hint="eastAsia"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5.3.1 碰撞器的要求</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碰撞器应结构坚固；其撞击头材料为淬火钢。</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碰撞器表面的形状应</w:t>
      </w:r>
      <w:r>
        <w:rPr>
          <w:rFonts w:hint="eastAsia" w:ascii="宋体" w:hAnsi="宋体" w:eastAsia="宋体"/>
          <w:color w:val="000000" w:themeColor="text1"/>
          <w:lang w:val="en-US" w:eastAsia="zh-CN"/>
          <w14:textFill>
            <w14:solidFill>
              <w14:schemeClr w14:val="tx1"/>
            </w14:solidFill>
          </w14:textFill>
        </w:rPr>
        <w:t>符合</w:t>
      </w:r>
      <w:r>
        <w:rPr>
          <w:rFonts w:hint="eastAsia" w:ascii="宋体" w:hAnsi="宋体" w:eastAsia="宋体"/>
          <w:color w:val="000000" w:themeColor="text1"/>
          <w14:textFill>
            <w14:solidFill>
              <w14:schemeClr w14:val="tx1"/>
            </w14:solidFill>
          </w14:textFill>
        </w:rPr>
        <w:t>图</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要求</w:t>
      </w:r>
      <w:r>
        <w:rPr>
          <w:rFonts w:hint="eastAsia" w:ascii="宋体" w:hAnsi="宋体" w:eastAsia="宋体"/>
          <w:color w:val="000000" w:themeColor="text1"/>
          <w14:textFill>
            <w14:solidFill>
              <w14:schemeClr w14:val="tx1"/>
            </w14:solidFill>
          </w14:textFill>
        </w:rPr>
        <w:t>。</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碰撞装置的等效质量应与试验车辆的整车整备质量相等。</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碰撞器的</w:t>
      </w:r>
      <w:r>
        <w:rPr>
          <w:rFonts w:ascii="宋体" w:hAnsi="宋体" w:eastAsia="宋体"/>
          <w:color w:val="000000" w:themeColor="text1"/>
          <w14:textFill>
            <w14:solidFill>
              <w14:schemeClr w14:val="tx1"/>
            </w14:solidFill>
          </w14:textFill>
        </w:rPr>
        <w:t>A</w:t>
      </w:r>
      <w:r>
        <w:rPr>
          <w:rFonts w:hint="eastAsia" w:ascii="宋体" w:hAnsi="宋体" w:eastAsia="宋体"/>
          <w:color w:val="000000" w:themeColor="text1"/>
          <w14:textFill>
            <w14:solidFill>
              <w14:schemeClr w14:val="tx1"/>
            </w14:solidFill>
          </w14:textFill>
        </w:rPr>
        <w:t>平面应保持垂直，基准线应保持水平。</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碰撞器基准高度为</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50</w:t>
      </w:r>
      <w:r>
        <w:rPr>
          <w:rFonts w:ascii="宋体" w:hAnsi="宋体" w:eastAsia="宋体"/>
          <w:color w:val="000000" w:themeColor="text1"/>
          <w14:textFill>
            <w14:solidFill>
              <w14:schemeClr w14:val="tx1"/>
            </w14:solidFill>
          </w14:textFill>
        </w:rPr>
        <w:t xml:space="preserve"> mm</w:t>
      </w:r>
      <w:r>
        <w:rPr>
          <w:rFonts w:hint="eastAsia" w:ascii="宋体" w:hAnsi="宋体" w:eastAsia="宋体"/>
          <w:color w:val="000000" w:themeColor="text1"/>
          <w14:textFill>
            <w14:solidFill>
              <w14:schemeClr w14:val="tx1"/>
            </w14:solidFill>
          </w14:textFill>
        </w:rPr>
        <w:t>。</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碰撞器与车辆的第一接触点应是碰撞器与前后端保护装置的接触点。当车辆分别在整车整备质量与试验车</w:t>
      </w:r>
      <w:r>
        <w:rPr>
          <w:rFonts w:hint="eastAsia" w:ascii="宋体" w:hAnsi="宋体" w:eastAsia="宋体"/>
          <w:color w:val="000000" w:themeColor="text1"/>
          <w:lang w:val="en-US" w:eastAsia="zh-CN"/>
          <w14:textFill>
            <w14:solidFill>
              <w14:schemeClr w14:val="tx1"/>
            </w14:solidFill>
          </w14:textFill>
        </w:rPr>
        <w:t>加载</w:t>
      </w:r>
      <w:r>
        <w:rPr>
          <w:rFonts w:hint="eastAsia" w:ascii="宋体" w:hAnsi="宋体" w:eastAsia="宋体"/>
          <w:color w:val="000000" w:themeColor="text1"/>
          <w14:textFill>
            <w14:solidFill>
              <w14:schemeClr w14:val="tx1"/>
            </w14:solidFill>
          </w14:textFill>
        </w:rPr>
        <w:t>质量状态时，保险杠角间的前后端保护装置应与过碰撞器基准线的水平面相交。</w:t>
      </w:r>
    </w:p>
    <w:p>
      <w:pPr>
        <w:pStyle w:val="51"/>
        <w:numPr>
          <w:ilvl w:val="-1"/>
          <w:numId w:val="0"/>
        </w:numPr>
        <w:spacing w:before="156" w:after="156"/>
        <w:ind w:left="0"/>
        <w:outlineLvl w:val="1"/>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5.3.2 </w:t>
      </w:r>
      <w:r>
        <w:rPr>
          <w:rFonts w:hint="eastAsia"/>
          <w:color w:val="000000" w:themeColor="text1"/>
          <w:lang w:val="en-US" w:eastAsia="zh-CN"/>
          <w14:textFill>
            <w14:solidFill>
              <w14:schemeClr w14:val="tx1"/>
            </w14:solidFill>
          </w14:textFill>
        </w:rPr>
        <w:t>碰撞器的</w:t>
      </w:r>
      <w:r>
        <w:rPr>
          <w:rFonts w:hint="eastAsia"/>
          <w:color w:val="000000" w:themeColor="text1"/>
          <w:lang w:val="en-US" w:eastAsia="zh-CN"/>
          <w14:textFill>
            <w14:solidFill>
              <w14:schemeClr w14:val="tx1"/>
            </w14:solidFill>
          </w14:textFill>
        </w:rPr>
        <w:t>安装</w:t>
      </w:r>
    </w:p>
    <w:p>
      <w:pPr>
        <w:pStyle w:val="24"/>
      </w:pPr>
      <w:r>
        <w:rPr>
          <w:rFonts w:hint="default" w:ascii="宋体" w:hAnsi="宋体" w:eastAsia="宋体"/>
          <w:color w:val="000000" w:themeColor="text1"/>
          <w:lang w:val="en-US"/>
          <w14:textFill>
            <w14:solidFill>
              <w14:schemeClr w14:val="tx1"/>
            </w14:solidFill>
          </w14:textFill>
        </w:rPr>
        <w:t>碰撞器可固定在摆锤上或固定在移动台车上。</w:t>
      </w:r>
    </w:p>
    <w:p>
      <w:pPr>
        <w:pStyle w:val="51"/>
        <w:numPr>
          <w:ilvl w:val="-1"/>
          <w:numId w:val="0"/>
        </w:numPr>
        <w:outlineLvl w:val="1"/>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5.3.3 </w:t>
      </w:r>
      <w:r>
        <w:rPr>
          <w:rFonts w:hint="eastAsia"/>
          <w:color w:val="000000" w:themeColor="text1"/>
          <w14:textFill>
            <w14:solidFill>
              <w14:schemeClr w14:val="tx1"/>
            </w14:solidFill>
          </w14:textFill>
        </w:rPr>
        <w:t>碰撞</w:t>
      </w:r>
      <w:r>
        <w:rPr>
          <w:rFonts w:hint="eastAsia"/>
          <w:color w:val="000000" w:themeColor="text1"/>
          <w:lang w:val="en-US" w:eastAsia="zh-CN"/>
          <w14:textFill>
            <w14:solidFill>
              <w14:schemeClr w14:val="tx1"/>
            </w14:solidFill>
          </w14:textFill>
        </w:rPr>
        <w:t>装置</w:t>
      </w:r>
      <w:r>
        <w:rPr>
          <w:rFonts w:hint="eastAsia"/>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要求</w:t>
      </w:r>
    </w:p>
    <w:p>
      <w:pPr>
        <w:pStyle w:val="50"/>
        <w:numPr>
          <w:ilvl w:val="-1"/>
          <w:numId w:val="0"/>
        </w:numPr>
        <w:spacing w:before="0" w:beforeLines="0" w:after="0" w:afterLines="0"/>
        <w:rPr>
          <w:rFonts w:hint="eastAsia" w:ascii="宋体" w:hAnsi="宋体" w:eastAsia="宋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5.3.</w:t>
      </w:r>
      <w:r>
        <w:rPr>
          <w:rFonts w:hint="eastAsia" w:hAnsi="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w:t>
      </w:r>
      <w:r>
        <w:rPr>
          <w:rFonts w:hint="eastAsia" w:hAnsi="黑体" w:cs="黑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采用摆锤形式的碰撞装置</w:t>
      </w:r>
      <w:r>
        <w:rPr>
          <w:rFonts w:hint="eastAsia" w:ascii="宋体" w:hAnsi="宋体" w:eastAsia="宋体"/>
          <w:color w:val="000000" w:themeColor="text1"/>
          <w:lang w:val="en-US" w:eastAsia="zh-CN"/>
          <w14:textFill>
            <w14:solidFill>
              <w14:schemeClr w14:val="tx1"/>
            </w14:solidFill>
          </w14:textFill>
        </w:rPr>
        <w:t>要求：</w:t>
      </w:r>
    </w:p>
    <w:p>
      <w:pPr>
        <w:pStyle w:val="50"/>
        <w:numPr>
          <w:ilvl w:val="-1"/>
          <w:numId w:val="0"/>
        </w:numPr>
        <w:spacing w:before="0" w:beforeLines="0" w:after="0" w:afterLines="0"/>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 xml:space="preserve">a) </w:t>
      </w:r>
      <w:r>
        <w:rPr>
          <w:rFonts w:hint="eastAsia" w:ascii="宋体" w:hAnsi="宋体" w:eastAsia="宋体"/>
          <w:color w:val="000000" w:themeColor="text1"/>
          <w14:textFill>
            <w14:solidFill>
              <w14:schemeClr w14:val="tx1"/>
            </w14:solidFill>
          </w14:textFill>
        </w:rPr>
        <w:t>摆锤的转动轴与撞击中心间的距离不小于</w:t>
      </w:r>
      <w:r>
        <w:rPr>
          <w:rFonts w:ascii="宋体" w:hAnsi="宋体" w:eastAsia="宋体"/>
          <w:color w:val="000000" w:themeColor="text1"/>
          <w14:textFill>
            <w14:solidFill>
              <w14:schemeClr w14:val="tx1"/>
            </w14:solidFill>
          </w14:textFill>
        </w:rPr>
        <w:t>3.3 m</w:t>
      </w:r>
      <w:r>
        <w:rPr>
          <w:rFonts w:hint="eastAsia" w:ascii="宋体" w:hAnsi="宋体" w:eastAsia="宋体"/>
          <w:color w:val="000000" w:themeColor="text1"/>
          <w14:textFill>
            <w14:solidFill>
              <w14:schemeClr w14:val="tx1"/>
            </w14:solidFill>
          </w14:textFill>
        </w:rPr>
        <w:t>。碰撞器的基准线应与摆锤的撞击中心在同一高度上</w:t>
      </w:r>
      <w:r>
        <w:rPr>
          <w:rFonts w:hint="eastAsia" w:ascii="宋体" w:hAnsi="宋体" w:eastAsia="宋体"/>
          <w:color w:val="000000" w:themeColor="text1"/>
          <w:lang w:eastAsia="zh-CN"/>
          <w14:textFill>
            <w14:solidFill>
              <w14:schemeClr w14:val="tx1"/>
            </w14:solidFill>
          </w14:textFill>
        </w:rPr>
        <w:t>；</w:t>
      </w:r>
    </w:p>
    <w:p>
      <w:pPr>
        <w:pStyle w:val="50"/>
        <w:numPr>
          <w:ilvl w:val="-1"/>
          <w:numId w:val="0"/>
        </w:numPr>
        <w:spacing w:before="0" w:beforeLines="0" w:after="0" w:afterLines="0"/>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 xml:space="preserve">b) </w:t>
      </w:r>
      <w:r>
        <w:rPr>
          <w:rFonts w:hint="eastAsia" w:ascii="宋体" w:hAnsi="宋体" w:eastAsia="宋体"/>
          <w:color w:val="000000" w:themeColor="text1"/>
          <w14:textFill>
            <w14:solidFill>
              <w14:schemeClr w14:val="tx1"/>
            </w14:solidFill>
          </w14:textFill>
        </w:rPr>
        <w:t>试验时，A平面应始终与摆锤的转动轴线保持平行</w:t>
      </w:r>
      <w:r>
        <w:rPr>
          <w:rFonts w:hint="eastAsia" w:ascii="宋体" w:hAnsi="宋体" w:eastAsia="宋体"/>
          <w:color w:val="000000" w:themeColor="text1"/>
          <w:lang w:eastAsia="zh-CN"/>
          <w14:textFill>
            <w14:solidFill>
              <w14:schemeClr w14:val="tx1"/>
            </w14:solidFill>
          </w14:textFill>
        </w:rPr>
        <w:t>；</w:t>
      </w:r>
    </w:p>
    <w:p>
      <w:pPr>
        <w:pStyle w:val="50"/>
        <w:numPr>
          <w:ilvl w:val="-1"/>
          <w:numId w:val="0"/>
        </w:numPr>
        <w:spacing w:before="0" w:beforeLines="0" w:after="0" w:afterLines="0"/>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 xml:space="preserve">c) </w:t>
      </w:r>
      <w:r>
        <w:rPr>
          <w:rFonts w:hint="eastAsia" w:ascii="宋体" w:hAnsi="宋体" w:eastAsia="宋体"/>
          <w:color w:val="000000" w:themeColor="text1"/>
          <w14:textFill>
            <w14:solidFill>
              <w14:schemeClr w14:val="tx1"/>
            </w14:solidFill>
          </w14:textFill>
        </w:rPr>
        <w:t>若摆锤采用平行四边形悬吊，则基准线上任何一点的运动轨迹的半径不小于3.3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w:t>
      </w:r>
    </w:p>
    <w:p>
      <w:pPr>
        <w:pStyle w:val="50"/>
        <w:numPr>
          <w:ilvl w:val="-1"/>
          <w:numId w:val="0"/>
        </w:numPr>
        <w:spacing w:before="0" w:beforeLines="0" w:after="0" w:afterLines="0"/>
        <w:rPr>
          <w:rFonts w:hint="eastAsia" w:ascii="宋体" w:hAnsi="宋体" w:eastAsia="宋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5.3.</w:t>
      </w:r>
      <w:r>
        <w:rPr>
          <w:rFonts w:hint="eastAsia" w:hAnsi="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w:t>
      </w:r>
      <w:r>
        <w:rPr>
          <w:rFonts w:hint="eastAsia" w:hAnsi="黑体" w:cs="黑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采用</w:t>
      </w:r>
      <w:bookmarkStart w:id="45" w:name="_Hlk34297041"/>
      <w:r>
        <w:rPr>
          <w:rFonts w:hint="eastAsia" w:ascii="宋体" w:hAnsi="宋体" w:eastAsia="宋体"/>
          <w:color w:val="000000" w:themeColor="text1"/>
          <w14:textFill>
            <w14:solidFill>
              <w14:schemeClr w14:val="tx1"/>
            </w14:solidFill>
          </w14:textFill>
        </w:rPr>
        <w:t>移动台车</w:t>
      </w:r>
      <w:bookmarkEnd w:id="45"/>
      <w:r>
        <w:rPr>
          <w:rFonts w:hint="eastAsia" w:ascii="宋体" w:hAnsi="宋体" w:eastAsia="宋体"/>
          <w:color w:val="000000" w:themeColor="text1"/>
          <w14:textFill>
            <w14:solidFill>
              <w14:schemeClr w14:val="tx1"/>
            </w14:solidFill>
          </w14:textFill>
        </w:rPr>
        <w:t>形式的碰撞装置</w: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如果碰撞器是通过连接件固定在移动台车上，连接件在碰撞中不</w:t>
      </w: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变形。碰撞时移动台车应能自由运动而不</w:t>
      </w: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再受驱动机构的作用。</w:t>
      </w:r>
    </w:p>
    <w:p>
      <w:pPr>
        <w:pStyle w:val="51"/>
        <w:spacing w:before="156" w:after="156"/>
        <w:ind w:left="0"/>
        <w:outlineLvl w:val="1"/>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试验</w:t>
      </w:r>
      <w:r>
        <w:rPr>
          <w:rFonts w:hint="eastAsia" w:hAnsi="黑体"/>
          <w:color w:val="000000" w:themeColor="text1"/>
          <w:lang w:val="en-US" w:eastAsia="zh-CN"/>
          <w14:textFill>
            <w14:solidFill>
              <w14:schemeClr w14:val="tx1"/>
            </w14:solidFill>
          </w14:textFill>
        </w:rPr>
        <w:t>方法</w:t>
      </w:r>
    </w:p>
    <w:p>
      <w:pPr>
        <w:pStyle w:val="50"/>
        <w:ind w:left="0"/>
      </w:pPr>
      <w:r>
        <w:rPr>
          <w:rFonts w:hint="eastAsia"/>
        </w:rPr>
        <w:t>纵向碰撞试验</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试验</w:t>
      </w:r>
      <w:r>
        <w:rPr>
          <w:rFonts w:hint="eastAsia" w:ascii="宋体" w:hAnsi="宋体" w:eastAsia="宋体"/>
          <w:color w:val="000000" w:themeColor="text1"/>
          <w:lang w:val="en-US" w:eastAsia="zh-CN"/>
          <w14:textFill>
            <w14:solidFill>
              <w14:schemeClr w14:val="tx1"/>
            </w14:solidFill>
          </w14:textFill>
        </w:rPr>
        <w:t>分成</w:t>
      </w:r>
      <w:r>
        <w:rPr>
          <w:rFonts w:hint="eastAsia" w:ascii="宋体" w:hAnsi="宋体" w:eastAsia="宋体"/>
          <w:color w:val="000000" w:themeColor="text1"/>
          <w14:textFill>
            <w14:solidFill>
              <w14:schemeClr w14:val="tx1"/>
            </w14:solidFill>
          </w14:textFill>
        </w:rPr>
        <w:t>对车辆正前方的两次碰撞和正后方的两次碰撞。每</w:t>
      </w:r>
      <w:r>
        <w:rPr>
          <w:rFonts w:hint="eastAsia" w:ascii="宋体" w:hAnsi="宋体" w:eastAsia="宋体"/>
          <w:color w:val="000000" w:themeColor="text1"/>
          <w:lang w:val="en-US" w:eastAsia="zh-CN"/>
          <w14:textFill>
            <w14:solidFill>
              <w14:schemeClr w14:val="tx1"/>
            </w14:solidFill>
          </w14:textFill>
        </w:rPr>
        <w:t>个</w:t>
      </w:r>
      <w:r>
        <w:rPr>
          <w:rFonts w:hint="eastAsia" w:ascii="宋体" w:hAnsi="宋体" w:eastAsia="宋体"/>
          <w:color w:val="000000" w:themeColor="text1"/>
          <w14:textFill>
            <w14:solidFill>
              <w14:schemeClr w14:val="tx1"/>
            </w14:solidFill>
          </w14:textFill>
        </w:rPr>
        <w:t>方向的两次</w:t>
      </w:r>
      <w:r>
        <w:rPr>
          <w:rFonts w:hint="eastAsia" w:ascii="宋体" w:hAnsi="宋体" w:eastAsia="宋体"/>
          <w:color w:val="000000" w:themeColor="text1"/>
          <w:lang w:val="en-US" w:eastAsia="zh-CN"/>
          <w14:textFill>
            <w14:solidFill>
              <w14:schemeClr w14:val="tx1"/>
            </w14:solidFill>
          </w14:textFill>
        </w:rPr>
        <w:t>试验</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分别在</w:t>
      </w:r>
      <w:r>
        <w:rPr>
          <w:rFonts w:hint="eastAsia" w:ascii="宋体" w:hAnsi="宋体" w:eastAsia="宋体"/>
          <w:color w:val="000000" w:themeColor="text1"/>
          <w14:textFill>
            <w14:solidFill>
              <w14:schemeClr w14:val="tx1"/>
            </w14:solidFill>
          </w14:textFill>
        </w:rPr>
        <w:t>整车整备质量</w:t>
      </w:r>
      <w:r>
        <w:rPr>
          <w:rFonts w:hint="eastAsia" w:ascii="宋体" w:hAnsi="宋体" w:eastAsia="宋体"/>
          <w:color w:val="000000" w:themeColor="text1"/>
          <w:lang w:val="en-US" w:eastAsia="zh-CN"/>
          <w14:textFill>
            <w14:solidFill>
              <w14:schemeClr w14:val="tx1"/>
            </w14:solidFill>
          </w14:textFill>
        </w:rPr>
        <w:t>状态和</w:t>
      </w:r>
      <w:r>
        <w:rPr>
          <w:rFonts w:hint="eastAsia" w:ascii="宋体" w:hAnsi="宋体" w:eastAsia="宋体"/>
          <w:color w:val="000000" w:themeColor="text1"/>
          <w14:textFill>
            <w14:solidFill>
              <w14:schemeClr w14:val="tx1"/>
            </w14:solidFill>
          </w14:textFill>
        </w:rPr>
        <w:t>试验车</w:t>
      </w:r>
      <w:r>
        <w:rPr>
          <w:rFonts w:hint="eastAsia" w:ascii="宋体" w:hAnsi="宋体" w:eastAsia="宋体"/>
          <w:color w:val="000000" w:themeColor="text1"/>
          <w:lang w:val="en-US" w:eastAsia="zh-CN"/>
          <w14:textFill>
            <w14:solidFill>
              <w14:schemeClr w14:val="tx1"/>
            </w14:solidFill>
          </w14:textFill>
        </w:rPr>
        <w:t>加载</w:t>
      </w:r>
      <w:r>
        <w:rPr>
          <w:rFonts w:hint="eastAsia" w:ascii="宋体" w:hAnsi="宋体" w:eastAsia="宋体"/>
          <w:color w:val="000000" w:themeColor="text1"/>
          <w14:textFill>
            <w14:solidFill>
              <w14:schemeClr w14:val="tx1"/>
            </w14:solidFill>
          </w14:textFill>
        </w:rPr>
        <w:t>质量</w:t>
      </w:r>
      <w:r>
        <w:rPr>
          <w:rFonts w:hint="eastAsia" w:ascii="宋体" w:hAnsi="宋体" w:eastAsia="宋体"/>
          <w:color w:val="000000" w:themeColor="text1"/>
          <w:lang w:val="en-US" w:eastAsia="zh-CN"/>
          <w14:textFill>
            <w14:solidFill>
              <w14:schemeClr w14:val="tx1"/>
            </w14:solidFill>
          </w14:textFill>
        </w:rPr>
        <w:t>状态下进行</w:t>
      </w:r>
      <w:r>
        <w:rPr>
          <w:rFonts w:hint="eastAsia" w:ascii="宋体" w:hAnsi="宋体" w:eastAsia="宋体"/>
          <w:color w:val="000000" w:themeColor="text1"/>
          <w:lang w:eastAsia="zh-CN"/>
          <w14:textFill>
            <w14:solidFill>
              <w14:schemeClr w14:val="tx1"/>
            </w14:solidFill>
          </w14:textFill>
        </w:rPr>
        <w:t>。</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在车辆</w:t>
      </w:r>
      <w:r>
        <w:rPr>
          <w:rFonts w:hint="eastAsia" w:ascii="宋体" w:hAnsi="宋体" w:eastAsia="宋体"/>
          <w:color w:val="000000" w:themeColor="text1"/>
          <w:lang w:val="en-US" w:eastAsia="zh-CN"/>
          <w14:textFill>
            <w14:solidFill>
              <w14:schemeClr w14:val="tx1"/>
            </w14:solidFill>
          </w14:textFill>
        </w:rPr>
        <w:t>正前方的</w:t>
      </w:r>
      <w:r>
        <w:rPr>
          <w:rFonts w:hint="eastAsia" w:ascii="宋体" w:hAnsi="宋体" w:eastAsia="宋体"/>
          <w:color w:val="000000" w:themeColor="text1"/>
          <w14:textFill>
            <w14:solidFill>
              <w14:schemeClr w14:val="tx1"/>
            </w14:solidFill>
          </w14:textFill>
        </w:rPr>
        <w:t>两次碰撞</w:t>
      </w:r>
      <w:r>
        <w:rPr>
          <w:rFonts w:hint="eastAsia" w:ascii="宋体" w:hAnsi="宋体" w:eastAsia="宋体"/>
          <w:color w:val="000000" w:themeColor="text1"/>
          <w:lang w:val="en-US" w:eastAsia="zh-CN"/>
          <w14:textFill>
            <w14:solidFill>
              <w14:schemeClr w14:val="tx1"/>
            </w14:solidFill>
          </w14:textFill>
        </w:rPr>
        <w:t>试验和正后方的两次碰撞试验</w:t>
      </w:r>
      <w:r>
        <w:rPr>
          <w:rFonts w:hint="eastAsia" w:ascii="宋体" w:hAnsi="宋体" w:eastAsia="宋体"/>
          <w:color w:val="000000" w:themeColor="text1"/>
          <w14:textFill>
            <w14:solidFill>
              <w14:schemeClr w14:val="tx1"/>
            </w14:solidFill>
          </w14:textFill>
        </w:rPr>
        <w:t>中，第一次碰撞时，对碰撞器的位置没有限制</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而第二次碰撞时，碰撞器的中垂面位置应与第一次碰撞时的位置相距不小于300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mm，并应保证这两次碰撞时，碰撞器的撞击头轮廓不超过由通过保险杠角并平行于车辆纵向对称面的两个平面所限定的区域。</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如图1所示的碰撞器，应使A平面与地面保持垂直，基准线保持水平且基准高度为450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调整车辆位置，使位于保险杠角间的前后端保护装置接触碰撞器，但又不引起碰撞器晃动，同时车辆的纵向对称面应与碰撞器的A平面保持垂直。</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碰撞速度应为4</w:t>
      </w:r>
      <w:r>
        <w:rPr>
          <w:rFonts w:hint="eastAsia" w:ascii="宋体" w:hAnsi="宋体" w:eastAsia="宋体"/>
          <w:color w:val="000000" w:themeColor="text1"/>
          <w:vertAlign w:val="subscript"/>
          <w14:textFill>
            <w14:solidFill>
              <w14:schemeClr w14:val="tx1"/>
            </w14:solidFill>
          </w14:textFill>
        </w:rPr>
        <w:t>0</w:t>
      </w:r>
      <w:r>
        <w:rPr>
          <w:rFonts w:hint="eastAsia" w:ascii="宋体" w:hAnsi="宋体" w:eastAsia="宋体"/>
          <w:color w:val="000000" w:themeColor="text1"/>
          <w:vertAlign w:val="superscript"/>
          <w14:textFill>
            <w14:solidFill>
              <w14:schemeClr w14:val="tx1"/>
            </w14:solidFill>
          </w14:textFill>
        </w:rPr>
        <w:t>+0.25</w:t>
      </w:r>
      <w:r>
        <w:rPr>
          <w:rFonts w:hint="eastAsia" w:ascii="宋体" w:hAnsi="宋体" w:eastAsia="宋体"/>
          <w:color w:val="000000" w:themeColor="text1"/>
          <w14:textFill>
            <w14:solidFill>
              <w14:schemeClr w14:val="tx1"/>
            </w14:solidFill>
          </w14:textFill>
        </w:rPr>
        <w:t xml:space="preserve"> km／h，测量精度应不低于1％。</w:t>
      </w:r>
    </w:p>
    <w:p>
      <w:pPr>
        <w:pStyle w:val="50"/>
        <w:numPr>
          <w:ilvl w:val="3"/>
          <w:numId w:val="3"/>
        </w:numPr>
        <w:spacing w:before="0" w:beforeLines="0" w:after="0" w:afterLines="0"/>
      </w:pPr>
      <w:r>
        <w:rPr>
          <w:rFonts w:hint="eastAsia" w:ascii="宋体" w:hAnsi="宋体" w:eastAsia="宋体"/>
          <w:color w:val="000000" w:themeColor="text1"/>
          <w:lang w:val="en-US" w:eastAsia="zh-CN"/>
          <w14:textFill>
            <w14:solidFill>
              <w14:schemeClr w14:val="tx1"/>
            </w14:solidFill>
          </w14:textFill>
        </w:rPr>
        <w:t>每次试验后，应检查</w:t>
      </w:r>
      <w:r>
        <w:rPr>
          <w:rFonts w:hint="eastAsia" w:ascii="宋体" w:hAnsi="宋体" w:eastAsia="宋体"/>
          <w:highlight w:val="none"/>
        </w:rPr>
        <w:t>4.2</w:t>
      </w:r>
      <w:r>
        <w:rPr>
          <w:rFonts w:hint="eastAsia" w:ascii="宋体" w:hAnsi="宋体" w:eastAsia="宋体"/>
          <w:highlight w:val="none"/>
          <w:lang w:eastAsia="zh-CN"/>
        </w:rPr>
        <w:t>～</w:t>
      </w:r>
      <w:r>
        <w:rPr>
          <w:rFonts w:hint="eastAsia" w:ascii="宋体" w:hAnsi="宋体" w:eastAsia="宋体"/>
          <w:highlight w:val="none"/>
        </w:rPr>
        <w:t>4.8</w:t>
      </w:r>
      <w:r>
        <w:rPr>
          <w:rFonts w:hint="eastAsia" w:ascii="宋体" w:hAnsi="宋体" w:eastAsia="宋体"/>
          <w:color w:val="000000" w:themeColor="text1"/>
          <w:lang w:val="en-US" w:eastAsia="zh-CN"/>
          <w14:textFill>
            <w14:solidFill>
              <w14:schemeClr w14:val="tx1"/>
            </w14:solidFill>
          </w14:textFill>
        </w:rPr>
        <w:t>规定的技术内容。</w:t>
      </w:r>
    </w:p>
    <w:p>
      <w:pPr>
        <w:pStyle w:val="50"/>
        <w:rPr>
          <w:rFonts w:hint="eastAsia" w:hAnsi="Times New Roman"/>
        </w:rPr>
      </w:pPr>
      <w:r>
        <w:rPr>
          <w:rFonts w:hint="eastAsia" w:hAnsi="Times New Roman"/>
        </w:rPr>
        <w:t>对保险杠角的碰撞试验</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在车辆整车整备质量</w:t>
      </w:r>
      <w:r>
        <w:rPr>
          <w:rFonts w:hint="eastAsia" w:ascii="宋体" w:hAnsi="宋体" w:eastAsia="宋体"/>
          <w:color w:val="000000" w:themeColor="text1"/>
          <w:lang w:val="en-US" w:eastAsia="zh-CN"/>
          <w14:textFill>
            <w14:solidFill>
              <w14:schemeClr w14:val="tx1"/>
            </w14:solidFill>
          </w14:textFill>
        </w:rPr>
        <w:t>状态下</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对车辆前部和后部保险杠角</w:t>
      </w:r>
      <w:r>
        <w:rPr>
          <w:rFonts w:hint="eastAsia" w:ascii="宋体" w:hAnsi="宋体" w:eastAsia="宋体"/>
          <w:color w:val="000000" w:themeColor="text1"/>
          <w:lang w:val="en-US" w:eastAsia="zh-CN"/>
          <w14:textFill>
            <w14:solidFill>
              <w14:schemeClr w14:val="tx1"/>
            </w14:solidFill>
          </w14:textFill>
        </w:rPr>
        <w:t>分别进行</w:t>
      </w:r>
      <w:r>
        <w:rPr>
          <w:rFonts w:hint="eastAsia" w:ascii="宋体" w:hAnsi="宋体" w:eastAsia="宋体"/>
          <w:color w:val="000000" w:themeColor="text1"/>
          <w14:textFill>
            <w14:solidFill>
              <w14:schemeClr w14:val="tx1"/>
            </w14:solidFill>
          </w14:textFill>
        </w:rPr>
        <w:t>一次碰撞</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在车辆试验车</w:t>
      </w:r>
      <w:r>
        <w:rPr>
          <w:rFonts w:hint="eastAsia" w:ascii="宋体" w:hAnsi="宋体" w:eastAsia="宋体"/>
          <w:color w:val="000000" w:themeColor="text1"/>
          <w:lang w:val="en-US" w:eastAsia="zh-CN"/>
          <w14:textFill>
            <w14:solidFill>
              <w14:schemeClr w14:val="tx1"/>
            </w14:solidFill>
          </w14:textFill>
        </w:rPr>
        <w:t>加载</w:t>
      </w:r>
      <w:r>
        <w:rPr>
          <w:rFonts w:hint="eastAsia" w:ascii="宋体" w:hAnsi="宋体" w:eastAsia="宋体"/>
          <w:color w:val="000000" w:themeColor="text1"/>
          <w14:textFill>
            <w14:solidFill>
              <w14:schemeClr w14:val="tx1"/>
            </w14:solidFill>
          </w14:textFill>
        </w:rPr>
        <w:t>质量</w:t>
      </w:r>
      <w:r>
        <w:rPr>
          <w:rFonts w:hint="eastAsia" w:ascii="宋体" w:hAnsi="宋体" w:eastAsia="宋体"/>
          <w:color w:val="000000" w:themeColor="text1"/>
          <w:lang w:val="en-US" w:eastAsia="zh-CN"/>
          <w14:textFill>
            <w14:solidFill>
              <w14:schemeClr w14:val="tx1"/>
            </w14:solidFill>
          </w14:textFill>
        </w:rPr>
        <w:t>状态下，应</w:t>
      </w:r>
      <w:r>
        <w:rPr>
          <w:rFonts w:hint="eastAsia" w:ascii="宋体" w:hAnsi="宋体" w:eastAsia="宋体"/>
          <w:color w:val="000000" w:themeColor="text1"/>
          <w14:textFill>
            <w14:solidFill>
              <w14:schemeClr w14:val="tx1"/>
            </w14:solidFill>
          </w14:textFill>
        </w:rPr>
        <w:t>对</w:t>
      </w:r>
      <w:r>
        <w:rPr>
          <w:rFonts w:hint="eastAsia" w:ascii="宋体" w:hAnsi="宋体" w:eastAsia="宋体"/>
          <w:color w:val="000000" w:themeColor="text1"/>
          <w:lang w:val="en-US" w:eastAsia="zh-CN"/>
          <w14:textFill>
            <w14:solidFill>
              <w14:schemeClr w14:val="tx1"/>
            </w14:solidFill>
          </w14:textFill>
        </w:rPr>
        <w:t>车辆另一侧的</w:t>
      </w:r>
      <w:r>
        <w:rPr>
          <w:rFonts w:hint="eastAsia" w:ascii="宋体" w:hAnsi="宋体" w:eastAsia="宋体"/>
          <w:color w:val="000000" w:themeColor="text1"/>
          <w14:textFill>
            <w14:solidFill>
              <w14:schemeClr w14:val="tx1"/>
            </w14:solidFill>
          </w14:textFill>
        </w:rPr>
        <w:t>前部和后部保险杠角</w:t>
      </w:r>
      <w:r>
        <w:rPr>
          <w:rFonts w:hint="eastAsia" w:ascii="宋体" w:hAnsi="宋体" w:eastAsia="宋体"/>
          <w:color w:val="000000" w:themeColor="text1"/>
          <w:lang w:val="en-US" w:eastAsia="zh-CN"/>
          <w14:textFill>
            <w14:solidFill>
              <w14:schemeClr w14:val="tx1"/>
            </w14:solidFill>
          </w14:textFill>
        </w:rPr>
        <w:t>分别进行</w:t>
      </w:r>
      <w:r>
        <w:rPr>
          <w:rFonts w:hint="eastAsia" w:ascii="宋体" w:hAnsi="宋体" w:eastAsia="宋体"/>
          <w:color w:val="000000" w:themeColor="text1"/>
          <w14:textFill>
            <w14:solidFill>
              <w14:schemeClr w14:val="tx1"/>
            </w14:solidFill>
          </w14:textFill>
        </w:rPr>
        <w:t>一次碰撞。</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如图1所示的碰撞器，应使A平面与地面保持垂直，基准线保持水平且基准高度为450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调整车辆位置，使位于前后端保护装置的保险杠角接触碰撞器，但又不引起碰撞器晃动，同时还应符合以下条件：</w:t>
      </w:r>
    </w:p>
    <w:p>
      <w:pPr>
        <w:pStyle w:val="24"/>
        <w:spacing w:beforeLines="0" w:afterLine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 碰撞器的A平面与车辆的纵向对称面构成60°±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°夹角；</w:t>
      </w:r>
    </w:p>
    <w:p>
      <w:pPr>
        <w:pStyle w:val="24"/>
        <w:spacing w:beforeLines="0"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碰撞时</w:t>
      </w:r>
      <w:r>
        <w:rPr>
          <w:rFonts w:hint="eastAsia"/>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碰撞器与车辆的</w:t>
      </w:r>
      <w:r>
        <w:rPr>
          <w:rFonts w:hint="eastAsia"/>
          <w:color w:val="000000" w:themeColor="text1"/>
          <w:lang w:val="en-US" w:eastAsia="zh-CN"/>
          <w14:textFill>
            <w14:solidFill>
              <w14:schemeClr w14:val="tx1"/>
            </w14:solidFill>
          </w14:textFill>
        </w:rPr>
        <w:t>第一接触点</w:t>
      </w:r>
      <w:r>
        <w:rPr>
          <w:rFonts w:hint="eastAsia"/>
          <w:color w:val="000000" w:themeColor="text1"/>
          <w14:textFill>
            <w14:solidFill>
              <w14:schemeClr w14:val="tx1"/>
            </w14:solidFill>
          </w14:textFill>
        </w:rPr>
        <w:t>在碰撞器的中垂面上（允差±25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mm）。</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碰撞速度为2.5</w:t>
      </w:r>
      <w:r>
        <w:rPr>
          <w:rFonts w:hint="eastAsia" w:ascii="宋体" w:hAnsi="宋体" w:eastAsia="宋体"/>
          <w:color w:val="000000" w:themeColor="text1"/>
          <w:vertAlign w:val="subscript"/>
          <w14:textFill>
            <w14:solidFill>
              <w14:schemeClr w14:val="tx1"/>
            </w14:solidFill>
          </w14:textFill>
        </w:rPr>
        <w:t>0</w:t>
      </w:r>
      <w:r>
        <w:rPr>
          <w:rFonts w:hint="eastAsia" w:ascii="宋体" w:hAnsi="宋体" w:eastAsia="宋体"/>
          <w:color w:val="000000" w:themeColor="text1"/>
          <w:vertAlign w:val="superscript"/>
          <w14:textFill>
            <w14:solidFill>
              <w14:schemeClr w14:val="tx1"/>
            </w14:solidFill>
          </w14:textFill>
        </w:rPr>
        <w:t>+0.1</w:t>
      </w:r>
      <w:r>
        <w:rPr>
          <w:rFonts w:hint="eastAsia" w:ascii="宋体" w:hAnsi="宋体" w:eastAsia="宋体"/>
          <w:color w:val="000000" w:themeColor="text1"/>
          <w14:textFill>
            <w14:solidFill>
              <w14:schemeClr w14:val="tx1"/>
            </w14:solidFill>
          </w14:textFill>
        </w:rPr>
        <w:t xml:space="preserve"> km／h，测量精度应不低于1％。</w:t>
      </w:r>
    </w:p>
    <w:p>
      <w:pPr>
        <w:pStyle w:val="50"/>
        <w:numPr>
          <w:ilvl w:val="3"/>
          <w:numId w:val="3"/>
        </w:numPr>
        <w:spacing w:before="0" w:beforeLines="0" w:after="0" w:afterLine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每次试验后，应检查</w:t>
      </w:r>
      <w:r>
        <w:rPr>
          <w:rFonts w:hint="eastAsia" w:ascii="宋体" w:hAnsi="宋体" w:eastAsia="宋体"/>
          <w:color w:val="000000" w:themeColor="text1"/>
          <w14:textFill>
            <w14:solidFill>
              <w14:schemeClr w14:val="tx1"/>
            </w14:solidFill>
          </w14:textFill>
        </w:rPr>
        <w:t>4.2</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4.8</w:t>
      </w:r>
      <w:r>
        <w:rPr>
          <w:rFonts w:hint="eastAsia" w:ascii="宋体" w:hAnsi="宋体" w:eastAsia="宋体"/>
          <w:color w:val="000000" w:themeColor="text1"/>
          <w:lang w:val="en-US" w:eastAsia="zh-CN"/>
          <w14:textFill>
            <w14:solidFill>
              <w14:schemeClr w14:val="tx1"/>
            </w14:solidFill>
          </w14:textFill>
        </w:rPr>
        <w:t>规定的技术内容。</w:t>
      </w:r>
    </w:p>
    <w:p>
      <w:pPr>
        <w:pStyle w:val="50"/>
        <w:rPr>
          <w:rFonts w:hint="eastAsia" w:hAnsi="Times New Roman"/>
        </w:rPr>
      </w:pPr>
      <w:bookmarkStart w:id="46" w:name="_Toc26414"/>
      <w:r>
        <w:rPr>
          <w:rFonts w:hint="eastAsia" w:hAnsi="Times New Roman"/>
        </w:rPr>
        <w:t>其他规定</w:t>
      </w:r>
      <w:bookmarkEnd w:id="46"/>
    </w:p>
    <w:p>
      <w:pPr>
        <w:pStyle w:val="50"/>
        <w:numPr>
          <w:ilvl w:val="3"/>
        </w:numPr>
        <w:spacing w:before="0" w:beforeLines="0" w:after="0" w:afterLine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上一次</w:t>
      </w:r>
      <w:r>
        <w:rPr>
          <w:rFonts w:hint="eastAsia" w:ascii="宋体" w:hAnsi="宋体" w:eastAsia="宋体"/>
          <w:color w:val="000000" w:themeColor="text1"/>
          <w14:textFill>
            <w14:solidFill>
              <w14:schemeClr w14:val="tx1"/>
            </w14:solidFill>
          </w14:textFill>
        </w:rPr>
        <w:t>试验后下一</w:t>
      </w:r>
      <w:r>
        <w:rPr>
          <w:rFonts w:hint="eastAsia" w:ascii="宋体" w:hAnsi="宋体" w:eastAsia="宋体"/>
          <w:color w:val="000000" w:themeColor="text1"/>
          <w:lang w:val="en-US" w:eastAsia="zh-CN"/>
          <w14:textFill>
            <w14:solidFill>
              <w14:schemeClr w14:val="tx1"/>
            </w14:solidFill>
          </w14:textFill>
        </w:rPr>
        <w:t>次</w:t>
      </w:r>
      <w:r>
        <w:rPr>
          <w:rFonts w:hint="eastAsia" w:ascii="宋体" w:hAnsi="宋体" w:eastAsia="宋体"/>
          <w:color w:val="000000" w:themeColor="text1"/>
          <w14:textFill>
            <w14:solidFill>
              <w14:schemeClr w14:val="tx1"/>
            </w14:solidFill>
          </w14:textFill>
        </w:rPr>
        <w:t>试验前，前后端保护装置以及连接装置允许进行修理与更换。</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如果前后端保护装置中有能自动恢复材料，则在两</w:t>
      </w:r>
      <w:r>
        <w:rPr>
          <w:rFonts w:hint="eastAsia" w:ascii="宋体" w:hAnsi="宋体" w:eastAsia="宋体"/>
          <w:color w:val="000000" w:themeColor="text1"/>
          <w:lang w:val="en-US" w:eastAsia="zh-CN"/>
          <w14:textFill>
            <w14:solidFill>
              <w14:schemeClr w14:val="tx1"/>
            </w14:solidFill>
          </w14:textFill>
        </w:rPr>
        <w:t>次</w:t>
      </w:r>
      <w:r>
        <w:rPr>
          <w:rFonts w:hint="eastAsia" w:ascii="宋体" w:hAnsi="宋体" w:eastAsia="宋体"/>
          <w:color w:val="000000" w:themeColor="text1"/>
          <w14:textFill>
            <w14:solidFill>
              <w14:schemeClr w14:val="tx1"/>
            </w14:solidFill>
          </w14:textFill>
        </w:rPr>
        <w:t>试验之间应按制造厂的规定，留出材料自动恢复时间。</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制造厂要求，</w:t>
      </w:r>
      <w:r>
        <w:rPr>
          <w:rFonts w:hint="eastAsia" w:ascii="宋体" w:hAnsi="宋体" w:eastAsia="宋体"/>
          <w:color w:val="000000" w:themeColor="text1"/>
          <w:lang w:val="en-US" w:eastAsia="zh-CN"/>
          <w14:textFill>
            <w14:solidFill>
              <w14:schemeClr w14:val="tx1"/>
            </w14:solidFill>
          </w14:textFill>
        </w:rPr>
        <w:t>每次试验</w:t>
      </w:r>
      <w:r>
        <w:rPr>
          <w:rFonts w:hint="eastAsia" w:ascii="宋体" w:hAnsi="宋体" w:eastAsia="宋体"/>
          <w:color w:val="000000" w:themeColor="text1"/>
          <w14:textFill>
            <w14:solidFill>
              <w14:schemeClr w14:val="tx1"/>
            </w14:solidFill>
          </w14:textFill>
        </w:rPr>
        <w:t>允许</w:t>
      </w:r>
      <w:r>
        <w:rPr>
          <w:rFonts w:hint="eastAsia" w:ascii="宋体" w:hAnsi="宋体" w:eastAsia="宋体"/>
          <w:color w:val="000000" w:themeColor="text1"/>
          <w:lang w:val="en-US" w:eastAsia="zh-CN"/>
          <w14:textFill>
            <w14:solidFill>
              <w14:schemeClr w14:val="tx1"/>
            </w14:solidFill>
          </w14:textFill>
        </w:rPr>
        <w:t>使用已完成</w:t>
      </w:r>
      <w:r>
        <w:rPr>
          <w:rFonts w:hint="eastAsia" w:ascii="宋体" w:hAnsi="宋体" w:eastAsia="宋体"/>
          <w:color w:val="000000" w:themeColor="text1"/>
          <w14:textFill>
            <w14:solidFill>
              <w14:schemeClr w14:val="tx1"/>
            </w14:solidFill>
          </w14:textFill>
        </w:rPr>
        <w:t>其他试验的车辆（包括除前后端保护装置外其他结构损坏的车辆）</w:t>
      </w:r>
      <w:r>
        <w:rPr>
          <w:rFonts w:hint="eastAsia" w:ascii="宋体" w:hAnsi="宋体" w:eastAsia="宋体"/>
          <w:color w:val="000000" w:themeColor="text1"/>
          <w:lang w:val="en-US" w:eastAsia="zh-CN"/>
          <w14:textFill>
            <w14:solidFill>
              <w14:schemeClr w14:val="tx1"/>
            </w14:solidFill>
          </w14:textFill>
        </w:rPr>
        <w:t>或同一型号的新车辆</w:t>
      </w:r>
      <w:r>
        <w:rPr>
          <w:rFonts w:hint="eastAsia" w:ascii="宋体" w:hAnsi="宋体" w:eastAsia="宋体"/>
          <w:color w:val="000000" w:themeColor="text1"/>
          <w14:textFill>
            <w14:solidFill>
              <w14:schemeClr w14:val="tx1"/>
            </w14:solidFill>
          </w14:textFill>
        </w:rPr>
        <w:t>。</w:t>
      </w:r>
    </w:p>
    <w:p>
      <w:pPr>
        <w:pStyle w:val="50"/>
        <w:numPr>
          <w:ilvl w:val="3"/>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制造厂要求，碰撞装置等效质量</w:t>
      </w:r>
      <w:r>
        <w:rPr>
          <w:rFonts w:hint="eastAsia" w:ascii="宋体" w:hAnsi="宋体" w:eastAsia="宋体"/>
          <w:color w:val="000000" w:themeColor="text1"/>
          <w:lang w:val="en-US" w:eastAsia="zh-CN"/>
          <w14:textFill>
            <w14:solidFill>
              <w14:schemeClr w14:val="tx1"/>
            </w14:solidFill>
          </w14:textFill>
        </w:rPr>
        <w:t>和/或</w:t>
      </w:r>
      <w:r>
        <w:rPr>
          <w:rFonts w:hint="eastAsia" w:ascii="宋体" w:hAnsi="宋体" w:eastAsia="宋体"/>
          <w:color w:val="000000" w:themeColor="text1"/>
          <w14:textFill>
            <w14:solidFill>
              <w14:schemeClr w14:val="tx1"/>
            </w14:solidFill>
          </w14:textFill>
        </w:rPr>
        <w:t>碰撞速度</w:t>
      </w:r>
      <w:r>
        <w:rPr>
          <w:rFonts w:hint="eastAsia" w:ascii="宋体" w:hAnsi="宋体" w:eastAsia="宋体"/>
          <w:color w:val="000000" w:themeColor="text1"/>
          <w:lang w:val="en-US" w:eastAsia="zh-CN"/>
          <w14:textFill>
            <w14:solidFill>
              <w14:schemeClr w14:val="tx1"/>
            </w14:solidFill>
          </w14:textFill>
        </w:rPr>
        <w:t>允许</w:t>
      </w:r>
      <w:r>
        <w:rPr>
          <w:rFonts w:hint="eastAsia" w:ascii="宋体" w:hAnsi="宋体" w:eastAsia="宋体"/>
          <w:color w:val="000000" w:themeColor="text1"/>
          <w14:textFill>
            <w14:solidFill>
              <w14:schemeClr w14:val="tx1"/>
            </w14:solidFill>
          </w14:textFill>
        </w:rPr>
        <w:t>高于</w:t>
      </w:r>
      <w:r>
        <w:rPr>
          <w:rFonts w:hint="eastAsia" w:ascii="宋体" w:hAnsi="宋体" w:eastAsia="宋体"/>
          <w:color w:val="000000" w:themeColor="text1"/>
          <w:lang w:val="en-US" w:eastAsia="zh-CN"/>
          <w14:textFill>
            <w14:solidFill>
              <w14:schemeClr w14:val="tx1"/>
            </w14:solidFill>
          </w14:textFill>
        </w:rPr>
        <w:t>5.3.1.3、5.4.1.5、5.4.2.4</w:t>
      </w:r>
      <w:r>
        <w:rPr>
          <w:rFonts w:hint="eastAsia" w:ascii="宋体" w:hAnsi="宋体" w:eastAsia="宋体"/>
          <w:color w:val="000000" w:themeColor="text1"/>
          <w14:textFill>
            <w14:solidFill>
              <w14:schemeClr w14:val="tx1"/>
            </w14:solidFill>
          </w14:textFill>
        </w:rPr>
        <w:t>的规定。</w:t>
      </w:r>
    </w:p>
    <w:bookmarkEnd w:id="44"/>
    <w:p>
      <w:pPr>
        <w:pStyle w:val="84"/>
        <w:spacing w:before="312" w:after="312"/>
        <w:outlineLvl w:val="0"/>
        <w:rPr>
          <w:color w:val="000000" w:themeColor="text1"/>
          <w14:textFill>
            <w14:solidFill>
              <w14:schemeClr w14:val="tx1"/>
            </w14:solidFill>
          </w14:textFill>
        </w:rPr>
      </w:pPr>
      <w:bookmarkStart w:id="47" w:name="_Toc6734"/>
      <w:bookmarkStart w:id="48" w:name="_Toc22733"/>
      <w:r>
        <w:rPr>
          <w:rFonts w:hint="eastAsia"/>
          <w:color w:val="000000" w:themeColor="text1"/>
          <w:lang w:val="en-US" w:eastAsia="zh-CN"/>
          <w14:textFill>
            <w14:solidFill>
              <w14:schemeClr w14:val="tx1"/>
            </w14:solidFill>
          </w14:textFill>
        </w:rPr>
        <w:t>同一</w:t>
      </w:r>
      <w:r>
        <w:rPr>
          <w:rFonts w:hint="eastAsia"/>
          <w:color w:val="000000" w:themeColor="text1"/>
          <w14:textFill>
            <w14:solidFill>
              <w14:schemeClr w14:val="tx1"/>
            </w14:solidFill>
          </w14:textFill>
        </w:rPr>
        <w:t>型式</w:t>
      </w:r>
      <w:r>
        <w:rPr>
          <w:rFonts w:hint="eastAsia"/>
          <w:color w:val="000000" w:themeColor="text1"/>
          <w:lang w:val="en-US" w:eastAsia="zh-CN"/>
          <w14:textFill>
            <w14:solidFill>
              <w14:schemeClr w14:val="tx1"/>
            </w14:solidFill>
          </w14:textFill>
        </w:rPr>
        <w:t>判定</w:t>
      </w:r>
      <w:bookmarkEnd w:id="47"/>
      <w:bookmarkEnd w:id="48"/>
    </w:p>
    <w:p>
      <w:pPr>
        <w:pStyle w:val="51"/>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如车辆</w:t>
      </w:r>
      <w:bookmarkStart w:id="49" w:name="_Hlk34299447"/>
      <w:r>
        <w:rPr>
          <w:rFonts w:hint="eastAsia" w:ascii="宋体" w:hAnsi="宋体" w:eastAsia="宋体"/>
          <w:color w:val="000000" w:themeColor="text1"/>
          <w14:textFill>
            <w14:solidFill>
              <w14:schemeClr w14:val="tx1"/>
            </w14:solidFill>
          </w14:textFill>
        </w:rPr>
        <w:t>符合</w:t>
      </w:r>
      <w:r>
        <w:rPr>
          <w:rFonts w:hint="eastAsia" w:ascii="宋体" w:hAnsi="宋体" w:eastAsia="宋体"/>
          <w:color w:val="000000" w:themeColor="text1"/>
          <w:lang w:val="en-US" w:eastAsia="zh-CN"/>
          <w14:textFill>
            <w14:solidFill>
              <w14:schemeClr w14:val="tx1"/>
            </w14:solidFill>
          </w14:textFill>
        </w:rPr>
        <w:t>下述a)</w:t>
      </w:r>
      <w:r>
        <w:rPr>
          <w:rFonts w:hint="eastAsia" w:ascii="宋体" w:hAnsi="宋体" w:eastAsia="宋体"/>
          <w:lang w:eastAsia="zh-CN"/>
        </w:rPr>
        <w:t>～</w:t>
      </w:r>
      <w:r>
        <w:rPr>
          <w:rFonts w:hint="eastAsia" w:ascii="宋体" w:hAnsi="宋体" w:eastAsia="宋体"/>
          <w:color w:val="000000" w:themeColor="text1"/>
          <w:lang w:val="en-US" w:eastAsia="zh-CN"/>
          <w14:textFill>
            <w14:solidFill>
              <w14:schemeClr w14:val="tx1"/>
            </w14:solidFill>
          </w14:textFill>
        </w:rPr>
        <w:t>e)</w:t>
      </w:r>
      <w:r>
        <w:rPr>
          <w:rFonts w:hint="eastAsia" w:ascii="宋体" w:hAnsi="宋体" w:eastAsia="宋体"/>
          <w:color w:val="000000" w:themeColor="text1"/>
          <w14:textFill>
            <w14:solidFill>
              <w14:schemeClr w14:val="tx1"/>
            </w14:solidFill>
          </w14:textFill>
        </w:rPr>
        <w:t>的规定，</w:t>
      </w:r>
      <w:bookmarkEnd w:id="49"/>
      <w:r>
        <w:rPr>
          <w:rFonts w:hint="eastAsia" w:ascii="宋体" w:hAnsi="宋体" w:eastAsia="宋体"/>
          <w:color w:val="000000" w:themeColor="text1"/>
          <w14:textFill>
            <w14:solidFill>
              <w14:schemeClr w14:val="tx1"/>
            </w14:solidFill>
          </w14:textFill>
        </w:rPr>
        <w:t>则</w:t>
      </w:r>
      <w:r>
        <w:rPr>
          <w:rFonts w:hint="eastAsia" w:ascii="宋体" w:hAnsi="宋体" w:eastAsia="宋体"/>
          <w:color w:val="000000" w:themeColor="text1"/>
          <w:lang w:val="en-US" w:eastAsia="zh-CN"/>
          <w14:textFill>
            <w14:solidFill>
              <w14:schemeClr w14:val="tx1"/>
            </w14:solidFill>
          </w14:textFill>
        </w:rPr>
        <w:t>视为同一</w:t>
      </w:r>
      <w:r>
        <w:rPr>
          <w:rFonts w:hint="eastAsia" w:ascii="宋体" w:hAnsi="宋体" w:eastAsia="宋体"/>
          <w:color w:val="000000" w:themeColor="text1"/>
          <w14:textFill>
            <w14:solidFill>
              <w14:schemeClr w14:val="tx1"/>
            </w14:solidFill>
          </w14:textFill>
        </w:rPr>
        <w:t>型式车辆</w:t>
      </w:r>
      <w:r>
        <w:rPr>
          <w:rFonts w:hint="eastAsia" w:ascii="宋体" w:hAnsi="宋体" w:eastAsia="宋体"/>
          <w:color w:val="000000" w:themeColor="text1"/>
          <w:lang w:eastAsia="zh-CN"/>
          <w14:textFill>
            <w14:solidFill>
              <w14:schemeClr w14:val="tx1"/>
            </w14:solidFill>
          </w14:textFill>
        </w:rPr>
        <w:t>。</w:t>
      </w:r>
    </w:p>
    <w:p>
      <w:pPr>
        <w:pStyle w:val="24"/>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a</w:t>
      </w:r>
      <w:r>
        <w:rPr>
          <w:rFonts w:hint="eastAsia" w:ascii="宋体" w:hAnsi="宋体" w:eastAsia="宋体"/>
          <w:color w:val="000000" w:themeColor="text1"/>
          <w:lang w:val="en-US" w:eastAsia="zh-CN"/>
          <w14:textFill>
            <w14:solidFill>
              <w14:schemeClr w14:val="tx1"/>
            </w14:solidFill>
          </w14:textFill>
        </w:rPr>
        <w:t>)</w:t>
      </w:r>
      <w:r>
        <w:rPr>
          <w:rFonts w:hint="eastAsia" w:hAnsi="宋体"/>
          <w:color w:val="000000" w:themeColor="text1"/>
          <w14:textFill>
            <w14:solidFill>
              <w14:schemeClr w14:val="tx1"/>
            </w14:solidFill>
          </w14:textFill>
        </w:rPr>
        <w:t>车辆前后端保护装置的结构、尺寸、形状和材料</w:t>
      </w:r>
      <w:r>
        <w:rPr>
          <w:rFonts w:hint="eastAsia" w:hAnsi="宋体"/>
          <w:color w:val="000000" w:themeColor="text1"/>
          <w:lang w:val="en-US" w:eastAsia="zh-CN"/>
          <w14:textFill>
            <w14:solidFill>
              <w14:schemeClr w14:val="tx1"/>
            </w14:solidFill>
          </w14:textFill>
        </w:rPr>
        <w:t>不发生变化</w:t>
      </w:r>
      <w:r>
        <w:rPr>
          <w:rFonts w:hint="eastAsia" w:hAnsi="宋体"/>
          <w:color w:val="000000" w:themeColor="text1"/>
          <w:lang w:eastAsia="zh-CN"/>
          <w14:textFill>
            <w14:solidFill>
              <w14:schemeClr w14:val="tx1"/>
            </w14:solidFill>
          </w14:textFill>
        </w:rPr>
        <w:t>。</w:t>
      </w:r>
    </w:p>
    <w:p>
      <w:pPr>
        <w:pStyle w:val="24"/>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b</w:t>
      </w:r>
      <w:r>
        <w:rPr>
          <w:rFonts w:hint="eastAsia" w:ascii="宋体" w:hAnsi="宋体" w:eastAsia="宋体"/>
          <w:color w:val="000000" w:themeColor="text1"/>
          <w:lang w:val="en-US" w:eastAsia="zh-CN"/>
          <w14:textFill>
            <w14:solidFill>
              <w14:schemeClr w14:val="tx1"/>
            </w14:solidFill>
          </w14:textFill>
        </w:rPr>
        <w:t>)</w:t>
      </w:r>
      <w:r>
        <w:rPr>
          <w:rFonts w:hint="eastAsia" w:hAnsi="宋体"/>
          <w:color w:val="000000" w:themeColor="text1"/>
          <w14:textFill>
            <w14:solidFill>
              <w14:schemeClr w14:val="tx1"/>
            </w14:solidFill>
          </w14:textFill>
        </w:rPr>
        <w:t>发动机或</w:t>
      </w:r>
      <w:r>
        <w:rPr>
          <w:rFonts w:hint="eastAsia" w:hAnsi="宋体"/>
          <w:color w:val="000000" w:themeColor="text1"/>
          <w:lang w:val="en-US" w:eastAsia="zh-CN"/>
          <w14:textFill>
            <w14:solidFill>
              <w14:schemeClr w14:val="tx1"/>
            </w14:solidFill>
          </w14:textFill>
        </w:rPr>
        <w:t>驱动电机</w:t>
      </w:r>
      <w:r>
        <w:rPr>
          <w:rFonts w:hint="eastAsia" w:hAnsi="宋体"/>
          <w:color w:val="000000" w:themeColor="text1"/>
          <w14:textFill>
            <w14:solidFill>
              <w14:schemeClr w14:val="tx1"/>
            </w14:solidFill>
          </w14:textFill>
        </w:rPr>
        <w:t>的布置位置（前置、后置或中置）</w:t>
      </w:r>
      <w:r>
        <w:rPr>
          <w:rFonts w:hint="eastAsia" w:hAnsi="宋体"/>
          <w:color w:val="000000" w:themeColor="text1"/>
          <w:lang w:val="en-US" w:eastAsia="zh-CN"/>
          <w14:textFill>
            <w14:solidFill>
              <w14:schemeClr w14:val="tx1"/>
            </w14:solidFill>
          </w14:textFill>
        </w:rPr>
        <w:t>相同</w:t>
      </w:r>
      <w:r>
        <w:rPr>
          <w:rFonts w:hint="eastAsia" w:hAnsi="宋体"/>
          <w:color w:val="000000" w:themeColor="text1"/>
          <w:lang w:eastAsia="zh-CN"/>
          <w14:textFill>
            <w14:solidFill>
              <w14:schemeClr w14:val="tx1"/>
            </w14:solidFill>
          </w14:textFill>
        </w:rPr>
        <w:t>。</w:t>
      </w:r>
    </w:p>
    <w:p>
      <w:pPr>
        <w:pStyle w:val="24"/>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c)</w:t>
      </w:r>
      <w:r>
        <w:rPr>
          <w:rFonts w:hint="eastAsia" w:hAnsi="宋体"/>
          <w:color w:val="000000" w:themeColor="text1"/>
          <w14:textFill>
            <w14:solidFill>
              <w14:schemeClr w14:val="tx1"/>
            </w14:solidFill>
          </w14:textFill>
        </w:rPr>
        <w:t>整车整备质量增加</w:t>
      </w:r>
      <w:r>
        <w:rPr>
          <w:rFonts w:hint="eastAsia" w:hAnsi="宋体"/>
          <w:color w:val="000000" w:themeColor="text1"/>
          <w:lang w:val="en-US" w:eastAsia="zh-CN"/>
          <w14:textFill>
            <w14:solidFill>
              <w14:schemeClr w14:val="tx1"/>
            </w14:solidFill>
          </w14:textFill>
        </w:rPr>
        <w:t>不</w:t>
      </w:r>
      <w:r>
        <w:rPr>
          <w:rFonts w:hint="eastAsia" w:hAnsi="宋体"/>
          <w:color w:val="000000" w:themeColor="text1"/>
          <w14:textFill>
            <w14:solidFill>
              <w14:schemeClr w14:val="tx1"/>
            </w14:solidFill>
          </w14:textFill>
        </w:rPr>
        <w:t>超过8%</w:t>
      </w:r>
      <w:r>
        <w:rPr>
          <w:rFonts w:hint="eastAsia" w:hAnsi="宋体"/>
          <w:color w:val="000000" w:themeColor="text1"/>
          <w:lang w:eastAsia="zh-CN"/>
          <w14:textFill>
            <w14:solidFill>
              <w14:schemeClr w14:val="tx1"/>
            </w14:solidFill>
          </w14:textFill>
        </w:rPr>
        <w:t>。</w:t>
      </w:r>
    </w:p>
    <w:p>
      <w:pPr>
        <w:pStyle w:val="24"/>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d</w:t>
      </w:r>
      <w:r>
        <w:rPr>
          <w:rFonts w:hint="eastAsia" w:ascii="宋体" w:hAnsi="宋体" w:eastAsia="宋体"/>
          <w:color w:val="000000" w:themeColor="text1"/>
          <w:lang w:val="en-US" w:eastAsia="zh-CN"/>
          <w14:textFill>
            <w14:solidFill>
              <w14:schemeClr w14:val="tx1"/>
            </w14:solidFill>
          </w14:textFill>
        </w:rPr>
        <w:t>)</w:t>
      </w:r>
      <w:r>
        <w:rPr>
          <w:rFonts w:hint="eastAsia" w:hAnsi="宋体"/>
          <w:color w:val="000000" w:themeColor="text1"/>
          <w14:textFill>
            <w14:solidFill>
              <w14:schemeClr w14:val="tx1"/>
            </w14:solidFill>
          </w14:textFill>
        </w:rPr>
        <w:t>车辆悬</w:t>
      </w:r>
      <w:bookmarkStart w:id="52" w:name="_GoBack"/>
      <w:bookmarkEnd w:id="52"/>
      <w:r>
        <w:rPr>
          <w:rFonts w:hint="eastAsia" w:hAnsi="宋体"/>
          <w:color w:val="000000" w:themeColor="text1"/>
          <w14:textFill>
            <w14:solidFill>
              <w14:schemeClr w14:val="tx1"/>
            </w14:solidFill>
          </w14:textFill>
        </w:rPr>
        <w:t>架参数</w:t>
      </w:r>
      <w:r>
        <w:rPr>
          <w:rFonts w:hint="eastAsia" w:hAnsi="宋体"/>
          <w:color w:val="000000" w:themeColor="text1"/>
          <w:lang w:val="en-US" w:eastAsia="zh-CN"/>
          <w14:textFill>
            <w14:solidFill>
              <w14:schemeClr w14:val="tx1"/>
            </w14:solidFill>
          </w14:textFill>
        </w:rPr>
        <w:t>变化不影响碰撞试验结果</w:t>
      </w:r>
      <w:r>
        <w:rPr>
          <w:rFonts w:hint="eastAsia" w:hAnsi="宋体"/>
          <w:color w:val="000000" w:themeColor="text1"/>
          <w:lang w:eastAsia="zh-CN"/>
          <w14:textFill>
            <w14:solidFill>
              <w14:schemeClr w14:val="tx1"/>
            </w14:solidFill>
          </w14:textFill>
        </w:rPr>
        <w:t>。</w:t>
      </w:r>
    </w:p>
    <w:p>
      <w:pPr>
        <w:pStyle w:val="24"/>
        <w:rPr>
          <w:rFonts w:hint="eastAsia" w:hAnsi="宋体"/>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e</w:t>
      </w:r>
      <w:r>
        <w:rPr>
          <w:rFonts w:hint="eastAsia" w:ascii="宋体" w:hAnsi="宋体" w:eastAsia="宋体"/>
          <w:color w:val="000000" w:themeColor="text1"/>
          <w:lang w:val="en-US" w:eastAsia="zh-CN"/>
          <w14:textFill>
            <w14:solidFill>
              <w14:schemeClr w14:val="tx1"/>
            </w14:solidFill>
          </w14:textFill>
        </w:rPr>
        <w:t>)</w:t>
      </w:r>
      <w:r>
        <w:rPr>
          <w:rFonts w:hint="eastAsia" w:hAnsi="宋体"/>
          <w:color w:val="000000" w:themeColor="text1"/>
          <w14:textFill>
            <w14:solidFill>
              <w14:schemeClr w14:val="tx1"/>
            </w14:solidFill>
          </w14:textFill>
        </w:rPr>
        <w:t>车辆座位数相同或减少。</w:t>
      </w:r>
    </w:p>
    <w:p>
      <w:pPr>
        <w:pStyle w:val="84"/>
        <w:spacing w:before="312" w:after="312"/>
        <w:outlineLvl w:val="0"/>
        <w:rPr>
          <w:rFonts w:hint="eastAsia"/>
          <w:color w:val="000000" w:themeColor="text1"/>
          <w14:textFill>
            <w14:solidFill>
              <w14:schemeClr w14:val="tx1"/>
            </w14:solidFill>
          </w14:textFill>
        </w:rPr>
      </w:pPr>
      <w:bookmarkStart w:id="50" w:name="_Toc20438"/>
      <w:bookmarkStart w:id="51" w:name="_Toc26066"/>
      <w:r>
        <w:rPr>
          <w:rFonts w:hint="eastAsia"/>
          <w:color w:val="000000" w:themeColor="text1"/>
          <w:lang w:val="en-US" w:eastAsia="zh-CN"/>
          <w14:textFill>
            <w14:solidFill>
              <w14:schemeClr w14:val="tx1"/>
            </w14:solidFill>
          </w14:textFill>
        </w:rPr>
        <w:t>标准</w:t>
      </w:r>
      <w:r>
        <w:rPr>
          <w:rFonts w:hint="eastAsia"/>
          <w:color w:val="000000" w:themeColor="text1"/>
          <w14:textFill>
            <w14:solidFill>
              <w14:schemeClr w14:val="tx1"/>
            </w14:solidFill>
          </w14:textFill>
        </w:rPr>
        <w:t>实施</w:t>
      </w:r>
      <w:r>
        <w:rPr>
          <w:rFonts w:hint="eastAsia"/>
          <w:color w:val="000000" w:themeColor="text1"/>
          <w:lang w:val="en-US" w:eastAsia="zh-CN"/>
          <w14:textFill>
            <w14:solidFill>
              <w14:schemeClr w14:val="tx1"/>
            </w14:solidFill>
          </w14:textFill>
        </w:rPr>
        <w:t>过渡</w:t>
      </w:r>
      <w:r>
        <w:rPr>
          <w:rFonts w:hint="eastAsia"/>
          <w:color w:val="000000" w:themeColor="text1"/>
          <w14:textFill>
            <w14:solidFill>
              <w14:schemeClr w14:val="tx1"/>
            </w14:solidFill>
          </w14:textFill>
        </w:rPr>
        <w:t>期</w:t>
      </w:r>
      <w:bookmarkEnd w:id="50"/>
      <w:bookmarkEnd w:id="51"/>
    </w:p>
    <w:p>
      <w:pPr>
        <w:pStyle w:val="51"/>
        <w:numPr>
          <w:ilvl w:val="0"/>
          <w:numId w:val="0"/>
        </w:numPr>
        <w:spacing w:beforeLines="0" w:afterLines="0"/>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对于新申请型式批准的车型，自本文件实施之日起开始执行</w:t>
      </w:r>
      <w:r>
        <w:rPr>
          <w:rFonts w:hint="eastAsia" w:ascii="宋体" w:hAnsi="宋体" w:eastAsia="宋体"/>
          <w:color w:val="000000" w:themeColor="text1"/>
          <w:lang w:eastAsia="zh-CN"/>
          <w14:textFill>
            <w14:solidFill>
              <w14:schemeClr w14:val="tx1"/>
            </w14:solidFill>
          </w14:textFill>
        </w:rPr>
        <w:t>。</w:t>
      </w:r>
    </w:p>
    <w:p>
      <w:pPr>
        <w:pStyle w:val="51"/>
        <w:numPr>
          <w:ilvl w:val="0"/>
          <w:numId w:val="0"/>
        </w:numPr>
        <w:spacing w:beforeLines="0" w:afterLines="0"/>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对于已获得型式批准的车型，自本文件实施之日起第</w:t>
      </w:r>
      <w:r>
        <w:rPr>
          <w:rFonts w:hint="eastAsia" w:ascii="宋体" w:hAnsi="宋体" w:eastAsia="宋体"/>
          <w:color w:val="000000" w:themeColor="text1"/>
          <w:lang w:val="en-US" w:eastAsia="zh-CN"/>
          <w14:textFill>
            <w14:solidFill>
              <w14:schemeClr w14:val="tx1"/>
            </w14:solidFill>
          </w14:textFill>
        </w:rPr>
        <w:t>13</w:t>
      </w:r>
      <w:r>
        <w:rPr>
          <w:rFonts w:hint="eastAsia" w:ascii="宋体" w:hAnsi="宋体" w:eastAsia="宋体"/>
          <w:color w:val="000000" w:themeColor="text1"/>
          <w14:textFill>
            <w14:solidFill>
              <w14:schemeClr w14:val="tx1"/>
            </w14:solidFill>
          </w14:textFill>
        </w:rPr>
        <w:t>个月开始执行。</w:t>
      </w:r>
    </w:p>
    <w:p>
      <w:pPr>
        <w:pStyle w:val="24"/>
        <w:ind w:firstLine="0" w:firstLineChars="0"/>
      </w:pPr>
      <w:r>
        <w:rPr>
          <w:rFonts w:hAnsi="宋体"/>
        </w:rPr>
        <mc:AlternateContent>
          <mc:Choice Requires="wps">
            <w:drawing>
              <wp:anchor distT="0" distB="0" distL="114300" distR="114300" simplePos="0" relativeHeight="251664384" behindDoc="0" locked="0" layoutInCell="1" allowOverlap="1">
                <wp:simplePos x="0" y="0"/>
                <wp:positionH relativeFrom="page">
                  <wp:posOffset>2679700</wp:posOffset>
                </wp:positionH>
                <wp:positionV relativeFrom="paragraph">
                  <wp:posOffset>267335</wp:posOffset>
                </wp:positionV>
                <wp:extent cx="28003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800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11pt;margin-top:21.05pt;height:0pt;width:220.5pt;mso-position-horizontal-relative:page;z-index:251664384;mso-width-relative:page;mso-height-relative:page;" filled="f" stroked="t" coordsize="21600,21600" o:gfxdata="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5jnn1QAAAAkBAAAPAAAAAAAAAAEAIAAAACIAAABkcnMvZG93&#10;bnJldi54bWxQSwECFAAUAAAACACHTuJAhJNBkAMCAAD2AwAADgAAAAAAAAABACAAAAAkAQAAZHJz&#10;L2Uyb0RvYy54bWxQSwUGAAAAAAYABgBZAQAAmQUAAAAA&#10;">
                <v:fill on="f" focussize="0,0"/>
                <v:stroke color="#000000" joinstyle="round"/>
                <v:imagedata o:title=""/>
                <o:lock v:ext="edit" aspectratio="f"/>
              </v:line>
            </w:pict>
          </mc:Fallback>
        </mc:AlternateConten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 xml:space="preserve">GB </w:t>
    </w:r>
    <w:r>
      <w:rPr>
        <w:rFonts w:hint="eastAsia"/>
      </w:rPr>
      <w:t>27999</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 17354-</w:t>
    </w:r>
    <w:r>
      <w:rPr>
        <w:rFonts w:hint="eastAsia"/>
      </w:rPr>
      <w:t>202</w:t>
    </w:r>
    <w:r>
      <w:t xml:space="preserve">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B2D"/>
    <w:multiLevelType w:val="multilevel"/>
    <w:tmpl w:val="C2699B2D"/>
    <w:lvl w:ilvl="0" w:tentative="0">
      <w:start w:val="1"/>
      <w:numFmt w:val="decimal"/>
      <w:pStyle w:val="8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137"/>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13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0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5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8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A8F7113"/>
    <w:multiLevelType w:val="multilevel"/>
    <w:tmpl w:val="2A8F7113"/>
    <w:lvl w:ilvl="0" w:tentative="0">
      <w:start w:val="1"/>
      <w:numFmt w:val="upperLetter"/>
      <w:pStyle w:val="128"/>
      <w:suff w:val="space"/>
      <w:lvlText w:val="%1"/>
      <w:lvlJc w:val="left"/>
      <w:pPr>
        <w:ind w:left="623" w:hanging="425"/>
      </w:pPr>
      <w:rPr>
        <w:rFonts w:hint="eastAsia"/>
      </w:rPr>
    </w:lvl>
    <w:lvl w:ilvl="1" w:tentative="0">
      <w:start w:val="1"/>
      <w:numFmt w:val="decimal"/>
      <w:pStyle w:val="11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39"/>
      <w:suff w:val="nothing"/>
      <w:lvlText w:val="%1——"/>
      <w:lvlJc w:val="left"/>
      <w:pPr>
        <w:ind w:left="833" w:hanging="408"/>
      </w:pPr>
      <w:rPr>
        <w:rFonts w:hint="eastAsia"/>
      </w:rPr>
    </w:lvl>
    <w:lvl w:ilvl="1" w:tentative="0">
      <w:start w:val="1"/>
      <w:numFmt w:val="bullet"/>
      <w:pStyle w:val="76"/>
      <w:lvlText w:val=""/>
      <w:lvlJc w:val="left"/>
      <w:pPr>
        <w:tabs>
          <w:tab w:val="left" w:pos="760"/>
        </w:tabs>
        <w:ind w:left="1264" w:hanging="413"/>
      </w:pPr>
      <w:rPr>
        <w:rFonts w:hint="default" w:ascii="Symbol" w:hAnsi="Symbol"/>
        <w:color w:val="auto"/>
      </w:rPr>
    </w:lvl>
    <w:lvl w:ilvl="2" w:tentative="0">
      <w:start w:val="1"/>
      <w:numFmt w:val="bullet"/>
      <w:pStyle w:val="13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11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4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15F67"/>
    <w:multiLevelType w:val="multilevel"/>
    <w:tmpl w:val="6A615F67"/>
    <w:lvl w:ilvl="0" w:tentative="0">
      <w:start w:val="1"/>
      <w:numFmt w:val="decimal"/>
      <w:lvlText w:val="3.%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6D6C07CD"/>
    <w:multiLevelType w:val="multilevel"/>
    <w:tmpl w:val="6D6C07CD"/>
    <w:lvl w:ilvl="0" w:tentative="0">
      <w:start w:val="1"/>
      <w:numFmt w:val="lowerLetter"/>
      <w:pStyle w:val="138"/>
      <w:lvlText w:val="%1)"/>
      <w:lvlJc w:val="left"/>
      <w:pPr>
        <w:tabs>
          <w:tab w:val="left" w:pos="839"/>
        </w:tabs>
        <w:ind w:left="839" w:hanging="419"/>
      </w:pPr>
      <w:rPr>
        <w:rFonts w:hint="eastAsia" w:ascii="宋体" w:eastAsia="宋体"/>
        <w:b w:val="0"/>
        <w:i w:val="0"/>
        <w:sz w:val="21"/>
      </w:rPr>
    </w:lvl>
    <w:lvl w:ilvl="1" w:tentative="0">
      <w:start w:val="1"/>
      <w:numFmt w:val="decimal"/>
      <w:pStyle w:val="12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780C2EBE"/>
    <w:multiLevelType w:val="multilevel"/>
    <w:tmpl w:val="780C2EBE"/>
    <w:lvl w:ilvl="0" w:tentative="0">
      <w:start w:val="1"/>
      <w:numFmt w:val="lowerLetter"/>
      <w:pStyle w:val="8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9"/>
  </w:num>
  <w:num w:numId="2">
    <w:abstractNumId w:val="11"/>
  </w:num>
  <w:num w:numId="3">
    <w:abstractNumId w:val="0"/>
  </w:num>
  <w:num w:numId="4">
    <w:abstractNumId w:val="5"/>
  </w:num>
  <w:num w:numId="5">
    <w:abstractNumId w:val="14"/>
  </w:num>
  <w:num w:numId="6">
    <w:abstractNumId w:val="4"/>
  </w:num>
  <w:num w:numId="7">
    <w:abstractNumId w:val="12"/>
  </w:num>
  <w:num w:numId="8">
    <w:abstractNumId w:val="8"/>
  </w:num>
  <w:num w:numId="9">
    <w:abstractNumId w:val="1"/>
  </w:num>
  <w:num w:numId="10">
    <w:abstractNumId w:val="17"/>
  </w:num>
  <w:num w:numId="11">
    <w:abstractNumId w:val="6"/>
  </w:num>
  <w:num w:numId="12">
    <w:abstractNumId w:val="3"/>
  </w:num>
  <w:num w:numId="13">
    <w:abstractNumId w:val="7"/>
  </w:num>
  <w:num w:numId="14">
    <w:abstractNumId w:val="10"/>
  </w:num>
  <w:num w:numId="15">
    <w:abstractNumId w:val="16"/>
  </w:num>
  <w:num w:numId="16">
    <w:abstractNumId w:val="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15179"/>
    <w:rsid w:val="0002143C"/>
    <w:rsid w:val="00022A1B"/>
    <w:rsid w:val="00025A65"/>
    <w:rsid w:val="00026C31"/>
    <w:rsid w:val="00027280"/>
    <w:rsid w:val="000320A7"/>
    <w:rsid w:val="000324EA"/>
    <w:rsid w:val="000355D8"/>
    <w:rsid w:val="00035925"/>
    <w:rsid w:val="00041158"/>
    <w:rsid w:val="000441F3"/>
    <w:rsid w:val="00044CAD"/>
    <w:rsid w:val="00053FF6"/>
    <w:rsid w:val="00060A0F"/>
    <w:rsid w:val="000621DB"/>
    <w:rsid w:val="0006547A"/>
    <w:rsid w:val="00067CDF"/>
    <w:rsid w:val="00072D5F"/>
    <w:rsid w:val="00074FBE"/>
    <w:rsid w:val="000751E2"/>
    <w:rsid w:val="000778FA"/>
    <w:rsid w:val="00083A09"/>
    <w:rsid w:val="0009005E"/>
    <w:rsid w:val="00090712"/>
    <w:rsid w:val="00092857"/>
    <w:rsid w:val="00095222"/>
    <w:rsid w:val="00097570"/>
    <w:rsid w:val="000A20A9"/>
    <w:rsid w:val="000A48B1"/>
    <w:rsid w:val="000B0133"/>
    <w:rsid w:val="000B3143"/>
    <w:rsid w:val="000B463B"/>
    <w:rsid w:val="000C03A6"/>
    <w:rsid w:val="000C6B05"/>
    <w:rsid w:val="000C6DD6"/>
    <w:rsid w:val="000C73D4"/>
    <w:rsid w:val="000D1ECD"/>
    <w:rsid w:val="000D3D4C"/>
    <w:rsid w:val="000D4F51"/>
    <w:rsid w:val="000D6295"/>
    <w:rsid w:val="000D718B"/>
    <w:rsid w:val="000E0C46"/>
    <w:rsid w:val="000E200E"/>
    <w:rsid w:val="000E2E0A"/>
    <w:rsid w:val="000F030C"/>
    <w:rsid w:val="000F123C"/>
    <w:rsid w:val="000F129C"/>
    <w:rsid w:val="000F3DD8"/>
    <w:rsid w:val="00102F1C"/>
    <w:rsid w:val="001056DE"/>
    <w:rsid w:val="001124C0"/>
    <w:rsid w:val="00125075"/>
    <w:rsid w:val="00127ED6"/>
    <w:rsid w:val="0013175F"/>
    <w:rsid w:val="00131B09"/>
    <w:rsid w:val="001334D7"/>
    <w:rsid w:val="001350D2"/>
    <w:rsid w:val="001370FC"/>
    <w:rsid w:val="001442DD"/>
    <w:rsid w:val="001512B4"/>
    <w:rsid w:val="001522A9"/>
    <w:rsid w:val="00154284"/>
    <w:rsid w:val="00161033"/>
    <w:rsid w:val="00162049"/>
    <w:rsid w:val="001620A5"/>
    <w:rsid w:val="00163978"/>
    <w:rsid w:val="00164E53"/>
    <w:rsid w:val="0016699D"/>
    <w:rsid w:val="001706C4"/>
    <w:rsid w:val="00170EE3"/>
    <w:rsid w:val="00175159"/>
    <w:rsid w:val="00176208"/>
    <w:rsid w:val="0017645B"/>
    <w:rsid w:val="00180D63"/>
    <w:rsid w:val="0018211B"/>
    <w:rsid w:val="00183930"/>
    <w:rsid w:val="001840D3"/>
    <w:rsid w:val="001900F8"/>
    <w:rsid w:val="00191258"/>
    <w:rsid w:val="00192680"/>
    <w:rsid w:val="00193037"/>
    <w:rsid w:val="00193A2C"/>
    <w:rsid w:val="00196CDC"/>
    <w:rsid w:val="001A288E"/>
    <w:rsid w:val="001A2ACE"/>
    <w:rsid w:val="001B45E2"/>
    <w:rsid w:val="001B6DC2"/>
    <w:rsid w:val="001C149C"/>
    <w:rsid w:val="001C21AC"/>
    <w:rsid w:val="001C230D"/>
    <w:rsid w:val="001C47BA"/>
    <w:rsid w:val="001C59EA"/>
    <w:rsid w:val="001C637A"/>
    <w:rsid w:val="001D406C"/>
    <w:rsid w:val="001D41EE"/>
    <w:rsid w:val="001E0380"/>
    <w:rsid w:val="001E13B1"/>
    <w:rsid w:val="001F3227"/>
    <w:rsid w:val="001F3A19"/>
    <w:rsid w:val="00213877"/>
    <w:rsid w:val="00214697"/>
    <w:rsid w:val="0022225F"/>
    <w:rsid w:val="002309DA"/>
    <w:rsid w:val="00233997"/>
    <w:rsid w:val="00234467"/>
    <w:rsid w:val="00237D8D"/>
    <w:rsid w:val="00241DA2"/>
    <w:rsid w:val="00245E7F"/>
    <w:rsid w:val="00246F81"/>
    <w:rsid w:val="0024720F"/>
    <w:rsid w:val="00247FEE"/>
    <w:rsid w:val="00250E7D"/>
    <w:rsid w:val="002510A4"/>
    <w:rsid w:val="00251D95"/>
    <w:rsid w:val="00255D79"/>
    <w:rsid w:val="002565D5"/>
    <w:rsid w:val="002622C0"/>
    <w:rsid w:val="00264CD0"/>
    <w:rsid w:val="0027336D"/>
    <w:rsid w:val="00275837"/>
    <w:rsid w:val="002777E9"/>
    <w:rsid w:val="002778AE"/>
    <w:rsid w:val="0028269A"/>
    <w:rsid w:val="00283590"/>
    <w:rsid w:val="00283A2C"/>
    <w:rsid w:val="00286973"/>
    <w:rsid w:val="00292152"/>
    <w:rsid w:val="00294E70"/>
    <w:rsid w:val="002A1924"/>
    <w:rsid w:val="002A71DB"/>
    <w:rsid w:val="002A72DA"/>
    <w:rsid w:val="002A7420"/>
    <w:rsid w:val="002B0F12"/>
    <w:rsid w:val="002B1308"/>
    <w:rsid w:val="002B276C"/>
    <w:rsid w:val="002B4554"/>
    <w:rsid w:val="002C5C89"/>
    <w:rsid w:val="002C72D8"/>
    <w:rsid w:val="002D11FA"/>
    <w:rsid w:val="002D246C"/>
    <w:rsid w:val="002D2E9C"/>
    <w:rsid w:val="002E0DDF"/>
    <w:rsid w:val="002E2906"/>
    <w:rsid w:val="002E5597"/>
    <w:rsid w:val="002E5635"/>
    <w:rsid w:val="002E64C3"/>
    <w:rsid w:val="002E6A2C"/>
    <w:rsid w:val="002F1D8C"/>
    <w:rsid w:val="002F21DA"/>
    <w:rsid w:val="00301F39"/>
    <w:rsid w:val="003038EB"/>
    <w:rsid w:val="00305C44"/>
    <w:rsid w:val="0030743D"/>
    <w:rsid w:val="00325832"/>
    <w:rsid w:val="00325926"/>
    <w:rsid w:val="003277E5"/>
    <w:rsid w:val="00327A8A"/>
    <w:rsid w:val="00332D8C"/>
    <w:rsid w:val="00336610"/>
    <w:rsid w:val="00343F73"/>
    <w:rsid w:val="00345060"/>
    <w:rsid w:val="003465E7"/>
    <w:rsid w:val="0035323B"/>
    <w:rsid w:val="003609D2"/>
    <w:rsid w:val="00363F22"/>
    <w:rsid w:val="00370056"/>
    <w:rsid w:val="0037046A"/>
    <w:rsid w:val="00372347"/>
    <w:rsid w:val="00375564"/>
    <w:rsid w:val="0037600A"/>
    <w:rsid w:val="00383191"/>
    <w:rsid w:val="003868D0"/>
    <w:rsid w:val="00386DED"/>
    <w:rsid w:val="00390924"/>
    <w:rsid w:val="003912E7"/>
    <w:rsid w:val="00393947"/>
    <w:rsid w:val="003A2275"/>
    <w:rsid w:val="003A241D"/>
    <w:rsid w:val="003A6A4F"/>
    <w:rsid w:val="003A7088"/>
    <w:rsid w:val="003B00DF"/>
    <w:rsid w:val="003B0492"/>
    <w:rsid w:val="003B1275"/>
    <w:rsid w:val="003B1778"/>
    <w:rsid w:val="003C11CB"/>
    <w:rsid w:val="003C75F3"/>
    <w:rsid w:val="003C78A3"/>
    <w:rsid w:val="003D5282"/>
    <w:rsid w:val="003D67F1"/>
    <w:rsid w:val="003E1867"/>
    <w:rsid w:val="003E5729"/>
    <w:rsid w:val="003F4A28"/>
    <w:rsid w:val="003F4EE0"/>
    <w:rsid w:val="00402153"/>
    <w:rsid w:val="00402FC1"/>
    <w:rsid w:val="00404B02"/>
    <w:rsid w:val="0040630A"/>
    <w:rsid w:val="0040644A"/>
    <w:rsid w:val="004246C2"/>
    <w:rsid w:val="00425082"/>
    <w:rsid w:val="00425995"/>
    <w:rsid w:val="0043082D"/>
    <w:rsid w:val="00431DEB"/>
    <w:rsid w:val="00441047"/>
    <w:rsid w:val="004463BF"/>
    <w:rsid w:val="00446B29"/>
    <w:rsid w:val="00453F9A"/>
    <w:rsid w:val="00464B78"/>
    <w:rsid w:val="00470A9B"/>
    <w:rsid w:val="00470D8B"/>
    <w:rsid w:val="00471E91"/>
    <w:rsid w:val="0047429E"/>
    <w:rsid w:val="00474675"/>
    <w:rsid w:val="0047470C"/>
    <w:rsid w:val="00474D75"/>
    <w:rsid w:val="00475B73"/>
    <w:rsid w:val="00480CF6"/>
    <w:rsid w:val="004850CC"/>
    <w:rsid w:val="00491A87"/>
    <w:rsid w:val="004947D4"/>
    <w:rsid w:val="00496830"/>
    <w:rsid w:val="0049741C"/>
    <w:rsid w:val="004A35F9"/>
    <w:rsid w:val="004B24C1"/>
    <w:rsid w:val="004C292F"/>
    <w:rsid w:val="004C5BA7"/>
    <w:rsid w:val="004C7B11"/>
    <w:rsid w:val="004D255E"/>
    <w:rsid w:val="004D5172"/>
    <w:rsid w:val="004E1A63"/>
    <w:rsid w:val="004E4127"/>
    <w:rsid w:val="004E5ACA"/>
    <w:rsid w:val="004E6773"/>
    <w:rsid w:val="004F3FDD"/>
    <w:rsid w:val="0050078C"/>
    <w:rsid w:val="00510280"/>
    <w:rsid w:val="00513D73"/>
    <w:rsid w:val="00514A43"/>
    <w:rsid w:val="005174E5"/>
    <w:rsid w:val="00520D57"/>
    <w:rsid w:val="00522393"/>
    <w:rsid w:val="00522620"/>
    <w:rsid w:val="00525656"/>
    <w:rsid w:val="005302AD"/>
    <w:rsid w:val="005341D1"/>
    <w:rsid w:val="00534C02"/>
    <w:rsid w:val="00534D04"/>
    <w:rsid w:val="005366D8"/>
    <w:rsid w:val="005371DA"/>
    <w:rsid w:val="00537D12"/>
    <w:rsid w:val="00541A88"/>
    <w:rsid w:val="0054264B"/>
    <w:rsid w:val="00543786"/>
    <w:rsid w:val="005476CA"/>
    <w:rsid w:val="00550C50"/>
    <w:rsid w:val="005533D7"/>
    <w:rsid w:val="00554C35"/>
    <w:rsid w:val="005703DE"/>
    <w:rsid w:val="0057327F"/>
    <w:rsid w:val="00575B22"/>
    <w:rsid w:val="00575B46"/>
    <w:rsid w:val="0058464E"/>
    <w:rsid w:val="005A01CB"/>
    <w:rsid w:val="005A4031"/>
    <w:rsid w:val="005A58FF"/>
    <w:rsid w:val="005A5E67"/>
    <w:rsid w:val="005A5EAF"/>
    <w:rsid w:val="005A64C0"/>
    <w:rsid w:val="005B3C11"/>
    <w:rsid w:val="005B5684"/>
    <w:rsid w:val="005C1C28"/>
    <w:rsid w:val="005C6DB5"/>
    <w:rsid w:val="005D0D19"/>
    <w:rsid w:val="005D5344"/>
    <w:rsid w:val="005E19E7"/>
    <w:rsid w:val="005E1C54"/>
    <w:rsid w:val="005E7EBC"/>
    <w:rsid w:val="005F2B6A"/>
    <w:rsid w:val="006020DA"/>
    <w:rsid w:val="00602A99"/>
    <w:rsid w:val="00606238"/>
    <w:rsid w:val="006073FF"/>
    <w:rsid w:val="00607BB7"/>
    <w:rsid w:val="006155C7"/>
    <w:rsid w:val="0061716C"/>
    <w:rsid w:val="00617F9F"/>
    <w:rsid w:val="006243A1"/>
    <w:rsid w:val="00632E56"/>
    <w:rsid w:val="00635CBA"/>
    <w:rsid w:val="00635DC9"/>
    <w:rsid w:val="0064338B"/>
    <w:rsid w:val="00646542"/>
    <w:rsid w:val="006476C0"/>
    <w:rsid w:val="006504F4"/>
    <w:rsid w:val="00652201"/>
    <w:rsid w:val="0065466E"/>
    <w:rsid w:val="00654BC9"/>
    <w:rsid w:val="00654C12"/>
    <w:rsid w:val="006552FD"/>
    <w:rsid w:val="0066010E"/>
    <w:rsid w:val="006639E9"/>
    <w:rsid w:val="00663AF3"/>
    <w:rsid w:val="00666B6C"/>
    <w:rsid w:val="006671C3"/>
    <w:rsid w:val="0067040E"/>
    <w:rsid w:val="0067055E"/>
    <w:rsid w:val="006713CE"/>
    <w:rsid w:val="00675ED7"/>
    <w:rsid w:val="00680907"/>
    <w:rsid w:val="00682682"/>
    <w:rsid w:val="00682702"/>
    <w:rsid w:val="00692368"/>
    <w:rsid w:val="006963D7"/>
    <w:rsid w:val="00696CDA"/>
    <w:rsid w:val="006A21B6"/>
    <w:rsid w:val="006A2E12"/>
    <w:rsid w:val="006A2EBC"/>
    <w:rsid w:val="006A3CE5"/>
    <w:rsid w:val="006A4238"/>
    <w:rsid w:val="006A5EA0"/>
    <w:rsid w:val="006A783B"/>
    <w:rsid w:val="006A7B33"/>
    <w:rsid w:val="006B4E13"/>
    <w:rsid w:val="006B75DD"/>
    <w:rsid w:val="006B771A"/>
    <w:rsid w:val="006C1B8F"/>
    <w:rsid w:val="006C24CA"/>
    <w:rsid w:val="006C67E0"/>
    <w:rsid w:val="006C72D8"/>
    <w:rsid w:val="006C7ABA"/>
    <w:rsid w:val="006D0D60"/>
    <w:rsid w:val="006D1122"/>
    <w:rsid w:val="006D3C00"/>
    <w:rsid w:val="006E2DA5"/>
    <w:rsid w:val="006E3675"/>
    <w:rsid w:val="006E4A7F"/>
    <w:rsid w:val="006E56F2"/>
    <w:rsid w:val="006E7979"/>
    <w:rsid w:val="006F4FA1"/>
    <w:rsid w:val="006F6C3C"/>
    <w:rsid w:val="006F7C48"/>
    <w:rsid w:val="00704DF6"/>
    <w:rsid w:val="0070651C"/>
    <w:rsid w:val="00710E2B"/>
    <w:rsid w:val="00712090"/>
    <w:rsid w:val="007123C4"/>
    <w:rsid w:val="007128C3"/>
    <w:rsid w:val="007132A3"/>
    <w:rsid w:val="00716421"/>
    <w:rsid w:val="00721974"/>
    <w:rsid w:val="0072253F"/>
    <w:rsid w:val="00724EFB"/>
    <w:rsid w:val="00731280"/>
    <w:rsid w:val="007419C3"/>
    <w:rsid w:val="00742860"/>
    <w:rsid w:val="007467A7"/>
    <w:rsid w:val="007469DD"/>
    <w:rsid w:val="0074741B"/>
    <w:rsid w:val="0074759E"/>
    <w:rsid w:val="007478EA"/>
    <w:rsid w:val="0075415C"/>
    <w:rsid w:val="00757EDD"/>
    <w:rsid w:val="00763293"/>
    <w:rsid w:val="00763502"/>
    <w:rsid w:val="007643CF"/>
    <w:rsid w:val="0077375A"/>
    <w:rsid w:val="0077536B"/>
    <w:rsid w:val="00777490"/>
    <w:rsid w:val="007776BE"/>
    <w:rsid w:val="00785D8C"/>
    <w:rsid w:val="007913AB"/>
    <w:rsid w:val="007914F7"/>
    <w:rsid w:val="0079574F"/>
    <w:rsid w:val="007974BD"/>
    <w:rsid w:val="007B1625"/>
    <w:rsid w:val="007B706E"/>
    <w:rsid w:val="007B71EB"/>
    <w:rsid w:val="007C435E"/>
    <w:rsid w:val="007C6205"/>
    <w:rsid w:val="007C686A"/>
    <w:rsid w:val="007C728E"/>
    <w:rsid w:val="007D1009"/>
    <w:rsid w:val="007D2C53"/>
    <w:rsid w:val="007D3A61"/>
    <w:rsid w:val="007D3D60"/>
    <w:rsid w:val="007D4921"/>
    <w:rsid w:val="007E1980"/>
    <w:rsid w:val="007E4B76"/>
    <w:rsid w:val="007E5D49"/>
    <w:rsid w:val="007E5EA8"/>
    <w:rsid w:val="007E7B0B"/>
    <w:rsid w:val="007F0CF1"/>
    <w:rsid w:val="007F12A5"/>
    <w:rsid w:val="007F1BB0"/>
    <w:rsid w:val="007F4CF1"/>
    <w:rsid w:val="007F757B"/>
    <w:rsid w:val="007F758D"/>
    <w:rsid w:val="007F7D52"/>
    <w:rsid w:val="0080654C"/>
    <w:rsid w:val="008071C6"/>
    <w:rsid w:val="00817A00"/>
    <w:rsid w:val="008271A0"/>
    <w:rsid w:val="008315F7"/>
    <w:rsid w:val="00834784"/>
    <w:rsid w:val="00834DF7"/>
    <w:rsid w:val="00835DB3"/>
    <w:rsid w:val="0083617B"/>
    <w:rsid w:val="008371BD"/>
    <w:rsid w:val="00837D81"/>
    <w:rsid w:val="00845000"/>
    <w:rsid w:val="008504A8"/>
    <w:rsid w:val="0085282E"/>
    <w:rsid w:val="0085609F"/>
    <w:rsid w:val="00866637"/>
    <w:rsid w:val="00867579"/>
    <w:rsid w:val="00871822"/>
    <w:rsid w:val="0087198C"/>
    <w:rsid w:val="0087269A"/>
    <w:rsid w:val="008727C6"/>
    <w:rsid w:val="00872A8C"/>
    <w:rsid w:val="00872C1F"/>
    <w:rsid w:val="00873B42"/>
    <w:rsid w:val="00882188"/>
    <w:rsid w:val="00882408"/>
    <w:rsid w:val="00883274"/>
    <w:rsid w:val="008856D8"/>
    <w:rsid w:val="008916EC"/>
    <w:rsid w:val="00892E82"/>
    <w:rsid w:val="00895DA8"/>
    <w:rsid w:val="00896840"/>
    <w:rsid w:val="008A7EB4"/>
    <w:rsid w:val="008B353F"/>
    <w:rsid w:val="008C011E"/>
    <w:rsid w:val="008C1B18"/>
    <w:rsid w:val="008C1B58"/>
    <w:rsid w:val="008C39AE"/>
    <w:rsid w:val="008C590D"/>
    <w:rsid w:val="008E031B"/>
    <w:rsid w:val="008E0E1B"/>
    <w:rsid w:val="008E2CCC"/>
    <w:rsid w:val="008E7029"/>
    <w:rsid w:val="008E7EF6"/>
    <w:rsid w:val="008F1F98"/>
    <w:rsid w:val="008F2481"/>
    <w:rsid w:val="008F6758"/>
    <w:rsid w:val="00901499"/>
    <w:rsid w:val="009040DD"/>
    <w:rsid w:val="00905B47"/>
    <w:rsid w:val="00905B4E"/>
    <w:rsid w:val="00911ACB"/>
    <w:rsid w:val="0091331C"/>
    <w:rsid w:val="00916DBB"/>
    <w:rsid w:val="00925D33"/>
    <w:rsid w:val="009279DE"/>
    <w:rsid w:val="00930116"/>
    <w:rsid w:val="00930520"/>
    <w:rsid w:val="009314FC"/>
    <w:rsid w:val="0094212C"/>
    <w:rsid w:val="00952486"/>
    <w:rsid w:val="00954689"/>
    <w:rsid w:val="00956F08"/>
    <w:rsid w:val="009617C9"/>
    <w:rsid w:val="00961C93"/>
    <w:rsid w:val="00965324"/>
    <w:rsid w:val="0097091E"/>
    <w:rsid w:val="009760D3"/>
    <w:rsid w:val="00977132"/>
    <w:rsid w:val="00981A4B"/>
    <w:rsid w:val="00982501"/>
    <w:rsid w:val="009828B7"/>
    <w:rsid w:val="009877D3"/>
    <w:rsid w:val="00993DFF"/>
    <w:rsid w:val="00994E8F"/>
    <w:rsid w:val="009951DC"/>
    <w:rsid w:val="009959BB"/>
    <w:rsid w:val="00997158"/>
    <w:rsid w:val="009A3A7C"/>
    <w:rsid w:val="009A501E"/>
    <w:rsid w:val="009A791A"/>
    <w:rsid w:val="009B2ADB"/>
    <w:rsid w:val="009B4F03"/>
    <w:rsid w:val="009B5536"/>
    <w:rsid w:val="009B603A"/>
    <w:rsid w:val="009C2532"/>
    <w:rsid w:val="009C2A81"/>
    <w:rsid w:val="009C2D0E"/>
    <w:rsid w:val="009C3DAC"/>
    <w:rsid w:val="009C42E0"/>
    <w:rsid w:val="009D14BB"/>
    <w:rsid w:val="009D4216"/>
    <w:rsid w:val="009D5362"/>
    <w:rsid w:val="009D5D2D"/>
    <w:rsid w:val="009E1415"/>
    <w:rsid w:val="009E6116"/>
    <w:rsid w:val="00A02E43"/>
    <w:rsid w:val="00A031FE"/>
    <w:rsid w:val="00A065F9"/>
    <w:rsid w:val="00A07F34"/>
    <w:rsid w:val="00A14D4A"/>
    <w:rsid w:val="00A170D0"/>
    <w:rsid w:val="00A22154"/>
    <w:rsid w:val="00A2328B"/>
    <w:rsid w:val="00A23BDA"/>
    <w:rsid w:val="00A25C38"/>
    <w:rsid w:val="00A36BBE"/>
    <w:rsid w:val="00A4307A"/>
    <w:rsid w:val="00A44B83"/>
    <w:rsid w:val="00A47972"/>
    <w:rsid w:val="00A47EBB"/>
    <w:rsid w:val="00A51CDD"/>
    <w:rsid w:val="00A60ABE"/>
    <w:rsid w:val="00A61BDB"/>
    <w:rsid w:val="00A626BC"/>
    <w:rsid w:val="00A6730D"/>
    <w:rsid w:val="00A67B2F"/>
    <w:rsid w:val="00A67C98"/>
    <w:rsid w:val="00A70185"/>
    <w:rsid w:val="00A71625"/>
    <w:rsid w:val="00A71B9B"/>
    <w:rsid w:val="00A751C7"/>
    <w:rsid w:val="00A76CD6"/>
    <w:rsid w:val="00A82B92"/>
    <w:rsid w:val="00A87844"/>
    <w:rsid w:val="00A93F78"/>
    <w:rsid w:val="00A957F2"/>
    <w:rsid w:val="00AA038C"/>
    <w:rsid w:val="00AA2B86"/>
    <w:rsid w:val="00AA672B"/>
    <w:rsid w:val="00AA7A09"/>
    <w:rsid w:val="00AB3B50"/>
    <w:rsid w:val="00AB48D3"/>
    <w:rsid w:val="00AB567E"/>
    <w:rsid w:val="00AC05B1"/>
    <w:rsid w:val="00AC0C2C"/>
    <w:rsid w:val="00AC4CB7"/>
    <w:rsid w:val="00AC7A7D"/>
    <w:rsid w:val="00AC7E06"/>
    <w:rsid w:val="00AD18F9"/>
    <w:rsid w:val="00AD356C"/>
    <w:rsid w:val="00AE2914"/>
    <w:rsid w:val="00AE6D15"/>
    <w:rsid w:val="00AF47CA"/>
    <w:rsid w:val="00B0236B"/>
    <w:rsid w:val="00B02EC7"/>
    <w:rsid w:val="00B04182"/>
    <w:rsid w:val="00B07AE3"/>
    <w:rsid w:val="00B11430"/>
    <w:rsid w:val="00B16362"/>
    <w:rsid w:val="00B23BFB"/>
    <w:rsid w:val="00B27FC1"/>
    <w:rsid w:val="00B31958"/>
    <w:rsid w:val="00B353EB"/>
    <w:rsid w:val="00B368E8"/>
    <w:rsid w:val="00B439C4"/>
    <w:rsid w:val="00B4535E"/>
    <w:rsid w:val="00B52A8C"/>
    <w:rsid w:val="00B636A8"/>
    <w:rsid w:val="00B63C72"/>
    <w:rsid w:val="00B63F02"/>
    <w:rsid w:val="00B665C6"/>
    <w:rsid w:val="00B74D1A"/>
    <w:rsid w:val="00B75DA4"/>
    <w:rsid w:val="00B76902"/>
    <w:rsid w:val="00B805AF"/>
    <w:rsid w:val="00B869EC"/>
    <w:rsid w:val="00B9397A"/>
    <w:rsid w:val="00B9633D"/>
    <w:rsid w:val="00B97108"/>
    <w:rsid w:val="00B97C40"/>
    <w:rsid w:val="00BA2D4F"/>
    <w:rsid w:val="00BA2EBE"/>
    <w:rsid w:val="00BA4281"/>
    <w:rsid w:val="00BB02D2"/>
    <w:rsid w:val="00BB0F28"/>
    <w:rsid w:val="00BB29EF"/>
    <w:rsid w:val="00BB458A"/>
    <w:rsid w:val="00BB69A6"/>
    <w:rsid w:val="00BC669A"/>
    <w:rsid w:val="00BD00D3"/>
    <w:rsid w:val="00BD1659"/>
    <w:rsid w:val="00BD3AA9"/>
    <w:rsid w:val="00BD4A18"/>
    <w:rsid w:val="00BD4AA1"/>
    <w:rsid w:val="00BD4C51"/>
    <w:rsid w:val="00BD6D11"/>
    <w:rsid w:val="00BD6DB2"/>
    <w:rsid w:val="00BE02AB"/>
    <w:rsid w:val="00BE0318"/>
    <w:rsid w:val="00BE11CF"/>
    <w:rsid w:val="00BE1A2A"/>
    <w:rsid w:val="00BE21AB"/>
    <w:rsid w:val="00BE55CB"/>
    <w:rsid w:val="00BF1DAE"/>
    <w:rsid w:val="00BF617A"/>
    <w:rsid w:val="00C01873"/>
    <w:rsid w:val="00C036E3"/>
    <w:rsid w:val="00C0379D"/>
    <w:rsid w:val="00C03931"/>
    <w:rsid w:val="00C03ADF"/>
    <w:rsid w:val="00C04533"/>
    <w:rsid w:val="00C05FE3"/>
    <w:rsid w:val="00C10F04"/>
    <w:rsid w:val="00C2136D"/>
    <w:rsid w:val="00C214EE"/>
    <w:rsid w:val="00C2314B"/>
    <w:rsid w:val="00C23EC6"/>
    <w:rsid w:val="00C24971"/>
    <w:rsid w:val="00C26BE5"/>
    <w:rsid w:val="00C26E4D"/>
    <w:rsid w:val="00C2788A"/>
    <w:rsid w:val="00C27909"/>
    <w:rsid w:val="00C27B03"/>
    <w:rsid w:val="00C314E1"/>
    <w:rsid w:val="00C33311"/>
    <w:rsid w:val="00C34110"/>
    <w:rsid w:val="00C34397"/>
    <w:rsid w:val="00C4095D"/>
    <w:rsid w:val="00C43313"/>
    <w:rsid w:val="00C43BAA"/>
    <w:rsid w:val="00C54B8A"/>
    <w:rsid w:val="00C55D9D"/>
    <w:rsid w:val="00C601D2"/>
    <w:rsid w:val="00C65BCC"/>
    <w:rsid w:val="00C66970"/>
    <w:rsid w:val="00C70321"/>
    <w:rsid w:val="00C73810"/>
    <w:rsid w:val="00C75FD0"/>
    <w:rsid w:val="00C8691C"/>
    <w:rsid w:val="00C87315"/>
    <w:rsid w:val="00C90BAF"/>
    <w:rsid w:val="00C94CDB"/>
    <w:rsid w:val="00C95B72"/>
    <w:rsid w:val="00CA168A"/>
    <w:rsid w:val="00CA357E"/>
    <w:rsid w:val="00CA3DCA"/>
    <w:rsid w:val="00CA44F9"/>
    <w:rsid w:val="00CA4A69"/>
    <w:rsid w:val="00CA57EC"/>
    <w:rsid w:val="00CB73DA"/>
    <w:rsid w:val="00CC1FAC"/>
    <w:rsid w:val="00CC3E0C"/>
    <w:rsid w:val="00CC52D7"/>
    <w:rsid w:val="00CC58D3"/>
    <w:rsid w:val="00CC784D"/>
    <w:rsid w:val="00CD0F55"/>
    <w:rsid w:val="00CD3242"/>
    <w:rsid w:val="00CE5CD7"/>
    <w:rsid w:val="00CE6CAB"/>
    <w:rsid w:val="00D0337B"/>
    <w:rsid w:val="00D04B87"/>
    <w:rsid w:val="00D079B2"/>
    <w:rsid w:val="00D114E9"/>
    <w:rsid w:val="00D31F0D"/>
    <w:rsid w:val="00D34C64"/>
    <w:rsid w:val="00D4243C"/>
    <w:rsid w:val="00D429C6"/>
    <w:rsid w:val="00D42C32"/>
    <w:rsid w:val="00D43F80"/>
    <w:rsid w:val="00D449F6"/>
    <w:rsid w:val="00D47748"/>
    <w:rsid w:val="00D52840"/>
    <w:rsid w:val="00D5368B"/>
    <w:rsid w:val="00D53C11"/>
    <w:rsid w:val="00D54CC3"/>
    <w:rsid w:val="00D6041A"/>
    <w:rsid w:val="00D633EB"/>
    <w:rsid w:val="00D6644C"/>
    <w:rsid w:val="00D71425"/>
    <w:rsid w:val="00D735D1"/>
    <w:rsid w:val="00D74801"/>
    <w:rsid w:val="00D76211"/>
    <w:rsid w:val="00D7724A"/>
    <w:rsid w:val="00D77415"/>
    <w:rsid w:val="00D82FF7"/>
    <w:rsid w:val="00D84619"/>
    <w:rsid w:val="00D847FE"/>
    <w:rsid w:val="00D964EA"/>
    <w:rsid w:val="00D966D0"/>
    <w:rsid w:val="00D970F6"/>
    <w:rsid w:val="00DA0C59"/>
    <w:rsid w:val="00DA3991"/>
    <w:rsid w:val="00DA49C5"/>
    <w:rsid w:val="00DA52A6"/>
    <w:rsid w:val="00DB0D07"/>
    <w:rsid w:val="00DB3C9E"/>
    <w:rsid w:val="00DB7AFF"/>
    <w:rsid w:val="00DB7E6C"/>
    <w:rsid w:val="00DC2842"/>
    <w:rsid w:val="00DC55F8"/>
    <w:rsid w:val="00DC61B6"/>
    <w:rsid w:val="00DD08CC"/>
    <w:rsid w:val="00DD5829"/>
    <w:rsid w:val="00DD5A29"/>
    <w:rsid w:val="00DD5D9D"/>
    <w:rsid w:val="00DD655D"/>
    <w:rsid w:val="00DD7090"/>
    <w:rsid w:val="00DE35CB"/>
    <w:rsid w:val="00DF11A6"/>
    <w:rsid w:val="00DF21E9"/>
    <w:rsid w:val="00E00F14"/>
    <w:rsid w:val="00E05AFD"/>
    <w:rsid w:val="00E06386"/>
    <w:rsid w:val="00E07CC0"/>
    <w:rsid w:val="00E2164D"/>
    <w:rsid w:val="00E219BF"/>
    <w:rsid w:val="00E24EB4"/>
    <w:rsid w:val="00E26E29"/>
    <w:rsid w:val="00E320ED"/>
    <w:rsid w:val="00E32340"/>
    <w:rsid w:val="00E33AFB"/>
    <w:rsid w:val="00E34218"/>
    <w:rsid w:val="00E34917"/>
    <w:rsid w:val="00E406D9"/>
    <w:rsid w:val="00E4371A"/>
    <w:rsid w:val="00E46282"/>
    <w:rsid w:val="00E46DBD"/>
    <w:rsid w:val="00E5216E"/>
    <w:rsid w:val="00E55E99"/>
    <w:rsid w:val="00E61B25"/>
    <w:rsid w:val="00E715A2"/>
    <w:rsid w:val="00E82344"/>
    <w:rsid w:val="00E84C82"/>
    <w:rsid w:val="00E84D64"/>
    <w:rsid w:val="00E87408"/>
    <w:rsid w:val="00E914C4"/>
    <w:rsid w:val="00E934F5"/>
    <w:rsid w:val="00E950A6"/>
    <w:rsid w:val="00E967C1"/>
    <w:rsid w:val="00E96961"/>
    <w:rsid w:val="00EA72EC"/>
    <w:rsid w:val="00EB11CB"/>
    <w:rsid w:val="00EB1CEF"/>
    <w:rsid w:val="00EB275A"/>
    <w:rsid w:val="00EB6AC8"/>
    <w:rsid w:val="00EB6B6F"/>
    <w:rsid w:val="00EB786A"/>
    <w:rsid w:val="00EC1578"/>
    <w:rsid w:val="00EC1C72"/>
    <w:rsid w:val="00EC2D47"/>
    <w:rsid w:val="00EC3CC9"/>
    <w:rsid w:val="00EC680A"/>
    <w:rsid w:val="00EC7B57"/>
    <w:rsid w:val="00ED3A56"/>
    <w:rsid w:val="00ED4780"/>
    <w:rsid w:val="00EE2BED"/>
    <w:rsid w:val="00EE374B"/>
    <w:rsid w:val="00EF1982"/>
    <w:rsid w:val="00EF3B30"/>
    <w:rsid w:val="00F04B24"/>
    <w:rsid w:val="00F0575F"/>
    <w:rsid w:val="00F074E0"/>
    <w:rsid w:val="00F11BB5"/>
    <w:rsid w:val="00F11E4C"/>
    <w:rsid w:val="00F1417B"/>
    <w:rsid w:val="00F2488B"/>
    <w:rsid w:val="00F26599"/>
    <w:rsid w:val="00F34B99"/>
    <w:rsid w:val="00F42DED"/>
    <w:rsid w:val="00F46142"/>
    <w:rsid w:val="00F5127E"/>
    <w:rsid w:val="00F52DAB"/>
    <w:rsid w:val="00F543F0"/>
    <w:rsid w:val="00F61510"/>
    <w:rsid w:val="00F661A1"/>
    <w:rsid w:val="00F81D29"/>
    <w:rsid w:val="00F8390C"/>
    <w:rsid w:val="00F91C4D"/>
    <w:rsid w:val="00F92FD9"/>
    <w:rsid w:val="00F95F43"/>
    <w:rsid w:val="00FA500A"/>
    <w:rsid w:val="00FA6684"/>
    <w:rsid w:val="00FA731E"/>
    <w:rsid w:val="00FB2B38"/>
    <w:rsid w:val="00FB6C00"/>
    <w:rsid w:val="00FC04B6"/>
    <w:rsid w:val="00FC4E8B"/>
    <w:rsid w:val="00FC541C"/>
    <w:rsid w:val="00FC6358"/>
    <w:rsid w:val="00FD320D"/>
    <w:rsid w:val="00FD38FC"/>
    <w:rsid w:val="00FE1132"/>
    <w:rsid w:val="00FE23DE"/>
    <w:rsid w:val="00FE4937"/>
    <w:rsid w:val="00FE67AE"/>
    <w:rsid w:val="00FF6869"/>
    <w:rsid w:val="0168594B"/>
    <w:rsid w:val="022E6CAC"/>
    <w:rsid w:val="023A0A22"/>
    <w:rsid w:val="02C77E7C"/>
    <w:rsid w:val="0463143E"/>
    <w:rsid w:val="04842BAB"/>
    <w:rsid w:val="04943F1A"/>
    <w:rsid w:val="062F75D2"/>
    <w:rsid w:val="07D4685D"/>
    <w:rsid w:val="08C723CA"/>
    <w:rsid w:val="08E97F62"/>
    <w:rsid w:val="09411F80"/>
    <w:rsid w:val="0A694D20"/>
    <w:rsid w:val="0B57041D"/>
    <w:rsid w:val="0BEF4E50"/>
    <w:rsid w:val="0BF077E3"/>
    <w:rsid w:val="0C6866F0"/>
    <w:rsid w:val="0F54445C"/>
    <w:rsid w:val="10ED269E"/>
    <w:rsid w:val="125704F3"/>
    <w:rsid w:val="12691A4A"/>
    <w:rsid w:val="13626048"/>
    <w:rsid w:val="136578AD"/>
    <w:rsid w:val="13FE1255"/>
    <w:rsid w:val="141D03B2"/>
    <w:rsid w:val="14500037"/>
    <w:rsid w:val="14F74738"/>
    <w:rsid w:val="16586B11"/>
    <w:rsid w:val="17466142"/>
    <w:rsid w:val="187024FE"/>
    <w:rsid w:val="18C70A67"/>
    <w:rsid w:val="19987F11"/>
    <w:rsid w:val="1A115BED"/>
    <w:rsid w:val="1AA97878"/>
    <w:rsid w:val="1ABB43E5"/>
    <w:rsid w:val="1BAA528B"/>
    <w:rsid w:val="1C1E7F36"/>
    <w:rsid w:val="1DBF5F75"/>
    <w:rsid w:val="1E8B5DA1"/>
    <w:rsid w:val="1F697413"/>
    <w:rsid w:val="207D3CFA"/>
    <w:rsid w:val="20AE7039"/>
    <w:rsid w:val="2113013A"/>
    <w:rsid w:val="21531AD3"/>
    <w:rsid w:val="245A310A"/>
    <w:rsid w:val="248E1E04"/>
    <w:rsid w:val="25646730"/>
    <w:rsid w:val="263F3E0D"/>
    <w:rsid w:val="265408AE"/>
    <w:rsid w:val="27767825"/>
    <w:rsid w:val="28DA3D5F"/>
    <w:rsid w:val="29F51B91"/>
    <w:rsid w:val="2ABB52BF"/>
    <w:rsid w:val="2B5730D4"/>
    <w:rsid w:val="2BDA1996"/>
    <w:rsid w:val="2BDC6595"/>
    <w:rsid w:val="2C5B37E6"/>
    <w:rsid w:val="2DF36532"/>
    <w:rsid w:val="2E214533"/>
    <w:rsid w:val="34F62400"/>
    <w:rsid w:val="37555118"/>
    <w:rsid w:val="375B3F01"/>
    <w:rsid w:val="37C0558E"/>
    <w:rsid w:val="38387A13"/>
    <w:rsid w:val="38867520"/>
    <w:rsid w:val="398A6852"/>
    <w:rsid w:val="3A3840A3"/>
    <w:rsid w:val="3A4A0046"/>
    <w:rsid w:val="3A5E1F8D"/>
    <w:rsid w:val="3AFB778F"/>
    <w:rsid w:val="3B7525E3"/>
    <w:rsid w:val="3BDD4D81"/>
    <w:rsid w:val="3C2667C1"/>
    <w:rsid w:val="3D8A1534"/>
    <w:rsid w:val="3E1E5B23"/>
    <w:rsid w:val="3EA2187A"/>
    <w:rsid w:val="3EFA58E9"/>
    <w:rsid w:val="3EFB370B"/>
    <w:rsid w:val="40882C47"/>
    <w:rsid w:val="40BD3F85"/>
    <w:rsid w:val="40DC60C4"/>
    <w:rsid w:val="419C76CF"/>
    <w:rsid w:val="41A82E39"/>
    <w:rsid w:val="426D3698"/>
    <w:rsid w:val="428436F2"/>
    <w:rsid w:val="4292423D"/>
    <w:rsid w:val="42E901D9"/>
    <w:rsid w:val="43BD0848"/>
    <w:rsid w:val="43F3684C"/>
    <w:rsid w:val="446607CF"/>
    <w:rsid w:val="45CE0D5D"/>
    <w:rsid w:val="45E110C9"/>
    <w:rsid w:val="49E06113"/>
    <w:rsid w:val="49F717E4"/>
    <w:rsid w:val="4A03544B"/>
    <w:rsid w:val="4A4C64AD"/>
    <w:rsid w:val="4A844D3D"/>
    <w:rsid w:val="4AE43715"/>
    <w:rsid w:val="4C2936C8"/>
    <w:rsid w:val="4CB80EA7"/>
    <w:rsid w:val="4CCA548B"/>
    <w:rsid w:val="4ED22B31"/>
    <w:rsid w:val="4F6674F4"/>
    <w:rsid w:val="505177E8"/>
    <w:rsid w:val="50B00366"/>
    <w:rsid w:val="51166B8B"/>
    <w:rsid w:val="52F11EEF"/>
    <w:rsid w:val="53665B68"/>
    <w:rsid w:val="54065AB2"/>
    <w:rsid w:val="54DF429A"/>
    <w:rsid w:val="55E71A19"/>
    <w:rsid w:val="56A25D19"/>
    <w:rsid w:val="579E6571"/>
    <w:rsid w:val="57FD4460"/>
    <w:rsid w:val="5946087D"/>
    <w:rsid w:val="598C3A42"/>
    <w:rsid w:val="5A8C1BE8"/>
    <w:rsid w:val="5B006B01"/>
    <w:rsid w:val="5BD021D1"/>
    <w:rsid w:val="5C78217A"/>
    <w:rsid w:val="5D04007A"/>
    <w:rsid w:val="5D984B6E"/>
    <w:rsid w:val="5EB87F48"/>
    <w:rsid w:val="5EBA7E8F"/>
    <w:rsid w:val="5F152C14"/>
    <w:rsid w:val="5F2B2B03"/>
    <w:rsid w:val="5F675CEC"/>
    <w:rsid w:val="60D07360"/>
    <w:rsid w:val="61E92A43"/>
    <w:rsid w:val="6346588C"/>
    <w:rsid w:val="63485FCB"/>
    <w:rsid w:val="635F19A2"/>
    <w:rsid w:val="65A56B73"/>
    <w:rsid w:val="66E320D2"/>
    <w:rsid w:val="67974244"/>
    <w:rsid w:val="68643A75"/>
    <w:rsid w:val="68F76169"/>
    <w:rsid w:val="69650CD9"/>
    <w:rsid w:val="697E3A68"/>
    <w:rsid w:val="6A0F4BA1"/>
    <w:rsid w:val="6A2D36C6"/>
    <w:rsid w:val="6C3D130F"/>
    <w:rsid w:val="6F514628"/>
    <w:rsid w:val="6F8C4BB3"/>
    <w:rsid w:val="702C0102"/>
    <w:rsid w:val="714732BC"/>
    <w:rsid w:val="715434DD"/>
    <w:rsid w:val="72AE3857"/>
    <w:rsid w:val="734A7874"/>
    <w:rsid w:val="75E36152"/>
    <w:rsid w:val="76955CD2"/>
    <w:rsid w:val="7874713D"/>
    <w:rsid w:val="7AFF68BE"/>
    <w:rsid w:val="7B190382"/>
    <w:rsid w:val="7B457354"/>
    <w:rsid w:val="7C707E01"/>
    <w:rsid w:val="7D9A7C39"/>
    <w:rsid w:val="7E55294F"/>
    <w:rsid w:val="7FBD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7"/>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48"/>
    <w:unhideWhenUsed/>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unhideWhenUsed/>
    <w:qFormat/>
    <w:uiPriority w:val="0"/>
    <w:rPr>
      <w:sz w:val="21"/>
      <w:szCs w:val="21"/>
    </w:rPr>
  </w:style>
  <w:style w:type="character" w:styleId="41">
    <w:name w:val="footnote reference"/>
    <w:semiHidden/>
    <w:qFormat/>
    <w:uiPriority w:val="0"/>
    <w:rPr>
      <w:vertAlign w:val="superscript"/>
    </w:rPr>
  </w:style>
  <w:style w:type="paragraph" w:customStyle="1" w:styleId="42">
    <w:name w:val="条文脚注"/>
    <w:basedOn w:val="25"/>
    <w:qFormat/>
    <w:uiPriority w:val="0"/>
    <w:pPr>
      <w:numPr>
        <w:numId w:val="0"/>
      </w:numPr>
      <w:jc w:val="both"/>
    </w:pPr>
  </w:style>
  <w:style w:type="paragraph" w:customStyle="1" w:styleId="4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44">
    <w:name w:val="封面标准英文名称"/>
    <w:basedOn w:val="45"/>
    <w:qFormat/>
    <w:uiPriority w:val="0"/>
    <w:pPr>
      <w:framePr w:wrap="around"/>
      <w:spacing w:before="370" w:line="400" w:lineRule="exact"/>
    </w:pPr>
    <w:rPr>
      <w:rFonts w:ascii="Times New Roman"/>
      <w:sz w:val="28"/>
      <w:szCs w:val="28"/>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封面标准英文名称2"/>
    <w:basedOn w:val="44"/>
    <w:qFormat/>
    <w:uiPriority w:val="0"/>
    <w:pPr>
      <w:framePr w:wrap="around" w:y="4469"/>
    </w:p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正文图标题"/>
    <w:next w:val="2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二级条标题"/>
    <w:basedOn w:val="51"/>
    <w:next w:val="24"/>
    <w:link w:val="156"/>
    <w:qFormat/>
    <w:uiPriority w:val="0"/>
    <w:pPr>
      <w:numPr>
        <w:ilvl w:val="2"/>
      </w:numPr>
      <w:spacing w:before="50" w:after="50"/>
      <w:ind w:left="0"/>
      <w:outlineLvl w:val="3"/>
    </w:pPr>
  </w:style>
  <w:style w:type="paragraph" w:customStyle="1" w:styleId="51">
    <w:name w:val="一级条标题"/>
    <w:next w:val="24"/>
    <w:link w:val="14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图表脚注说明"/>
    <w:basedOn w:val="1"/>
    <w:qFormat/>
    <w:uiPriority w:val="0"/>
    <w:pPr>
      <w:numPr>
        <w:ilvl w:val="0"/>
        <w:numId w:val="4"/>
      </w:numPr>
    </w:pPr>
    <w:rPr>
      <w:rFonts w:ascii="宋体"/>
      <w:sz w:val="18"/>
      <w:szCs w:val="18"/>
    </w:rPr>
  </w:style>
  <w:style w:type="paragraph" w:customStyle="1" w:styleId="53">
    <w:name w:val="附录一级条标题"/>
    <w:basedOn w:val="54"/>
    <w:next w:val="24"/>
    <w:qFormat/>
    <w:uiPriority w:val="0"/>
    <w:pPr>
      <w:numPr>
        <w:ilvl w:val="2"/>
      </w:numPr>
      <w:tabs>
        <w:tab w:val="left" w:pos="360"/>
      </w:tabs>
      <w:autoSpaceDN w:val="0"/>
      <w:spacing w:beforeLines="50" w:afterLines="50"/>
      <w:outlineLvl w:val="2"/>
    </w:pPr>
  </w:style>
  <w:style w:type="paragraph" w:customStyle="1" w:styleId="5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6">
    <w:name w:val="_Style 5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57">
    <w:name w:val="实施日期"/>
    <w:basedOn w:val="58"/>
    <w:qFormat/>
    <w:uiPriority w:val="0"/>
    <w:pPr>
      <w:framePr w:wrap="around" w:vAnchor="page" w:hAnchor="text"/>
      <w:jc w:val="right"/>
    </w:pPr>
  </w:style>
  <w:style w:type="paragraph" w:customStyle="1" w:styleId="5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终结线"/>
    <w:basedOn w:val="1"/>
    <w:qFormat/>
    <w:uiPriority w:val="0"/>
    <w:pPr>
      <w:framePr w:hSpace="181" w:vSpace="181" w:wrap="around" w:vAnchor="text" w:hAnchor="margin" w:xAlign="center" w:y="285"/>
    </w:pPr>
  </w:style>
  <w:style w:type="paragraph" w:customStyle="1" w:styleId="60">
    <w:name w:val="示例"/>
    <w:next w:val="61"/>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封面一致性程度标识2"/>
    <w:basedOn w:val="63"/>
    <w:qFormat/>
    <w:uiPriority w:val="0"/>
    <w:pPr>
      <w:framePr w:wrap="around" w:y="4469"/>
    </w:pPr>
  </w:style>
  <w:style w:type="paragraph" w:customStyle="1" w:styleId="63">
    <w:name w:val="封面一致性程度标识"/>
    <w:basedOn w:val="44"/>
    <w:qFormat/>
    <w:uiPriority w:val="0"/>
    <w:pPr>
      <w:framePr w:wrap="around"/>
      <w:spacing w:before="440"/>
    </w:pPr>
    <w:rPr>
      <w:rFonts w:ascii="宋体" w:eastAsia="宋体"/>
    </w:rPr>
  </w:style>
  <w:style w:type="paragraph" w:customStyle="1" w:styleId="64">
    <w:name w:val="封面标准文稿类别"/>
    <w:basedOn w:val="63"/>
    <w:qFormat/>
    <w:uiPriority w:val="0"/>
    <w:pPr>
      <w:framePr w:wrap="around"/>
      <w:spacing w:after="160" w:line="240" w:lineRule="auto"/>
    </w:pPr>
    <w:rPr>
      <w:sz w:val="24"/>
    </w:rPr>
  </w:style>
  <w:style w:type="paragraph" w:customStyle="1" w:styleId="65">
    <w:name w:val="封面标准文稿编辑信息2"/>
    <w:basedOn w:val="66"/>
    <w:qFormat/>
    <w:uiPriority w:val="0"/>
    <w:pPr>
      <w:framePr w:wrap="around" w:y="4469"/>
    </w:pPr>
  </w:style>
  <w:style w:type="paragraph" w:customStyle="1" w:styleId="66">
    <w:name w:val="封面标准文稿编辑信息"/>
    <w:basedOn w:val="64"/>
    <w:qFormat/>
    <w:uiPriority w:val="0"/>
    <w:pPr>
      <w:framePr w:wrap="around"/>
      <w:spacing w:before="180" w:line="180" w:lineRule="exact"/>
    </w:pPr>
    <w:rPr>
      <w:sz w:val="21"/>
    </w:rPr>
  </w:style>
  <w:style w:type="paragraph" w:customStyle="1" w:styleId="67">
    <w:name w:val="附录五级无"/>
    <w:basedOn w:val="68"/>
    <w:qFormat/>
    <w:uiPriority w:val="0"/>
    <w:pPr>
      <w:tabs>
        <w:tab w:val="left" w:pos="360"/>
      </w:tabs>
      <w:spacing w:beforeLines="0" w:afterLines="0"/>
    </w:pPr>
    <w:rPr>
      <w:rFonts w:ascii="宋体" w:eastAsia="宋体"/>
      <w:szCs w:val="21"/>
    </w:rPr>
  </w:style>
  <w:style w:type="paragraph" w:customStyle="1" w:styleId="68">
    <w:name w:val="附录五级条标题"/>
    <w:basedOn w:val="69"/>
    <w:next w:val="24"/>
    <w:qFormat/>
    <w:uiPriority w:val="0"/>
    <w:pPr>
      <w:tabs>
        <w:tab w:val="left" w:pos="360"/>
      </w:tabs>
      <w:outlineLvl w:val="6"/>
    </w:pPr>
  </w:style>
  <w:style w:type="paragraph" w:customStyle="1" w:styleId="69">
    <w:name w:val="附录四级条标题"/>
    <w:basedOn w:val="70"/>
    <w:next w:val="24"/>
    <w:qFormat/>
    <w:uiPriority w:val="0"/>
    <w:pPr>
      <w:tabs>
        <w:tab w:val="left" w:pos="360"/>
      </w:tabs>
      <w:outlineLvl w:val="5"/>
    </w:pPr>
  </w:style>
  <w:style w:type="paragraph" w:customStyle="1" w:styleId="70">
    <w:name w:val="附录三级条标题"/>
    <w:basedOn w:val="71"/>
    <w:next w:val="24"/>
    <w:qFormat/>
    <w:uiPriority w:val="0"/>
    <w:pPr>
      <w:tabs>
        <w:tab w:val="left" w:pos="360"/>
      </w:tabs>
      <w:outlineLvl w:val="4"/>
    </w:pPr>
  </w:style>
  <w:style w:type="paragraph" w:customStyle="1" w:styleId="71">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2">
    <w:name w:val="附录表标号"/>
    <w:basedOn w:val="1"/>
    <w:next w:val="24"/>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73">
    <w:name w:val="其他发布部门"/>
    <w:basedOn w:val="74"/>
    <w:qFormat/>
    <w:uiPriority w:val="0"/>
    <w:pPr>
      <w:framePr w:wrap="around" w:y="15310"/>
      <w:spacing w:line="0" w:lineRule="atLeast"/>
    </w:pPr>
    <w:rPr>
      <w:rFonts w:ascii="黑体" w:eastAsia="黑体"/>
      <w:b w:val="0"/>
    </w:rPr>
  </w:style>
  <w:style w:type="paragraph" w:customStyle="1" w:styleId="7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77">
    <w:name w:val="示例后文字"/>
    <w:basedOn w:val="24"/>
    <w:next w:val="24"/>
    <w:qFormat/>
    <w:uiPriority w:val="0"/>
    <w:pPr>
      <w:ind w:firstLine="360"/>
    </w:pPr>
    <w:rPr>
      <w:sz w:val="18"/>
    </w:rPr>
  </w:style>
  <w:style w:type="paragraph" w:customStyle="1" w:styleId="78">
    <w:name w:val="四级无标题条"/>
    <w:basedOn w:val="1"/>
    <w:qFormat/>
    <w:uiPriority w:val="0"/>
    <w:pPr>
      <w:numPr>
        <w:ilvl w:val="5"/>
        <w:numId w:val="9"/>
      </w:numPr>
    </w:pPr>
    <w:rPr>
      <w:szCs w:val="20"/>
    </w:rPr>
  </w:style>
  <w:style w:type="paragraph" w:customStyle="1" w:styleId="79">
    <w:name w:val="附录四级无"/>
    <w:basedOn w:val="69"/>
    <w:qFormat/>
    <w:uiPriority w:val="0"/>
    <w:pPr>
      <w:tabs>
        <w:tab w:val="clear" w:pos="360"/>
      </w:tabs>
      <w:spacing w:beforeLines="0" w:afterLines="0"/>
    </w:pPr>
    <w:rPr>
      <w:rFonts w:ascii="宋体" w:eastAsia="宋体"/>
      <w:szCs w:val="21"/>
    </w:rPr>
  </w:style>
  <w:style w:type="paragraph" w:customStyle="1" w:styleId="80">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81">
    <w:name w:val="三级无"/>
    <w:basedOn w:val="82"/>
    <w:qFormat/>
    <w:uiPriority w:val="0"/>
    <w:pPr>
      <w:spacing w:beforeLines="0" w:afterLines="0"/>
    </w:pPr>
    <w:rPr>
      <w:rFonts w:ascii="宋体" w:eastAsia="宋体"/>
    </w:rPr>
  </w:style>
  <w:style w:type="paragraph" w:customStyle="1" w:styleId="82">
    <w:name w:val="三级条标题"/>
    <w:basedOn w:val="50"/>
    <w:next w:val="24"/>
    <w:qFormat/>
    <w:uiPriority w:val="0"/>
    <w:pPr>
      <w:numPr>
        <w:ilvl w:val="0"/>
        <w:numId w:val="0"/>
      </w:numPr>
      <w:outlineLvl w:val="4"/>
    </w:pPr>
  </w:style>
  <w:style w:type="paragraph" w:customStyle="1" w:styleId="83">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5">
    <w:name w:val="正文公式编号制表符"/>
    <w:basedOn w:val="24"/>
    <w:next w:val="24"/>
    <w:qFormat/>
    <w:uiPriority w:val="0"/>
    <w:pPr>
      <w:ind w:firstLine="0" w:firstLineChars="0"/>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一级无标题条"/>
    <w:basedOn w:val="1"/>
    <w:qFormat/>
    <w:uiPriority w:val="0"/>
    <w:pPr>
      <w:numPr>
        <w:ilvl w:val="2"/>
        <w:numId w:val="9"/>
      </w:numPr>
    </w:pPr>
    <w:rPr>
      <w:szCs w:val="20"/>
    </w:rPr>
  </w:style>
  <w:style w:type="paragraph" w:customStyle="1" w:styleId="88">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89">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90">
    <w:name w:val="附录二级无"/>
    <w:basedOn w:val="71"/>
    <w:qFormat/>
    <w:uiPriority w:val="0"/>
    <w:pPr>
      <w:tabs>
        <w:tab w:val="clear" w:pos="360"/>
      </w:tabs>
      <w:spacing w:beforeLines="0" w:afterLines="0"/>
    </w:pPr>
    <w:rPr>
      <w:rFonts w:ascii="宋体" w:eastAsia="宋体"/>
      <w:szCs w:val="21"/>
    </w:rPr>
  </w:style>
  <w:style w:type="paragraph" w:customStyle="1" w:styleId="91">
    <w:name w:val="注：（正文）"/>
    <w:basedOn w:val="92"/>
    <w:next w:val="24"/>
    <w:qFormat/>
    <w:uiPriority w:val="0"/>
  </w:style>
  <w:style w:type="paragraph" w:customStyle="1" w:styleId="92">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4">
    <w:name w:val="五级无"/>
    <w:basedOn w:val="95"/>
    <w:qFormat/>
    <w:uiPriority w:val="0"/>
    <w:pPr>
      <w:spacing w:beforeLines="0" w:afterLines="0"/>
    </w:pPr>
    <w:rPr>
      <w:rFonts w:ascii="宋体" w:eastAsia="宋体"/>
    </w:rPr>
  </w:style>
  <w:style w:type="paragraph" w:customStyle="1" w:styleId="95">
    <w:name w:val="五级条标题"/>
    <w:basedOn w:val="96"/>
    <w:next w:val="24"/>
    <w:qFormat/>
    <w:uiPriority w:val="0"/>
    <w:pPr>
      <w:outlineLvl w:val="6"/>
    </w:pPr>
  </w:style>
  <w:style w:type="paragraph" w:customStyle="1" w:styleId="96">
    <w:name w:val="四级条标题"/>
    <w:basedOn w:val="82"/>
    <w:next w:val="24"/>
    <w:qFormat/>
    <w:uiPriority w:val="0"/>
    <w:pPr>
      <w:outlineLvl w:val="5"/>
    </w:pPr>
  </w:style>
  <w:style w:type="paragraph" w:customStyle="1" w:styleId="9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9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9">
    <w:name w:val="四级无"/>
    <w:basedOn w:val="96"/>
    <w:qFormat/>
    <w:uiPriority w:val="0"/>
    <w:pPr>
      <w:spacing w:beforeLines="0" w:afterLines="0"/>
    </w:pPr>
    <w:rPr>
      <w:rFonts w:ascii="宋体" w:eastAsia="宋体"/>
    </w:rPr>
  </w:style>
  <w:style w:type="paragraph" w:customStyle="1" w:styleId="100">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2">
    <w:name w:val="_Style 101"/>
    <w:semiHidden/>
    <w:qFormat/>
    <w:uiPriority w:val="99"/>
    <w:rPr>
      <w:rFonts w:ascii="Times New Roman" w:hAnsi="Times New Roman" w:eastAsia="宋体" w:cs="Times New Roman"/>
      <w:kern w:val="2"/>
      <w:sz w:val="21"/>
      <w:szCs w:val="24"/>
      <w:lang w:val="en-US" w:eastAsia="zh-CN" w:bidi="ar-SA"/>
    </w:rPr>
  </w:style>
  <w:style w:type="paragraph" w:customStyle="1" w:styleId="103">
    <w:name w:val="附录一级无"/>
    <w:basedOn w:val="53"/>
    <w:qFormat/>
    <w:uiPriority w:val="0"/>
    <w:pPr>
      <w:tabs>
        <w:tab w:val="clear" w:pos="360"/>
      </w:tabs>
      <w:spacing w:beforeLines="0" w:afterLines="0"/>
    </w:pPr>
    <w:rPr>
      <w:rFonts w:ascii="宋体" w:eastAsia="宋体"/>
      <w:szCs w:val="21"/>
    </w:rPr>
  </w:style>
  <w:style w:type="paragraph" w:customStyle="1" w:styleId="104">
    <w:name w:val="附录三级无"/>
    <w:basedOn w:val="70"/>
    <w:qFormat/>
    <w:uiPriority w:val="0"/>
    <w:pPr>
      <w:tabs>
        <w:tab w:val="clear" w:pos="360"/>
      </w:tabs>
      <w:spacing w:beforeLines="0" w:afterLines="0"/>
    </w:pPr>
    <w:rPr>
      <w:rFonts w:ascii="宋体" w:eastAsia="宋体"/>
      <w:szCs w:val="21"/>
    </w:r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附录标题"/>
    <w:basedOn w:val="24"/>
    <w:next w:val="24"/>
    <w:qFormat/>
    <w:uiPriority w:val="0"/>
    <w:pPr>
      <w:ind w:firstLine="0" w:firstLineChars="0"/>
      <w:jc w:val="center"/>
    </w:pPr>
    <w:rPr>
      <w:rFonts w:ascii="黑体" w:eastAsia="黑体"/>
    </w:r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首示例"/>
    <w:next w:val="24"/>
    <w:link w:val="142"/>
    <w:qFormat/>
    <w:uiPriority w:val="0"/>
    <w:pPr>
      <w:numPr>
        <w:ilvl w:val="0"/>
        <w:numId w:val="12"/>
      </w:numPr>
      <w:tabs>
        <w:tab w:val="left" w:pos="360"/>
      </w:tabs>
      <w:ind w:firstLine="0"/>
    </w:pPr>
    <w:rPr>
      <w:rFonts w:ascii="宋体" w:hAnsi="宋体" w:eastAsia="宋体" w:cs="Times New Roman"/>
      <w:kern w:val="2"/>
      <w:sz w:val="18"/>
      <w:szCs w:val="18"/>
      <w:lang w:val="en-US" w:eastAsia="zh-CN" w:bidi="ar-SA"/>
    </w:rPr>
  </w:style>
  <w:style w:type="paragraph" w:customStyle="1" w:styleId="109">
    <w:name w:val="其他实施日期"/>
    <w:basedOn w:val="57"/>
    <w:qFormat/>
    <w:uiPriority w:val="0"/>
    <w:pPr>
      <w:framePr w:wrap="around"/>
    </w:pPr>
  </w:style>
  <w:style w:type="paragraph" w:customStyle="1" w:styleId="110">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1">
    <w:name w:val="三级无标题条"/>
    <w:basedOn w:val="1"/>
    <w:qFormat/>
    <w:uiPriority w:val="0"/>
    <w:pPr>
      <w:numPr>
        <w:ilvl w:val="4"/>
        <w:numId w:val="9"/>
      </w:numPr>
    </w:pPr>
    <w:rPr>
      <w:szCs w:val="20"/>
    </w:rPr>
  </w:style>
  <w:style w:type="paragraph" w:customStyle="1" w:styleId="11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3">
    <w:name w:val="示例×："/>
    <w:basedOn w:val="84"/>
    <w:qFormat/>
    <w:uiPriority w:val="0"/>
    <w:pPr>
      <w:numPr>
        <w:numId w:val="14"/>
      </w:numPr>
      <w:spacing w:beforeLines="0" w:afterLines="0"/>
      <w:outlineLvl w:val="9"/>
    </w:pPr>
    <w:rPr>
      <w:rFonts w:ascii="宋体" w:eastAsia="宋体"/>
      <w:sz w:val="18"/>
      <w:szCs w:val="18"/>
    </w:rPr>
  </w:style>
  <w:style w:type="paragraph" w:customStyle="1" w:styleId="114">
    <w:name w:val="封面标准名称2"/>
    <w:basedOn w:val="45"/>
    <w:qFormat/>
    <w:uiPriority w:val="0"/>
    <w:pPr>
      <w:framePr w:wrap="around" w:y="4469"/>
      <w:spacing w:beforeLines="630"/>
    </w:pPr>
  </w:style>
  <w:style w:type="paragraph" w:customStyle="1" w:styleId="1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MTDisplayEquation"/>
    <w:basedOn w:val="118"/>
    <w:next w:val="1"/>
    <w:link w:val="151"/>
    <w:qFormat/>
    <w:uiPriority w:val="0"/>
    <w:pPr>
      <w:numPr>
        <w:ilvl w:val="0"/>
        <w:numId w:val="0"/>
      </w:numPr>
      <w:tabs>
        <w:tab w:val="center" w:pos="4680"/>
        <w:tab w:val="right" w:pos="9360"/>
      </w:tabs>
    </w:pPr>
    <w:rPr>
      <w:rFonts w:eastAsia="黑体"/>
    </w:rPr>
  </w:style>
  <w:style w:type="paragraph" w:customStyle="1" w:styleId="118">
    <w:name w:val="二级无"/>
    <w:basedOn w:val="50"/>
    <w:link w:val="150"/>
    <w:qFormat/>
    <w:uiPriority w:val="0"/>
    <w:pPr>
      <w:spacing w:beforeLines="0" w:afterLines="0"/>
    </w:pPr>
    <w:rPr>
      <w:rFonts w:ascii="宋体" w:eastAsia="宋体"/>
    </w:rPr>
  </w:style>
  <w:style w:type="paragraph" w:customStyle="1" w:styleId="119">
    <w:name w:val="封面标准文稿类别2"/>
    <w:basedOn w:val="64"/>
    <w:qFormat/>
    <w:uiPriority w:val="0"/>
    <w:pPr>
      <w:framePr w:wrap="around" w:y="4469"/>
    </w:pPr>
  </w:style>
  <w:style w:type="paragraph" w:customStyle="1" w:styleId="120">
    <w:name w:val="图标脚注说明"/>
    <w:basedOn w:val="24"/>
    <w:qFormat/>
    <w:uiPriority w:val="0"/>
    <w:pPr>
      <w:ind w:left="840" w:hanging="420" w:firstLineChars="0"/>
    </w:pPr>
    <w:rPr>
      <w:sz w:val="18"/>
      <w:szCs w:val="18"/>
    </w:rPr>
  </w:style>
  <w:style w:type="paragraph" w:customStyle="1" w:styleId="12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标准书眉_偶数页"/>
    <w:basedOn w:val="101"/>
    <w:next w:val="1"/>
    <w:qFormat/>
    <w:uiPriority w:val="0"/>
    <w:pPr>
      <w:jc w:val="left"/>
    </w:pPr>
  </w:style>
  <w:style w:type="paragraph" w:customStyle="1" w:styleId="124">
    <w:name w:val="附录表标题"/>
    <w:basedOn w:val="1"/>
    <w:next w:val="24"/>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125">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26">
    <w:name w:val="其他发布日期"/>
    <w:basedOn w:val="58"/>
    <w:qFormat/>
    <w:uiPriority w:val="0"/>
    <w:pPr>
      <w:framePr w:wrap="around" w:vAnchor="page" w:hAnchor="text" w:x="1419"/>
    </w:pPr>
  </w:style>
  <w:style w:type="paragraph" w:customStyle="1" w:styleId="127">
    <w:name w:val="附录公式"/>
    <w:basedOn w:val="24"/>
    <w:next w:val="24"/>
    <w:link w:val="153"/>
    <w:qFormat/>
    <w:uiPriority w:val="0"/>
  </w:style>
  <w:style w:type="paragraph" w:customStyle="1" w:styleId="12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29">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其他标准标志"/>
    <w:basedOn w:val="121"/>
    <w:qFormat/>
    <w:uiPriority w:val="0"/>
    <w:pPr>
      <w:framePr w:w="6101" w:wrap="around" w:vAnchor="page" w:hAnchor="page" w:x="4673" w:y="942"/>
    </w:pPr>
    <w:rPr>
      <w:w w:val="130"/>
    </w:rPr>
  </w:style>
  <w:style w:type="paragraph" w:customStyle="1" w:styleId="131">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正文表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4">
    <w:name w:val="五级无标题条"/>
    <w:basedOn w:val="1"/>
    <w:qFormat/>
    <w:uiPriority w:val="0"/>
    <w:pPr>
      <w:numPr>
        <w:ilvl w:val="6"/>
        <w:numId w:val="9"/>
      </w:numPr>
    </w:pPr>
    <w:rPr>
      <w:szCs w:val="20"/>
    </w:rPr>
  </w:style>
  <w:style w:type="paragraph" w:customStyle="1" w:styleId="135">
    <w:name w:val="列项◆（三级）"/>
    <w:basedOn w:val="1"/>
    <w:qFormat/>
    <w:uiPriority w:val="0"/>
    <w:pPr>
      <w:numPr>
        <w:ilvl w:val="2"/>
        <w:numId w:val="8"/>
      </w:numPr>
    </w:pPr>
    <w:rPr>
      <w:rFonts w:ascii="宋体"/>
      <w:szCs w:val="21"/>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二级无标题条"/>
    <w:basedOn w:val="1"/>
    <w:qFormat/>
    <w:uiPriority w:val="0"/>
    <w:pPr>
      <w:numPr>
        <w:ilvl w:val="3"/>
        <w:numId w:val="9"/>
      </w:numPr>
    </w:pPr>
    <w:rPr>
      <w:szCs w:val="20"/>
    </w:rPr>
  </w:style>
  <w:style w:type="paragraph" w:customStyle="1" w:styleId="138">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39">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4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41">
    <w:name w:val="一级无"/>
    <w:basedOn w:val="51"/>
    <w:qFormat/>
    <w:uiPriority w:val="0"/>
    <w:pPr>
      <w:spacing w:beforeLines="0" w:afterLines="0"/>
    </w:pPr>
    <w:rPr>
      <w:rFonts w:ascii="宋体" w:eastAsia="宋体"/>
    </w:rPr>
  </w:style>
  <w:style w:type="character" w:customStyle="1" w:styleId="142">
    <w:name w:val="首示例 Char"/>
    <w:link w:val="108"/>
    <w:qFormat/>
    <w:uiPriority w:val="0"/>
    <w:rPr>
      <w:rFonts w:ascii="宋体" w:hAnsi="宋体"/>
      <w:kern w:val="2"/>
      <w:sz w:val="18"/>
      <w:szCs w:val="18"/>
      <w:lang w:bidi="ar-SA"/>
    </w:rPr>
  </w:style>
  <w:style w:type="character" w:customStyle="1" w:styleId="143">
    <w:name w:val="MTEquationSection"/>
    <w:qFormat/>
    <w:uiPriority w:val="0"/>
    <w:rPr>
      <w:vanish/>
      <w:color w:val="FF0000"/>
    </w:rPr>
  </w:style>
  <w:style w:type="character" w:customStyle="1" w:styleId="144">
    <w:name w:val="发布"/>
    <w:qFormat/>
    <w:uiPriority w:val="0"/>
    <w:rPr>
      <w:rFonts w:ascii="黑体" w:eastAsia="黑体"/>
      <w:spacing w:val="85"/>
      <w:w w:val="100"/>
      <w:position w:val="3"/>
      <w:sz w:val="28"/>
      <w:szCs w:val="28"/>
    </w:rPr>
  </w:style>
  <w:style w:type="character" w:customStyle="1" w:styleId="145">
    <w:name w:val="标题 1 字符"/>
    <w:link w:val="2"/>
    <w:qFormat/>
    <w:uiPriority w:val="0"/>
    <w:rPr>
      <w:b/>
      <w:bCs/>
      <w:kern w:val="44"/>
      <w:sz w:val="44"/>
      <w:szCs w:val="44"/>
    </w:rPr>
  </w:style>
  <w:style w:type="character" w:customStyle="1" w:styleId="146">
    <w:name w:val="批注文字 字符"/>
    <w:link w:val="8"/>
    <w:semiHidden/>
    <w:qFormat/>
    <w:uiPriority w:val="0"/>
    <w:rPr>
      <w:kern w:val="2"/>
      <w:sz w:val="21"/>
      <w:szCs w:val="24"/>
    </w:rPr>
  </w:style>
  <w:style w:type="character" w:customStyle="1" w:styleId="147">
    <w:name w:val="日期 字符"/>
    <w:link w:val="15"/>
    <w:qFormat/>
    <w:uiPriority w:val="0"/>
    <w:rPr>
      <w:kern w:val="2"/>
      <w:sz w:val="21"/>
      <w:szCs w:val="24"/>
    </w:rPr>
  </w:style>
  <w:style w:type="character" w:customStyle="1" w:styleId="148">
    <w:name w:val="批注主题 字符"/>
    <w:link w:val="32"/>
    <w:semiHidden/>
    <w:qFormat/>
    <w:uiPriority w:val="0"/>
    <w:rPr>
      <w:b/>
      <w:bCs/>
      <w:kern w:val="2"/>
      <w:sz w:val="21"/>
      <w:szCs w:val="24"/>
    </w:rPr>
  </w:style>
  <w:style w:type="character" w:customStyle="1" w:styleId="149">
    <w:name w:val="一级条标题 Char"/>
    <w:link w:val="51"/>
    <w:qFormat/>
    <w:uiPriority w:val="0"/>
    <w:rPr>
      <w:rFonts w:ascii="黑体" w:eastAsia="黑体"/>
      <w:sz w:val="21"/>
      <w:szCs w:val="21"/>
      <w:lang w:bidi="ar-SA"/>
    </w:rPr>
  </w:style>
  <w:style w:type="character" w:customStyle="1" w:styleId="150">
    <w:name w:val="二级无 Char"/>
    <w:link w:val="118"/>
    <w:qFormat/>
    <w:uiPriority w:val="0"/>
    <w:rPr>
      <w:rFonts w:ascii="宋体"/>
      <w:sz w:val="21"/>
      <w:szCs w:val="21"/>
    </w:rPr>
  </w:style>
  <w:style w:type="character" w:customStyle="1" w:styleId="151">
    <w:name w:val="MTDisplayEquation Char"/>
    <w:link w:val="117"/>
    <w:qFormat/>
    <w:uiPriority w:val="0"/>
    <w:rPr>
      <w:rFonts w:ascii="宋体" w:eastAsia="黑体"/>
      <w:sz w:val="21"/>
      <w:szCs w:val="21"/>
    </w:rPr>
  </w:style>
  <w:style w:type="character" w:customStyle="1" w:styleId="152">
    <w:name w:val="段 Char"/>
    <w:link w:val="24"/>
    <w:qFormat/>
    <w:uiPriority w:val="0"/>
    <w:rPr>
      <w:rFonts w:ascii="宋体"/>
      <w:sz w:val="21"/>
      <w:lang w:val="en-US" w:eastAsia="zh-CN" w:bidi="ar-SA"/>
    </w:rPr>
  </w:style>
  <w:style w:type="character" w:customStyle="1" w:styleId="153">
    <w:name w:val="附录公式 Char"/>
    <w:link w:val="127"/>
    <w:qFormat/>
    <w:uiPriority w:val="0"/>
    <w:rPr>
      <w:rFonts w:ascii="宋体"/>
      <w:sz w:val="21"/>
      <w:lang w:val="en-US" w:eastAsia="zh-CN" w:bidi="ar-SA"/>
    </w:rPr>
  </w:style>
  <w:style w:type="character" w:styleId="154">
    <w:name w:val="Placeholder Text"/>
    <w:semiHidden/>
    <w:qFormat/>
    <w:uiPriority w:val="99"/>
    <w:rPr>
      <w:color w:val="808080"/>
    </w:rPr>
  </w:style>
  <w:style w:type="character" w:customStyle="1" w:styleId="155">
    <w:name w:val="批注框文本 字符"/>
    <w:link w:val="17"/>
    <w:qFormat/>
    <w:uiPriority w:val="0"/>
    <w:rPr>
      <w:kern w:val="2"/>
      <w:sz w:val="18"/>
      <w:szCs w:val="18"/>
    </w:rPr>
  </w:style>
  <w:style w:type="character" w:customStyle="1" w:styleId="156">
    <w:name w:val="二级条标题 Char"/>
    <w:link w:val="50"/>
    <w:qFormat/>
    <w:uiPriority w:val="0"/>
    <w:rPr>
      <w:rFonts w:ascii="黑体" w:eastAsia="黑体"/>
      <w:sz w:val="21"/>
      <w:szCs w:val="21"/>
    </w:rPr>
  </w:style>
  <w:style w:type="paragraph" w:customStyle="1" w:styleId="15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WPSOffice手动目录 1"/>
    <w:qFormat/>
    <w:uiPriority w:val="0"/>
    <w:pPr>
      <w:ind w:leftChars="0"/>
    </w:pPr>
    <w:rPr>
      <w:rFonts w:ascii="Times New Roman" w:hAnsi="Times New Roman" w:eastAsia="宋体" w:cs="Times New Roman"/>
      <w:sz w:val="20"/>
      <w:szCs w:val="20"/>
    </w:rPr>
  </w:style>
  <w:style w:type="paragraph" w:customStyle="1" w:styleId="160">
    <w:name w:val="标准文件_目录标题"/>
    <w:basedOn w:val="1"/>
    <w:qFormat/>
    <w:uiPriority w:val="0"/>
    <w:pPr>
      <w:spacing w:after="150" w:afterLines="150" w:line="240" w:lineRule="auto"/>
      <w:jc w:val="center"/>
    </w:pPr>
    <w:rPr>
      <w:rFonts w:ascii="黑体" w:eastAsia="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b9a272-0f39-4939-bbe7-17e141db6d26}"/>
        <w:style w:val=""/>
        <w:category>
          <w:name w:val="常规"/>
          <w:gallery w:val="placeholder"/>
        </w:category>
        <w:types>
          <w:type w:val="bbPlcHdr"/>
        </w:types>
        <w:behaviors>
          <w:behavior w:val="content"/>
        </w:behaviors>
        <w:description w:val=""/>
        <w:guid w:val="{FEB9A272-0F39-4939-BBE7-17E141DB6D26}"/>
      </w:docPartPr>
      <w:docPartBody>
        <w:p>
          <w:pPr>
            <w:pStyle w:val="4"/>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1B"/>
    <w:rsid w:val="002877B6"/>
    <w:rsid w:val="006805B1"/>
    <w:rsid w:val="0095311B"/>
    <w:rsid w:val="00FD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2F75D6733584B19B33D8CEA701D389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BD480-5E3F-4748-B6C0-EB0D87971EF4}">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601</Words>
  <Characters>3428</Characters>
  <Lines>28</Lines>
  <Paragraphs>8</Paragraphs>
  <TotalTime>0</TotalTime>
  <ScaleCrop>false</ScaleCrop>
  <LinksUpToDate>false</LinksUpToDate>
  <CharactersWithSpaces>4021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2020-09-25T07:12:00Z</dcterms:created>
  <dc:creator>CNIS</dc:creator>
  <cp:lastModifiedBy>彭伟强</cp:lastModifiedBy>
  <cp:lastPrinted>2018-04-04T08:27:00Z</cp:lastPrinted>
  <dcterms:modified xsi:type="dcterms:W3CDTF">2022-04-29T05:36:30Z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nNumsOnRight">
    <vt:bool>true</vt:bool>
  </property>
  <property fmtid="{D5CDD505-2E9C-101B-9397-08002B2CF9AE}" pid="5" name="MTEquationNumber2">
    <vt:lpwstr>(#E1)</vt:lpwstr>
  </property>
  <property fmtid="{D5CDD505-2E9C-101B-9397-08002B2CF9AE}" pid="6" name="KSOProductBuildVer">
    <vt:lpwstr>2052-11.8.2.10393</vt:lpwstr>
  </property>
</Properties>
</file>