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line="240" w:lineRule="auto"/>
              <w:ind w:left="3"/>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43.020</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T08</w:t>
            </w:r>
            <w:r>
              <w:rPr>
                <w:rFonts w:ascii="黑体" w:hAnsi="黑体" w:eastAsia="黑体"/>
                <w:sz w:val="21"/>
                <w:szCs w:val="21"/>
              </w:rPr>
              <w:fldChar w:fldCharType="end"/>
            </w:r>
            <w:bookmarkEnd w:id="1"/>
          </w:p>
        </w:tc>
      </w:tr>
    </w:tbl>
    <w:p>
      <w:pPr>
        <w:pStyle w:val="52"/>
        <w:framePr w:w="9639" w:h="624" w:hRule="exact" w:hSpace="181" w:vSpace="181" w:wrap="around" w:hAnchor="page" w:x="1305" w:y="2269"/>
      </w:pPr>
      <w:bookmarkStart w:id="2" w:name="_Hlk26473981"/>
      <w:r>
        <w:rPr>
          <w:rFonts w:hint="eastAsia"/>
        </w:rPr>
        <w:t>中华人民共和国国家标准</w:t>
      </w:r>
    </w:p>
    <w:bookmarkEnd w:id="2"/>
    <w:p>
      <w:pPr>
        <w:pStyle w:val="197"/>
        <w:framePr w:wrap="around"/>
      </w:pPr>
      <w:r>
        <w:fldChar w:fldCharType="begin">
          <w:ffData>
            <w:name w:val="文字1"/>
            <w:enabled/>
            <w:calcOnExit w:val="0"/>
            <w:textInput>
              <w:default w:val="GB/T"/>
            </w:textInput>
          </w:ffData>
        </w:fldChar>
      </w:r>
      <w:bookmarkStart w:id="3" w:name="文字1"/>
      <w:r>
        <w:instrText xml:space="preserve"> FORMTEXT </w:instrText>
      </w:r>
      <w:r>
        <w:fldChar w:fldCharType="separate"/>
      </w:r>
      <w:r>
        <w:t>GB</w:t>
      </w:r>
      <w:r>
        <w:fldChar w:fldCharType="end"/>
      </w:r>
      <w:bookmarkEnd w:id="3"/>
      <w:r>
        <w:t xml:space="preserve"> </w:t>
      </w:r>
      <w:r>
        <w:fldChar w:fldCharType="begin">
          <w:ffData>
            <w:name w:val="NSTD_CODE_F"/>
            <w:enabled/>
            <w:calcOnExit w:val="0"/>
            <w:textInput>
              <w:default w:val="XXXXX"/>
            </w:textInput>
          </w:ffData>
        </w:fldChar>
      </w:r>
      <w:bookmarkStart w:id="4" w:name="NSTD_CODE_F"/>
      <w:r>
        <w:instrText xml:space="preserve"> FORMTEXT </w:instrText>
      </w:r>
      <w:r>
        <w:fldChar w:fldCharType="separate"/>
      </w:r>
      <w:r>
        <w:rPr>
          <w:rFonts w:hint="eastAsia"/>
        </w:rPr>
        <w:t>22757.1</w:t>
      </w:r>
      <w:r>
        <w:fldChar w:fldCharType="end"/>
      </w:r>
      <w:bookmarkEnd w:id="4"/>
      <w:r>
        <w:rPr>
          <w:rFonts w:hAnsi="黑体"/>
        </w:rPr>
        <w:t>—</w:t>
      </w:r>
      <w:r>
        <w:fldChar w:fldCharType="begin">
          <w:ffData>
            <w:name w:val="NSTD_CODE_B"/>
            <w:enabled/>
            <w:calcOnExit w:val="0"/>
            <w:textInput>
              <w:default w:val="XXXX"/>
            </w:textInput>
          </w:ffData>
        </w:fldChar>
      </w:r>
      <w:bookmarkStart w:id="5" w:name="NSTD_CODE_B"/>
      <w:r>
        <w:instrText xml:space="preserve"> FORMTEXT </w:instrText>
      </w:r>
      <w:r>
        <w:fldChar w:fldCharType="separate"/>
      </w:r>
      <w:r>
        <w:t>XXXX</w:t>
      </w:r>
      <w:r>
        <w:fldChar w:fldCharType="end"/>
      </w:r>
      <w:bookmarkEnd w:id="5"/>
    </w:p>
    <w:p>
      <w:pPr>
        <w:pStyle w:val="198"/>
        <w:framePr w:wrap="around"/>
        <w:rPr>
          <w:rFonts w:hAnsi="黑体"/>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fldChar w:fldCharType="separate"/>
      </w:r>
      <w:r>
        <w:rPr>
          <w:rFonts w:hAnsi="黑体"/>
        </w:rPr>
        <w:t xml:space="preserve">代替 GB </w:t>
      </w:r>
      <w:r>
        <w:rPr>
          <w:rFonts w:hint="eastAsia" w:hAnsi="黑体"/>
        </w:rPr>
        <w:t>22757.1—2017</w:t>
      </w:r>
      <w:r>
        <w:rPr>
          <w:rFonts w:hAnsi="黑体"/>
        </w:rPr>
        <w:fldChar w:fldCharType="end"/>
      </w:r>
      <w:bookmarkEnd w:id="6"/>
    </w:p>
    <w:p>
      <w:pPr>
        <w:spacing w:line="240" w:lineRule="auto"/>
        <w:ind w:left="8080"/>
        <w:rPr>
          <w:rFonts w:ascii="黑体" w:hAnsi="黑体" w:eastAsia="黑体"/>
          <w:kern w:val="0"/>
          <w:sz w:val="52"/>
          <w:szCs w:val="20"/>
        </w:rPr>
      </w:pPr>
      <w:r>
        <w:rPr>
          <w:rFonts w:ascii="黑体" w:hAnsi="黑体" w:eastAsia="黑体"/>
          <w:kern w:val="0"/>
          <w:sz w:val="52"/>
          <w:szCs w:val="2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g0mW2AAAAAwBAAAPAAAAAAAAAAEAIAAAACIAAABkcnMv&#10;ZG93bnJldi54bWxQSwECFAAUAAAACACHTuJAeCbvfcoBAABeAwAADgAAAAAAAAABACAAAAAnAQAA&#10;ZHJzL2Uyb0RvYy54bWxQSwUGAAAAAAYABgBZAQAAYwUAAAAA&#10;">
                <v:fill on="f" focussize="0,0"/>
                <v:stroke color="#000000" joinstyle="round"/>
                <v:imagedata o:title=""/>
                <o:lock v:ext="edit" aspectratio="f"/>
              </v:line>
            </w:pict>
          </mc:Fallback>
        </mc:AlternateContent>
      </w:r>
      <w:r>
        <w:rPr>
          <w:rFonts w:ascii="黑体" w:hAnsi="黑体" w:eastAsia="黑体"/>
          <w:kern w:val="0"/>
          <w:sz w:val="52"/>
          <w:szCs w:val="20"/>
        </w:rPr>
        <w:drawing>
          <wp:anchor distT="0" distB="0" distL="114300" distR="114300" simplePos="0" relativeHeight="251659264" behindDoc="0" locked="0" layoutInCell="1" allowOverlap="0">
            <wp:simplePos x="0" y="0"/>
            <wp:positionH relativeFrom="page">
              <wp:posOffset>5166360</wp:posOffset>
            </wp:positionH>
            <wp:positionV relativeFrom="page">
              <wp:posOffset>466725</wp:posOffset>
            </wp:positionV>
            <wp:extent cx="1447165" cy="734695"/>
            <wp:effectExtent l="0" t="0" r="635" b="889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447200" cy="734400"/>
                    </a:xfrm>
                    <a:prstGeom prst="rect">
                      <a:avLst/>
                    </a:prstGeom>
                    <a:noFill/>
                    <a:ln>
                      <a:noFill/>
                    </a:ln>
                  </pic:spPr>
                </pic:pic>
              </a:graphicData>
            </a:graphic>
          </wp:anchor>
        </w:drawing>
      </w:r>
    </w:p>
    <w:p>
      <w:pPr>
        <w:pStyle w:val="52"/>
        <w:framePr w:w="9639" w:h="6976" w:hRule="exact" w:hSpace="0" w:vSpace="0" w:wrap="around" w:hAnchor="page" w:y="6408"/>
        <w:jc w:val="center"/>
        <w:rPr>
          <w:rFonts w:ascii="黑体" w:hAnsi="黑体" w:eastAsia="黑体"/>
          <w:b w:val="0"/>
          <w:bCs w:val="0"/>
          <w:w w:val="100"/>
        </w:rPr>
      </w:pPr>
    </w:p>
    <w:p>
      <w:pPr>
        <w:pStyle w:val="199"/>
        <w:framePr w:h="6974" w:hRule="exact" w:wrap="around" w:x="1419" w:anchorLock="1"/>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t>轻型汽车能源消耗量标识</w:t>
      </w:r>
    </w:p>
    <w:p>
      <w:pPr>
        <w:pStyle w:val="199"/>
        <w:framePr w:h="6974" w:hRule="exact" w:wrap="around" w:x="1419" w:anchorLock="1"/>
      </w:pPr>
      <w:r>
        <w:t>第1部分：汽油和柴油汽车</w:t>
      </w:r>
      <w:r>
        <w:fldChar w:fldCharType="end"/>
      </w:r>
      <w:bookmarkEnd w:id="7"/>
    </w:p>
    <w:p>
      <w:pPr>
        <w:framePr w:w="9639" w:h="6974" w:hRule="exact" w:wrap="around" w:vAnchor="page" w:hAnchor="page" w:x="1419" w:y="6408" w:anchorLock="1"/>
        <w:ind w:left="-1418"/>
      </w:pPr>
    </w:p>
    <w:p>
      <w:pPr>
        <w:pStyle w:val="127"/>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8" w:name="ESTD_NAME"/>
      <w:r>
        <w:rPr>
          <w:rFonts w:eastAsia="黑体"/>
          <w:szCs w:val="28"/>
        </w:rPr>
        <w:instrText xml:space="preserve"> FORMTEXT </w:instrText>
      </w:r>
      <w:r>
        <w:rPr>
          <w:rFonts w:eastAsia="黑体"/>
          <w:szCs w:val="28"/>
        </w:rPr>
        <w:fldChar w:fldCharType="separate"/>
      </w:r>
      <w:r>
        <w:rPr>
          <w:rFonts w:eastAsia="黑体"/>
          <w:szCs w:val="28"/>
        </w:rPr>
        <w:t>E</w:t>
      </w:r>
      <w:r>
        <w:rPr>
          <w:rFonts w:hint="eastAsia" w:eastAsia="黑体"/>
          <w:szCs w:val="28"/>
        </w:rPr>
        <w:t>nergy</w:t>
      </w:r>
      <w:r>
        <w:rPr>
          <w:rFonts w:eastAsia="黑体"/>
          <w:szCs w:val="28"/>
        </w:rPr>
        <w:t xml:space="preserve"> </w:t>
      </w:r>
      <w:r>
        <w:rPr>
          <w:rFonts w:hint="eastAsia" w:eastAsia="黑体"/>
          <w:szCs w:val="28"/>
        </w:rPr>
        <w:t>c</w:t>
      </w:r>
      <w:r>
        <w:rPr>
          <w:rFonts w:eastAsia="黑体"/>
          <w:szCs w:val="28"/>
        </w:rPr>
        <w:t>onsumption l</w:t>
      </w:r>
      <w:r>
        <w:rPr>
          <w:rFonts w:hint="eastAsia" w:eastAsia="黑体"/>
          <w:szCs w:val="28"/>
        </w:rPr>
        <w:t>abel</w:t>
      </w:r>
      <w:r>
        <w:rPr>
          <w:rFonts w:eastAsia="黑体"/>
          <w:szCs w:val="28"/>
        </w:rPr>
        <w:t xml:space="preserve"> for light-duty vehicles</w:t>
      </w:r>
      <w:r>
        <w:rPr>
          <w:rFonts w:hint="eastAsia" w:eastAsia="黑体"/>
          <w:szCs w:val="28"/>
        </w:rPr>
        <w:t>—</w:t>
      </w:r>
    </w:p>
    <w:p>
      <w:pPr>
        <w:pStyle w:val="127"/>
        <w:framePr w:w="9639" w:h="6974" w:hRule="exact" w:wrap="around" w:vAnchor="page" w:hAnchor="page" w:x="1419" w:y="6408" w:anchorLock="1"/>
        <w:textAlignment w:val="bottom"/>
        <w:rPr>
          <w:rFonts w:eastAsia="黑体"/>
          <w:szCs w:val="28"/>
        </w:rPr>
      </w:pPr>
      <w:r>
        <w:rPr>
          <w:rFonts w:eastAsia="黑体"/>
          <w:szCs w:val="28"/>
        </w:rPr>
        <w:t>P</w:t>
      </w:r>
      <w:r>
        <w:rPr>
          <w:rFonts w:hint="eastAsia" w:eastAsia="黑体"/>
          <w:szCs w:val="28"/>
        </w:rPr>
        <w:t>art</w:t>
      </w:r>
      <w:r>
        <w:rPr>
          <w:rFonts w:eastAsia="黑体"/>
          <w:szCs w:val="28"/>
        </w:rPr>
        <w:t xml:space="preserve"> </w:t>
      </w:r>
      <w:r>
        <w:rPr>
          <w:rFonts w:hint="eastAsia" w:eastAsia="黑体"/>
          <w:szCs w:val="28"/>
        </w:rPr>
        <w:t>1：For</w:t>
      </w:r>
      <w:r>
        <w:rPr>
          <w:rFonts w:eastAsia="黑体"/>
          <w:szCs w:val="28"/>
        </w:rPr>
        <w:t xml:space="preserve"> gasoline and diesel vehicles</w:t>
      </w:r>
      <w:r>
        <w:rPr>
          <w:rFonts w:eastAsia="黑体"/>
          <w:szCs w:val="28"/>
        </w:rPr>
        <w:fldChar w:fldCharType="end"/>
      </w:r>
      <w:bookmarkEnd w:id="8"/>
    </w:p>
    <w:p>
      <w:pPr>
        <w:framePr w:w="9639" w:h="6974" w:hRule="exact" w:wrap="around" w:vAnchor="page" w:hAnchor="page" w:x="1419" w:y="6408" w:anchorLock="1"/>
        <w:spacing w:line="760" w:lineRule="exact"/>
        <w:ind w:left="-1418"/>
      </w:pPr>
    </w:p>
    <w:p>
      <w:pPr>
        <w:pStyle w:val="127"/>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9" w:name="IN_STD_CODE"/>
      <w:r>
        <w:rPr>
          <w:rFonts w:eastAsia="黑体"/>
          <w:szCs w:val="28"/>
        </w:rPr>
        <w:instrText xml:space="preserve"> FORMTEXT </w:instrText>
      </w:r>
      <w:r>
        <w:rPr>
          <w:rFonts w:eastAsia="黑体"/>
          <w:szCs w:val="28"/>
        </w:rPr>
        <w:fldChar w:fldCharType="separate"/>
      </w:r>
      <w:r>
        <w:rPr>
          <w:rFonts w:hint="eastAsia" w:eastAsia="黑体"/>
          <w:szCs w:val="28"/>
        </w:rPr>
        <w:t>(点击此处添加与国际标准一致性程度的标识)</w:t>
      </w:r>
      <w:r>
        <w:rPr>
          <w:rFonts w:eastAsia="黑体"/>
          <w:szCs w:val="28"/>
        </w:rPr>
        <w:fldChar w:fldCharType="end"/>
      </w:r>
      <w:bookmarkEnd w:id="9"/>
    </w:p>
    <w:p>
      <w:pPr>
        <w:pStyle w:val="127"/>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0" w:name="下拉1"/>
      <w:r>
        <w:rPr>
          <w:sz w:val="24"/>
          <w:szCs w:val="28"/>
        </w:rPr>
        <w:instrText xml:space="preserve"> FORMDROPDOWN </w:instrText>
      </w:r>
      <w:r>
        <w:rPr>
          <w:sz w:val="24"/>
          <w:szCs w:val="28"/>
        </w:rPr>
        <w:fldChar w:fldCharType="separate"/>
      </w:r>
      <w:r>
        <w:rPr>
          <w:sz w:val="24"/>
          <w:szCs w:val="28"/>
        </w:rPr>
        <w:fldChar w:fldCharType="end"/>
      </w:r>
      <w:bookmarkEnd w:id="10"/>
    </w:p>
    <w:p>
      <w:pPr>
        <w:pStyle w:val="127"/>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1"/>
    </w:p>
    <w:p>
      <w:pPr>
        <w:pStyle w:val="127"/>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2" w:name="下拉2"/>
      <w:r>
        <w:rPr>
          <w:b/>
          <w:sz w:val="21"/>
          <w:szCs w:val="28"/>
        </w:rPr>
        <w:instrText xml:space="preserve"> FORMDROPDOWN </w:instrText>
      </w:r>
      <w:r>
        <w:rPr>
          <w:b/>
          <w:sz w:val="21"/>
          <w:szCs w:val="28"/>
        </w:rPr>
        <w:fldChar w:fldCharType="separate"/>
      </w:r>
      <w:r>
        <w:rPr>
          <w:b/>
          <w:sz w:val="21"/>
          <w:szCs w:val="28"/>
        </w:rPr>
        <w:fldChar w:fldCharType="end"/>
      </w:r>
      <w:bookmarkEnd w:id="12"/>
    </w:p>
    <w:p>
      <w:pPr>
        <w:pStyle w:val="195"/>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3"/>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hint="eastAsia"/>
        </w:rPr>
        <w:t>发布</w:t>
      </w:r>
    </w:p>
    <w:p>
      <w:pPr>
        <w:pStyle w:val="196"/>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6"/>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rPr>
          <w:rFonts w:hint="eastAsia"/>
        </w:rPr>
        <w:t>实施</w:t>
      </w:r>
    </w:p>
    <w:p>
      <w:pPr>
        <w:rPr>
          <w:rFonts w:ascii="宋体" w:hAnsi="宋体"/>
          <w:sz w:val="28"/>
          <w:szCs w:val="28"/>
        </w:rPr>
        <w:sectPr>
          <w:headerReference r:id="rId5" w:type="first"/>
          <w:footerReference r:id="rId7" w:type="first"/>
          <w:headerReference r:id="rId4" w:type="default"/>
          <w:footerReference r:id="rId6"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w:drawing>
          <wp:anchor distT="0" distB="0" distL="114300" distR="114300" simplePos="0" relativeHeight="251664384" behindDoc="0" locked="0" layoutInCell="1" allowOverlap="1">
            <wp:simplePos x="0" y="0"/>
            <wp:positionH relativeFrom="column">
              <wp:posOffset>1610360</wp:posOffset>
            </wp:positionH>
            <wp:positionV relativeFrom="paragraph">
              <wp:posOffset>8245475</wp:posOffset>
            </wp:positionV>
            <wp:extent cx="2869565" cy="546100"/>
            <wp:effectExtent l="0" t="0" r="0" b="698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9324" cy="545919"/>
                    </a:xfrm>
                    <a:prstGeom prst="rect">
                      <a:avLst/>
                    </a:prstGeom>
                  </pic:spPr>
                </pic:pic>
              </a:graphicData>
            </a:graphic>
          </wp:anchor>
        </w:drawing>
      </w:r>
      <w:r>
        <w:rPr>
          <w:rFonts w:hint="eastAsia" w:ascii="宋体" w:hAnsi="宋体"/>
          <w:sz w:val="28"/>
          <w:szCs w:val="28"/>
        </w:rPr>
        <mc:AlternateContent>
          <mc:Choice Requires="wps">
            <w:drawing>
              <wp:anchor distT="0" distB="0" distL="114300" distR="114300" simplePos="0" relativeHeight="251663360"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3360;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rMxz71wAAAA4BAAAPAAAAAAAAAAEAIAAAACIAAABkcnMvZG93&#10;bnJldi54bWxQSwECFAAUAAAACACHTuJAqt0+T8gBAABcAwAADgAAAAAAAAABACAAAAAmAQAAZHJz&#10;L2Uyb0RvYy54bWxQSwUGAAAAAAYABgBZAQAAYAUAAAAA&#10;">
                <v:fill on="f" focussize="0,0"/>
                <v:stroke color="#000000" joinstyle="round"/>
                <v:imagedata o:title=""/>
                <o:lock v:ext="edit" aspectratio="f"/>
                <w10:anchorlock/>
              </v:line>
            </w:pict>
          </mc:Fallback>
        </mc:AlternateContent>
      </w:r>
      <w:r>
        <w:rPr>
          <w:rFonts w:hint="eastAsia" w:ascii="宋体" w:hAnsi="宋体"/>
          <w:sz w:val="28"/>
          <w:szCs w:val="28"/>
        </w:rPr>
        <w:t>`</w:t>
      </w:r>
    </w:p>
    <w:p>
      <w:pPr>
        <w:pStyle w:val="93"/>
        <w:spacing w:after="468"/>
      </w:pPr>
      <w:bookmarkStart w:id="19" w:name="BookMark1"/>
      <w:r>
        <w:rPr>
          <w:rFonts w:hint="eastAsia"/>
          <w:spacing w:val="320"/>
        </w:rPr>
        <w:t>目</w:t>
      </w:r>
      <w:r>
        <w:rPr>
          <w:rFonts w:hint="eastAsia"/>
        </w:rPr>
        <w:t>次</w:t>
      </w:r>
    </w:p>
    <w:p>
      <w:pPr>
        <w:pStyle w:val="20"/>
        <w:tabs>
          <w:tab w:val="right" w:leader="dot" w:pos="9344"/>
        </w:tabs>
        <w:adjustRightInd/>
        <w:spacing w:before="78" w:beforeLines="25" w:after="78" w:afterLines="25" w:line="240" w:lineRule="auto"/>
        <w:rPr>
          <w:rFonts w:asciiTheme="minorHAnsi" w:hAnsiTheme="minorHAnsi" w:eastAsiaTheme="minorEastAsia" w:cstheme="minorBidi"/>
          <w:szCs w:val="22"/>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"_Toc62723370" </w:instrText>
      </w:r>
      <w:r>
        <w:fldChar w:fldCharType="separate"/>
      </w:r>
      <w:r>
        <w:rPr>
          <w:rStyle w:val="34"/>
        </w:rPr>
        <w:t>前言</w:t>
      </w:r>
      <w:r>
        <w:tab/>
      </w:r>
      <w:r>
        <w:fldChar w:fldCharType="begin"/>
      </w:r>
      <w:r>
        <w:instrText xml:space="preserve"> PAGEREF _Toc62723370 \h </w:instrText>
      </w:r>
      <w:r>
        <w:fldChar w:fldCharType="separate"/>
      </w:r>
      <w:r>
        <w:t>II</w:t>
      </w:r>
      <w:r>
        <w:fldChar w:fldCharType="end"/>
      </w:r>
      <w:r>
        <w:fldChar w:fldCharType="end"/>
      </w:r>
    </w:p>
    <w:p>
      <w:pPr>
        <w:pStyle w:val="20"/>
        <w:tabs>
          <w:tab w:val="right" w:leader="dot" w:pos="9344"/>
        </w:tabs>
        <w:adjustRightInd/>
        <w:spacing w:before="78" w:beforeLines="25" w:after="78" w:afterLines="25" w:line="240" w:lineRule="auto"/>
        <w:rPr>
          <w:rFonts w:asciiTheme="minorHAnsi" w:hAnsiTheme="minorHAnsi" w:eastAsiaTheme="minorEastAsia" w:cstheme="minorBidi"/>
          <w:szCs w:val="22"/>
        </w:rPr>
      </w:pPr>
      <w:r>
        <w:fldChar w:fldCharType="begin"/>
      </w:r>
      <w:r>
        <w:instrText xml:space="preserve"> HYPERLINK \l "_Toc62723371" </w:instrText>
      </w:r>
      <w:r>
        <w:fldChar w:fldCharType="separate"/>
      </w:r>
      <w:r>
        <w:rPr>
          <w:rStyle w:val="34"/>
        </w:rPr>
        <w:t>引言</w:t>
      </w:r>
      <w:r>
        <w:tab/>
      </w:r>
      <w:r>
        <w:fldChar w:fldCharType="begin"/>
      </w:r>
      <w:r>
        <w:instrText xml:space="preserve"> PAGEREF _Toc62723371 \h </w:instrText>
      </w:r>
      <w:r>
        <w:fldChar w:fldCharType="separate"/>
      </w:r>
      <w:r>
        <w:t>III</w:t>
      </w:r>
      <w:r>
        <w:fldChar w:fldCharType="end"/>
      </w:r>
      <w:r>
        <w:fldChar w:fldCharType="end"/>
      </w:r>
    </w:p>
    <w:p>
      <w:pPr>
        <w:pStyle w:val="20"/>
        <w:tabs>
          <w:tab w:val="right" w:leader="dot" w:pos="9344"/>
        </w:tabs>
        <w:adjustRightInd/>
        <w:spacing w:before="78" w:beforeLines="25" w:after="78" w:afterLines="25" w:line="240" w:lineRule="auto"/>
        <w:rPr>
          <w:rFonts w:asciiTheme="minorHAnsi" w:hAnsiTheme="minorHAnsi" w:eastAsiaTheme="minorEastAsia" w:cstheme="minorBidi"/>
          <w:szCs w:val="22"/>
        </w:rPr>
      </w:pPr>
      <w:r>
        <w:fldChar w:fldCharType="begin"/>
      </w:r>
      <w:r>
        <w:instrText xml:space="preserve"> HYPERLINK \l "_Toc62723372" </w:instrText>
      </w:r>
      <w:r>
        <w:fldChar w:fldCharType="separate"/>
      </w:r>
      <w:r>
        <w:rPr>
          <w:rStyle w:val="34"/>
        </w:rPr>
        <w:t>1  范围</w:t>
      </w:r>
      <w:r>
        <w:tab/>
      </w:r>
      <w:r>
        <w:fldChar w:fldCharType="begin"/>
      </w:r>
      <w:r>
        <w:instrText xml:space="preserve"> PAGEREF _Toc62723372 \h </w:instrText>
      </w:r>
      <w:r>
        <w:fldChar w:fldCharType="separate"/>
      </w:r>
      <w:r>
        <w:t>1</w:t>
      </w:r>
      <w:r>
        <w:fldChar w:fldCharType="end"/>
      </w:r>
      <w:r>
        <w:fldChar w:fldCharType="end"/>
      </w:r>
    </w:p>
    <w:p>
      <w:pPr>
        <w:pStyle w:val="20"/>
        <w:tabs>
          <w:tab w:val="right" w:leader="dot" w:pos="9344"/>
        </w:tabs>
        <w:adjustRightInd/>
        <w:spacing w:before="78" w:beforeLines="25" w:after="78" w:afterLines="25" w:line="240" w:lineRule="auto"/>
        <w:rPr>
          <w:rFonts w:asciiTheme="minorHAnsi" w:hAnsiTheme="minorHAnsi" w:eastAsiaTheme="minorEastAsia" w:cstheme="minorBidi"/>
          <w:szCs w:val="22"/>
        </w:rPr>
      </w:pPr>
      <w:r>
        <w:fldChar w:fldCharType="begin"/>
      </w:r>
      <w:r>
        <w:instrText xml:space="preserve"> HYPERLINK \l "_Toc62723373" </w:instrText>
      </w:r>
      <w:r>
        <w:fldChar w:fldCharType="separate"/>
      </w:r>
      <w:r>
        <w:rPr>
          <w:rStyle w:val="34"/>
        </w:rPr>
        <w:t>2  规范性引用文件</w:t>
      </w:r>
      <w:r>
        <w:tab/>
      </w:r>
      <w:r>
        <w:fldChar w:fldCharType="begin"/>
      </w:r>
      <w:r>
        <w:instrText xml:space="preserve"> PAGEREF _Toc62723373 \h </w:instrText>
      </w:r>
      <w:r>
        <w:fldChar w:fldCharType="separate"/>
      </w:r>
      <w:r>
        <w:t>1</w:t>
      </w:r>
      <w:r>
        <w:fldChar w:fldCharType="end"/>
      </w:r>
      <w:r>
        <w:fldChar w:fldCharType="end"/>
      </w:r>
    </w:p>
    <w:p>
      <w:pPr>
        <w:pStyle w:val="20"/>
        <w:tabs>
          <w:tab w:val="right" w:leader="dot" w:pos="9344"/>
        </w:tabs>
        <w:adjustRightInd/>
        <w:spacing w:before="78" w:beforeLines="25" w:after="78" w:afterLines="25" w:line="240" w:lineRule="auto"/>
      </w:pPr>
      <w:r>
        <w:fldChar w:fldCharType="begin"/>
      </w:r>
      <w:r>
        <w:instrText xml:space="preserve"> HYPERLINK \l "_Toc62723374" </w:instrText>
      </w:r>
      <w:r>
        <w:fldChar w:fldCharType="separate"/>
      </w:r>
      <w:r>
        <w:rPr>
          <w:rStyle w:val="34"/>
        </w:rPr>
        <w:t>3  术语和定义</w:t>
      </w:r>
      <w:r>
        <w:tab/>
      </w:r>
      <w:r>
        <w:fldChar w:fldCharType="begin"/>
      </w:r>
      <w:r>
        <w:instrText xml:space="preserve"> PAGEREF _Toc62723374 \h </w:instrText>
      </w:r>
      <w:r>
        <w:fldChar w:fldCharType="separate"/>
      </w:r>
      <w:r>
        <w:t>1</w:t>
      </w:r>
      <w:r>
        <w:fldChar w:fldCharType="end"/>
      </w:r>
      <w:r>
        <w:fldChar w:fldCharType="end"/>
      </w:r>
    </w:p>
    <w:p>
      <w:pPr>
        <w:pStyle w:val="20"/>
        <w:tabs>
          <w:tab w:val="right" w:leader="dot" w:pos="9344"/>
        </w:tabs>
        <w:adjustRightInd/>
        <w:spacing w:before="78" w:beforeLines="25" w:after="78" w:afterLines="25" w:line="240" w:lineRule="auto"/>
      </w:pPr>
      <w:r>
        <w:fldChar w:fldCharType="begin"/>
      </w:r>
      <w:r>
        <w:instrText xml:space="preserve"> HYPERLINK \l "_Toc62723374" </w:instrText>
      </w:r>
      <w:r>
        <w:fldChar w:fldCharType="separate"/>
      </w:r>
      <w:r>
        <w:rPr>
          <w:rStyle w:val="34"/>
        </w:rPr>
        <w:t xml:space="preserve">4  </w:t>
      </w:r>
      <w:r>
        <w:rPr>
          <w:rStyle w:val="34"/>
          <w:rFonts w:hint="eastAsia"/>
        </w:rPr>
        <w:t>总体要求</w:t>
      </w:r>
      <w:r>
        <w:tab/>
      </w:r>
      <w:r>
        <w:fldChar w:fldCharType="begin"/>
      </w:r>
      <w:r>
        <w:instrText xml:space="preserve"> PAGEREF _Toc62723374 \h </w:instrText>
      </w:r>
      <w:r>
        <w:fldChar w:fldCharType="separate"/>
      </w:r>
      <w:r>
        <w:t>1</w:t>
      </w:r>
      <w:r>
        <w:fldChar w:fldCharType="end"/>
      </w:r>
      <w:r>
        <w:fldChar w:fldCharType="end"/>
      </w:r>
    </w:p>
    <w:p>
      <w:pPr>
        <w:pStyle w:val="20"/>
        <w:tabs>
          <w:tab w:val="right" w:leader="dot" w:pos="9344"/>
        </w:tabs>
        <w:adjustRightInd/>
        <w:spacing w:before="78" w:beforeLines="25" w:after="78" w:afterLines="25" w:line="240" w:lineRule="auto"/>
        <w:rPr>
          <w:rFonts w:asciiTheme="minorHAnsi" w:hAnsiTheme="minorHAnsi" w:eastAsiaTheme="minorEastAsia" w:cstheme="minorBidi"/>
          <w:szCs w:val="22"/>
        </w:rPr>
      </w:pPr>
      <w:r>
        <w:fldChar w:fldCharType="begin"/>
      </w:r>
      <w:r>
        <w:instrText xml:space="preserve"> HYPERLINK \l "_Toc62723375" </w:instrText>
      </w:r>
      <w:r>
        <w:fldChar w:fldCharType="separate"/>
      </w:r>
      <w:r>
        <w:rPr>
          <w:rStyle w:val="34"/>
        </w:rPr>
        <w:t xml:space="preserve">5  </w:t>
      </w:r>
      <w:r>
        <w:rPr>
          <w:rStyle w:val="34"/>
          <w:rFonts w:hint="eastAsia"/>
        </w:rPr>
        <w:t>标识</w:t>
      </w:r>
      <w:r>
        <w:rPr>
          <w:rStyle w:val="34"/>
        </w:rPr>
        <w:t>内容</w:t>
      </w:r>
      <w:r>
        <w:tab/>
      </w:r>
      <w:r>
        <w:t>2</w:t>
      </w:r>
      <w:r>
        <w:fldChar w:fldCharType="end"/>
      </w:r>
    </w:p>
    <w:p>
      <w:pPr>
        <w:pStyle w:val="20"/>
        <w:tabs>
          <w:tab w:val="right" w:leader="dot" w:pos="9344"/>
        </w:tabs>
        <w:adjustRightInd/>
        <w:spacing w:before="78" w:beforeLines="25" w:after="78" w:afterLines="25" w:line="240" w:lineRule="auto"/>
        <w:rPr>
          <w:rFonts w:asciiTheme="minorHAnsi" w:hAnsiTheme="minorHAnsi" w:eastAsiaTheme="minorEastAsia" w:cstheme="minorBidi"/>
          <w:szCs w:val="22"/>
        </w:rPr>
      </w:pPr>
      <w:r>
        <w:fldChar w:fldCharType="begin"/>
      </w:r>
      <w:r>
        <w:instrText xml:space="preserve"> HYPERLINK \l "_Toc62723376" </w:instrText>
      </w:r>
      <w:r>
        <w:fldChar w:fldCharType="separate"/>
      </w:r>
      <w:r>
        <w:rPr>
          <w:rStyle w:val="34"/>
        </w:rPr>
        <w:t xml:space="preserve">6  </w:t>
      </w:r>
      <w:r>
        <w:rPr>
          <w:rStyle w:val="34"/>
          <w:rFonts w:hint="eastAsia"/>
        </w:rPr>
        <w:t>标识主要数据</w:t>
      </w:r>
      <w:r>
        <w:tab/>
      </w:r>
      <w:r>
        <w:fldChar w:fldCharType="begin"/>
      </w:r>
      <w:r>
        <w:instrText xml:space="preserve"> PAGEREF _Toc62723376 \h </w:instrText>
      </w:r>
      <w:r>
        <w:fldChar w:fldCharType="separate"/>
      </w:r>
      <w:r>
        <w:t>2</w:t>
      </w:r>
      <w:r>
        <w:fldChar w:fldCharType="end"/>
      </w:r>
      <w:r>
        <w:fldChar w:fldCharType="end"/>
      </w:r>
    </w:p>
    <w:p>
      <w:pPr>
        <w:pStyle w:val="20"/>
        <w:tabs>
          <w:tab w:val="right" w:leader="dot" w:pos="9344"/>
        </w:tabs>
        <w:adjustRightInd/>
        <w:spacing w:before="78" w:beforeLines="25" w:after="78" w:afterLines="25" w:line="240" w:lineRule="auto"/>
      </w:pPr>
      <w:r>
        <w:fldChar w:fldCharType="begin"/>
      </w:r>
      <w:r>
        <w:instrText xml:space="preserve"> HYPERLINK \l "_Toc62723380" </w:instrText>
      </w:r>
      <w:r>
        <w:fldChar w:fldCharType="separate"/>
      </w:r>
      <w:r>
        <w:rPr>
          <w:rStyle w:val="34"/>
        </w:rPr>
        <w:t>7  标识要求</w:t>
      </w:r>
      <w:r>
        <w:tab/>
      </w:r>
      <w:r>
        <w:t>3</w:t>
      </w:r>
      <w:r>
        <w:fldChar w:fldCharType="end"/>
      </w:r>
    </w:p>
    <w:p>
      <w:pPr>
        <w:pStyle w:val="20"/>
        <w:tabs>
          <w:tab w:val="right" w:leader="dot" w:pos="9344"/>
        </w:tabs>
        <w:adjustRightInd/>
        <w:spacing w:before="78" w:beforeLines="25" w:after="78" w:afterLines="25" w:line="240" w:lineRule="auto"/>
        <w:rPr>
          <w:rFonts w:asciiTheme="minorHAnsi" w:hAnsiTheme="minorHAnsi" w:eastAsiaTheme="minorEastAsia" w:cstheme="minorBidi"/>
          <w:szCs w:val="22"/>
        </w:rPr>
      </w:pPr>
      <w:r>
        <w:fldChar w:fldCharType="begin"/>
      </w:r>
      <w:r>
        <w:instrText xml:space="preserve"> HYPERLINK \l "_Toc62723385" </w:instrText>
      </w:r>
      <w:r>
        <w:fldChar w:fldCharType="separate"/>
      </w:r>
      <w:r>
        <w:rPr>
          <w:rStyle w:val="34"/>
        </w:rPr>
        <w:t xml:space="preserve">附录A（规范性）  </w:t>
      </w:r>
      <w:r>
        <w:rPr>
          <w:rStyle w:val="34"/>
          <w:rFonts w:hint="eastAsia"/>
        </w:rPr>
        <w:t>电子化标识</w:t>
      </w:r>
      <w:r>
        <w:tab/>
      </w:r>
      <w:r>
        <w:t>8</w:t>
      </w:r>
      <w:r>
        <w:fldChar w:fldCharType="end"/>
      </w:r>
    </w:p>
    <w:p>
      <w:pPr>
        <w:pStyle w:val="20"/>
        <w:tabs>
          <w:tab w:val="right" w:leader="dot" w:pos="9344"/>
        </w:tabs>
        <w:adjustRightInd/>
        <w:spacing w:before="78" w:beforeLines="25" w:after="78" w:afterLines="25" w:line="240" w:lineRule="auto"/>
        <w:rPr>
          <w:rFonts w:asciiTheme="minorHAnsi" w:hAnsiTheme="minorHAnsi" w:eastAsiaTheme="minorEastAsia" w:cstheme="minorBidi"/>
          <w:szCs w:val="22"/>
        </w:rPr>
      </w:pPr>
      <w:r>
        <w:fldChar w:fldCharType="begin"/>
      </w:r>
      <w:r>
        <w:instrText xml:space="preserve"> HYPERLINK \l "_Toc62723385" </w:instrText>
      </w:r>
      <w:r>
        <w:fldChar w:fldCharType="separate"/>
      </w:r>
      <w:r>
        <w:rPr>
          <w:rStyle w:val="34"/>
        </w:rPr>
        <w:t>附录B（规范性）  标识各功能区图案要求</w:t>
      </w:r>
      <w:r>
        <w:tab/>
      </w:r>
      <w:r>
        <w:t>10</w:t>
      </w:r>
      <w:r>
        <w:fldChar w:fldCharType="end"/>
      </w:r>
    </w:p>
    <w:p>
      <w:pPr>
        <w:pStyle w:val="93"/>
        <w:spacing w:after="468"/>
        <w:sectPr>
          <w:headerReference r:id="rId8" w:type="default"/>
          <w:footerReference r:id="rId10" w:type="default"/>
          <w:headerReference r:id="rId9" w:type="even"/>
          <w:pgSz w:w="11906" w:h="16838"/>
          <w:pgMar w:top="567" w:right="1134" w:bottom="1134" w:left="1134" w:header="1418" w:footer="1134" w:gutter="284"/>
          <w:pgNumType w:fmt="upperRoman" w:start="1"/>
          <w:cols w:space="425" w:num="1"/>
          <w:formProt w:val="0"/>
          <w:docGrid w:type="lines" w:linePitch="312" w:charSpace="0"/>
        </w:sectPr>
      </w:pPr>
      <w:r>
        <w:fldChar w:fldCharType="end"/>
      </w:r>
    </w:p>
    <w:bookmarkEnd w:id="19"/>
    <w:p>
      <w:pPr>
        <w:pStyle w:val="91"/>
        <w:spacing w:after="468"/>
      </w:pPr>
      <w:bookmarkStart w:id="20" w:name="_Toc62723370"/>
      <w:bookmarkStart w:id="21" w:name="BookMark2"/>
      <w:r>
        <w:rPr>
          <w:spacing w:val="320"/>
        </w:rPr>
        <w:t>前</w:t>
      </w:r>
      <w:r>
        <w:t>言</w:t>
      </w:r>
      <w:bookmarkEnd w:id="20"/>
    </w:p>
    <w:p>
      <w:pPr>
        <w:pStyle w:val="58"/>
        <w:ind w:firstLine="420"/>
        <w:rPr>
          <w:rFonts w:hAnsi="宋体"/>
        </w:rPr>
      </w:pPr>
      <w:r>
        <w:rPr>
          <w:rFonts w:hint="eastAsia"/>
        </w:rPr>
        <w:t>本文件按照GB/T 1.1—2020《标准化工作导则  第1部分：标准化文件的结构和起草规则》的规定起草。</w:t>
      </w:r>
    </w:p>
    <w:p>
      <w:pPr>
        <w:pStyle w:val="58"/>
        <w:ind w:firstLine="420"/>
        <w:rPr>
          <w:rFonts w:hAnsi="宋体"/>
        </w:rPr>
      </w:pPr>
      <w:r>
        <w:rPr>
          <w:rFonts w:hint="eastAsia" w:hAnsi="宋体"/>
        </w:rPr>
        <w:t>本文件是G</w:t>
      </w:r>
      <w:r>
        <w:rPr>
          <w:rFonts w:hAnsi="宋体"/>
        </w:rPr>
        <w:t xml:space="preserve">B </w:t>
      </w:r>
      <w:r>
        <w:rPr>
          <w:rFonts w:hint="eastAsia" w:hAnsi="宋体"/>
        </w:rPr>
        <w:t>22757《轻型汽车能源消耗量标识》的第1部分。G</w:t>
      </w:r>
      <w:r>
        <w:rPr>
          <w:rFonts w:hAnsi="宋体"/>
        </w:rPr>
        <w:t xml:space="preserve">B </w:t>
      </w:r>
      <w:r>
        <w:rPr>
          <w:rFonts w:hint="eastAsia" w:hAnsi="宋体"/>
        </w:rPr>
        <w:t>22757已经发布了以下部分：</w:t>
      </w:r>
    </w:p>
    <w:p>
      <w:pPr>
        <w:pStyle w:val="58"/>
        <w:ind w:firstLine="420"/>
        <w:rPr>
          <w:rFonts w:hAnsi="宋体"/>
        </w:rPr>
      </w:pPr>
      <w:r>
        <w:rPr>
          <w:rFonts w:hAnsi="宋体"/>
        </w:rPr>
        <w:t>——</w:t>
      </w:r>
      <w:r>
        <w:rPr>
          <w:rFonts w:hint="eastAsia" w:hAnsi="宋体"/>
        </w:rPr>
        <w:t>第1部分：汽油和柴油汽车；</w:t>
      </w:r>
    </w:p>
    <w:p>
      <w:pPr>
        <w:pStyle w:val="58"/>
        <w:ind w:firstLine="420"/>
        <w:rPr>
          <w:rFonts w:hAnsi="宋体"/>
        </w:rPr>
      </w:pPr>
      <w:r>
        <w:rPr>
          <w:rFonts w:hAnsi="宋体"/>
        </w:rPr>
        <w:t>——</w:t>
      </w:r>
      <w:r>
        <w:rPr>
          <w:rFonts w:hint="eastAsia" w:hAnsi="宋体"/>
        </w:rPr>
        <w:t>第2部分：可外接充电式混合动力电动汽车和纯电动汽车。</w:t>
      </w:r>
    </w:p>
    <w:p>
      <w:pPr>
        <w:spacing w:line="312" w:lineRule="exact"/>
        <w:ind w:firstLine="420"/>
        <w:rPr>
          <w:rFonts w:ascii="宋体" w:hAnsi="宋体"/>
        </w:rPr>
      </w:pPr>
      <w:bookmarkStart w:id="22" w:name="_Hlk76039576"/>
      <w:r>
        <w:rPr>
          <w:rFonts w:hint="eastAsia" w:ascii="宋体" w:hAnsi="宋体"/>
        </w:rPr>
        <w:t xml:space="preserve">本文件代替GB 22757.1—2017《轻型汽车能源消耗量标识 </w:t>
      </w:r>
      <w:r>
        <w:rPr>
          <w:rFonts w:ascii="宋体" w:hAnsi="宋体"/>
        </w:rPr>
        <w:t xml:space="preserve"> </w:t>
      </w:r>
      <w:r>
        <w:rPr>
          <w:rFonts w:hint="eastAsia" w:ascii="宋体" w:hAnsi="宋体"/>
        </w:rPr>
        <w:t>第1部分：汽油和柴油汽车》，</w:t>
      </w:r>
      <w:r>
        <w:rPr>
          <w:rFonts w:ascii="宋体" w:hAnsi="宋体"/>
        </w:rPr>
        <w:t>与</w:t>
      </w:r>
      <w:r>
        <w:rPr>
          <w:rFonts w:hint="eastAsia" w:ascii="宋体" w:hAnsi="宋体"/>
        </w:rPr>
        <w:t>GB 22757.1—2017</w:t>
      </w:r>
      <w:r>
        <w:rPr>
          <w:rFonts w:ascii="宋体" w:hAnsi="宋体"/>
        </w:rPr>
        <w:t>相比</w:t>
      </w:r>
      <w:r>
        <w:rPr>
          <w:rFonts w:hint="eastAsia" w:ascii="宋体" w:hAnsi="宋体"/>
        </w:rPr>
        <w:t>，除结构调整和编辑性改动外，</w:t>
      </w:r>
      <w:r>
        <w:rPr>
          <w:rFonts w:ascii="宋体" w:hAnsi="宋体"/>
        </w:rPr>
        <w:t>主要</w:t>
      </w:r>
      <w:r>
        <w:rPr>
          <w:rFonts w:hint="eastAsia" w:ascii="宋体" w:hAnsi="宋体"/>
        </w:rPr>
        <w:t>技术</w:t>
      </w:r>
      <w:r>
        <w:rPr>
          <w:rFonts w:ascii="宋体" w:hAnsi="宋体"/>
        </w:rPr>
        <w:t>变化如下</w:t>
      </w:r>
      <w:r>
        <w:rPr>
          <w:rFonts w:hint="eastAsia" w:ascii="宋体" w:hAnsi="宋体"/>
        </w:rPr>
        <w:t>：</w:t>
      </w:r>
    </w:p>
    <w:p>
      <w:pPr>
        <w:pStyle w:val="58"/>
        <w:numPr>
          <w:ilvl w:val="0"/>
          <w:numId w:val="32"/>
        </w:numPr>
        <w:ind w:firstLineChars="0"/>
        <w:rPr>
          <w:rFonts w:hAnsi="宋体"/>
        </w:rPr>
      </w:pPr>
      <w:r>
        <w:rPr>
          <w:rFonts w:hint="eastAsia" w:hAnsi="宋体"/>
        </w:rPr>
        <w:t>修改了领跑值定义（见3</w:t>
      </w:r>
      <w:r>
        <w:rPr>
          <w:rFonts w:hAnsi="宋体"/>
        </w:rPr>
        <w:t>.2</w:t>
      </w:r>
      <w:r>
        <w:rPr>
          <w:rFonts w:hint="eastAsia" w:hAnsi="宋体"/>
        </w:rPr>
        <w:t>，2</w:t>
      </w:r>
      <w:r>
        <w:rPr>
          <w:rFonts w:hAnsi="宋体"/>
        </w:rPr>
        <w:t>017</w:t>
      </w:r>
      <w:r>
        <w:rPr>
          <w:rFonts w:hint="eastAsia" w:hAnsi="宋体"/>
        </w:rPr>
        <w:t>版的3</w:t>
      </w:r>
      <w:r>
        <w:rPr>
          <w:rFonts w:hAnsi="宋体"/>
        </w:rPr>
        <w:t>.2</w:t>
      </w:r>
      <w:r>
        <w:rPr>
          <w:rFonts w:hint="eastAsia" w:hAnsi="宋体"/>
        </w:rPr>
        <w:t>）；</w:t>
      </w:r>
    </w:p>
    <w:p>
      <w:pPr>
        <w:pStyle w:val="58"/>
        <w:numPr>
          <w:ilvl w:val="0"/>
          <w:numId w:val="32"/>
        </w:numPr>
        <w:ind w:firstLineChars="0"/>
        <w:rPr>
          <w:rFonts w:hAnsi="宋体"/>
        </w:rPr>
      </w:pPr>
      <w:r>
        <w:rPr>
          <w:rFonts w:hint="eastAsia" w:hAnsi="宋体"/>
        </w:rPr>
        <w:t>增加了电子化标识（见第4章、附录</w:t>
      </w:r>
      <w:r>
        <w:rPr>
          <w:rFonts w:hAnsi="宋体"/>
        </w:rPr>
        <w:t>A</w:t>
      </w:r>
      <w:r>
        <w:rPr>
          <w:rFonts w:hint="eastAsia" w:hAnsi="宋体"/>
        </w:rPr>
        <w:t>）；</w:t>
      </w:r>
    </w:p>
    <w:p>
      <w:pPr>
        <w:pStyle w:val="58"/>
        <w:numPr>
          <w:ilvl w:val="0"/>
          <w:numId w:val="32"/>
        </w:numPr>
        <w:ind w:firstLineChars="0"/>
        <w:rPr>
          <w:rFonts w:hAnsi="宋体"/>
        </w:rPr>
      </w:pPr>
      <w:r>
        <w:rPr>
          <w:rFonts w:hint="eastAsia" w:hAnsi="宋体"/>
        </w:rPr>
        <w:t>更改了标识提供的燃料消耗量信息及其数据的获取方法（见第</w:t>
      </w:r>
      <w:r>
        <w:rPr>
          <w:rFonts w:hAnsi="宋体"/>
        </w:rPr>
        <w:t>5</w:t>
      </w:r>
      <w:r>
        <w:rPr>
          <w:rFonts w:hint="eastAsia" w:hAnsi="宋体"/>
        </w:rPr>
        <w:t>章、</w:t>
      </w:r>
      <w:r>
        <w:rPr>
          <w:rFonts w:hAnsi="宋体"/>
        </w:rPr>
        <w:t>6.</w:t>
      </w:r>
      <w:r>
        <w:rPr>
          <w:rFonts w:hint="eastAsia" w:hAnsi="宋体"/>
        </w:rPr>
        <w:t>1、</w:t>
      </w:r>
      <w:r>
        <w:rPr>
          <w:rFonts w:hAnsi="宋体"/>
        </w:rPr>
        <w:t>7.1.3.3</w:t>
      </w:r>
      <w:r>
        <w:rPr>
          <w:rFonts w:hint="eastAsia" w:hAnsi="宋体"/>
        </w:rPr>
        <w:t>、附录</w:t>
      </w:r>
      <w:r>
        <w:rPr>
          <w:rFonts w:hAnsi="宋体"/>
        </w:rPr>
        <w:t>B</w:t>
      </w:r>
      <w:r>
        <w:rPr>
          <w:rFonts w:hint="eastAsia" w:hAnsi="宋体"/>
        </w:rPr>
        <w:t>，2</w:t>
      </w:r>
      <w:r>
        <w:rPr>
          <w:rFonts w:hAnsi="宋体"/>
        </w:rPr>
        <w:t>017</w:t>
      </w:r>
      <w:r>
        <w:rPr>
          <w:rFonts w:hint="eastAsia" w:hAnsi="宋体"/>
        </w:rPr>
        <w:t>年版的第4章、第5章、6</w:t>
      </w:r>
      <w:r>
        <w:rPr>
          <w:rFonts w:hAnsi="宋体"/>
        </w:rPr>
        <w:t>.1.1.2.2</w:t>
      </w:r>
      <w:r>
        <w:rPr>
          <w:rFonts w:hint="eastAsia" w:hAnsi="宋体"/>
        </w:rPr>
        <w:t>、附录A）；</w:t>
      </w:r>
    </w:p>
    <w:p>
      <w:pPr>
        <w:pStyle w:val="58"/>
        <w:numPr>
          <w:ilvl w:val="0"/>
          <w:numId w:val="32"/>
        </w:numPr>
        <w:ind w:firstLineChars="0"/>
        <w:rPr>
          <w:rFonts w:hAnsi="宋体"/>
        </w:rPr>
      </w:pPr>
      <w:r>
        <w:rPr>
          <w:rFonts w:hint="eastAsia" w:hAnsi="宋体"/>
        </w:rPr>
        <w:t>增加了车辆的预估能源成本信息及其计算方法（见第</w:t>
      </w:r>
      <w:r>
        <w:rPr>
          <w:rFonts w:hAnsi="宋体"/>
        </w:rPr>
        <w:t>5</w:t>
      </w:r>
      <w:r>
        <w:rPr>
          <w:rFonts w:hint="eastAsia" w:hAnsi="宋体"/>
        </w:rPr>
        <w:t>章、</w:t>
      </w:r>
      <w:r>
        <w:rPr>
          <w:rFonts w:hAnsi="宋体"/>
        </w:rPr>
        <w:t>6.2</w:t>
      </w:r>
      <w:r>
        <w:rPr>
          <w:rFonts w:hint="eastAsia" w:hAnsi="宋体"/>
        </w:rPr>
        <w:t>、</w:t>
      </w:r>
      <w:r>
        <w:rPr>
          <w:rFonts w:hAnsi="宋体"/>
        </w:rPr>
        <w:t>7.1.3.3</w:t>
      </w:r>
      <w:r>
        <w:rPr>
          <w:rFonts w:hint="eastAsia" w:hAnsi="宋体"/>
        </w:rPr>
        <w:t>、附录B）；</w:t>
      </w:r>
    </w:p>
    <w:p>
      <w:pPr>
        <w:pStyle w:val="58"/>
        <w:numPr>
          <w:ilvl w:val="0"/>
          <w:numId w:val="32"/>
        </w:numPr>
        <w:ind w:firstLineChars="0"/>
        <w:rPr>
          <w:rFonts w:hAnsi="宋体"/>
        </w:rPr>
      </w:pPr>
      <w:r>
        <w:rPr>
          <w:rFonts w:hint="eastAsia" w:hAnsi="宋体"/>
        </w:rPr>
        <w:t>增加了车辆的C</w:t>
      </w:r>
      <w:r>
        <w:rPr>
          <w:rFonts w:hAnsi="宋体"/>
        </w:rPr>
        <w:t>O</w:t>
      </w:r>
      <w:r>
        <w:rPr>
          <w:rFonts w:hAnsi="宋体"/>
          <w:vertAlign w:val="subscript"/>
        </w:rPr>
        <w:t>2</w:t>
      </w:r>
      <w:r>
        <w:rPr>
          <w:rFonts w:hint="eastAsia" w:hAnsi="宋体"/>
        </w:rPr>
        <w:t>排放量信息及其数据的获取方法（见第</w:t>
      </w:r>
      <w:r>
        <w:rPr>
          <w:rFonts w:hAnsi="宋体"/>
        </w:rPr>
        <w:t>5</w:t>
      </w:r>
      <w:r>
        <w:rPr>
          <w:rFonts w:hint="eastAsia" w:hAnsi="宋体"/>
        </w:rPr>
        <w:t>章、</w:t>
      </w:r>
      <w:r>
        <w:rPr>
          <w:rFonts w:hAnsi="宋体"/>
        </w:rPr>
        <w:t>6.3</w:t>
      </w:r>
      <w:r>
        <w:rPr>
          <w:rFonts w:hint="eastAsia" w:hAnsi="宋体"/>
        </w:rPr>
        <w:t>、</w:t>
      </w:r>
      <w:r>
        <w:rPr>
          <w:rFonts w:hAnsi="宋体"/>
        </w:rPr>
        <w:t>7.1.3.3</w:t>
      </w:r>
      <w:r>
        <w:rPr>
          <w:rFonts w:hint="eastAsia" w:hAnsi="宋体"/>
        </w:rPr>
        <w:t>、附录</w:t>
      </w:r>
      <w:r>
        <w:rPr>
          <w:rFonts w:hAnsi="宋体"/>
        </w:rPr>
        <w:t>B</w:t>
      </w:r>
      <w:r>
        <w:rPr>
          <w:rFonts w:hint="eastAsia" w:hAnsi="宋体"/>
        </w:rPr>
        <w:t>）；</w:t>
      </w:r>
    </w:p>
    <w:p>
      <w:pPr>
        <w:pStyle w:val="58"/>
        <w:numPr>
          <w:ilvl w:val="0"/>
          <w:numId w:val="32"/>
        </w:numPr>
        <w:ind w:firstLineChars="0"/>
        <w:rPr>
          <w:rFonts w:hAnsi="宋体"/>
        </w:rPr>
      </w:pPr>
      <w:r>
        <w:rPr>
          <w:rFonts w:hint="eastAsia" w:hAnsi="宋体"/>
        </w:rPr>
        <w:t>增加了关于预估能源成本和C</w:t>
      </w:r>
      <w:r>
        <w:rPr>
          <w:rFonts w:hAnsi="宋体"/>
        </w:rPr>
        <w:t>O</w:t>
      </w:r>
      <w:r>
        <w:rPr>
          <w:rFonts w:hAnsi="宋体"/>
          <w:vertAlign w:val="subscript"/>
        </w:rPr>
        <w:t>2</w:t>
      </w:r>
      <w:r>
        <w:rPr>
          <w:rFonts w:hint="eastAsia" w:hAnsi="宋体"/>
        </w:rPr>
        <w:t>的说明，更改了关于燃料消耗量和能源成本影响因素的说明（见</w:t>
      </w:r>
      <w:r>
        <w:rPr>
          <w:rFonts w:hAnsi="宋体"/>
        </w:rPr>
        <w:t>7.1.4</w:t>
      </w:r>
      <w:r>
        <w:rPr>
          <w:rFonts w:hint="eastAsia" w:hAnsi="宋体"/>
        </w:rPr>
        <w:t>、附录</w:t>
      </w:r>
      <w:r>
        <w:rPr>
          <w:rFonts w:hAnsi="宋体"/>
        </w:rPr>
        <w:t>B</w:t>
      </w:r>
      <w:r>
        <w:rPr>
          <w:rFonts w:hint="eastAsia" w:hAnsi="宋体"/>
        </w:rPr>
        <w:t>,</w:t>
      </w:r>
      <w:r>
        <w:rPr>
          <w:rFonts w:hAnsi="宋体"/>
        </w:rPr>
        <w:t>2017</w:t>
      </w:r>
      <w:r>
        <w:rPr>
          <w:rFonts w:hint="eastAsia" w:hAnsi="宋体"/>
        </w:rPr>
        <w:t>年版的6</w:t>
      </w:r>
      <w:r>
        <w:rPr>
          <w:rFonts w:hAnsi="宋体"/>
        </w:rPr>
        <w:t>.1.1.3</w:t>
      </w:r>
      <w:r>
        <w:rPr>
          <w:rFonts w:hint="eastAsia" w:hAnsi="宋体"/>
        </w:rPr>
        <w:t>、附录A）；</w:t>
      </w:r>
    </w:p>
    <w:p>
      <w:pPr>
        <w:pStyle w:val="58"/>
        <w:numPr>
          <w:ilvl w:val="0"/>
          <w:numId w:val="32"/>
        </w:numPr>
        <w:ind w:firstLineChars="0"/>
        <w:rPr>
          <w:rFonts w:hAnsi="宋体"/>
        </w:rPr>
      </w:pPr>
      <w:r>
        <w:rPr>
          <w:rFonts w:hint="eastAsia" w:hAnsi="宋体"/>
        </w:rPr>
        <w:t>更改了各功能区的布局和尺寸以及能耗信息区文字和数字的字体、字号（见</w:t>
      </w:r>
      <w:r>
        <w:rPr>
          <w:rFonts w:hAnsi="宋体"/>
        </w:rPr>
        <w:t>7.2.3</w:t>
      </w:r>
      <w:r>
        <w:rPr>
          <w:rFonts w:hint="eastAsia" w:hAnsi="宋体"/>
        </w:rPr>
        <w:t>、附录</w:t>
      </w:r>
      <w:r>
        <w:rPr>
          <w:rFonts w:hAnsi="宋体"/>
        </w:rPr>
        <w:t>B</w:t>
      </w:r>
      <w:r>
        <w:rPr>
          <w:rFonts w:hint="eastAsia" w:hAnsi="宋体"/>
        </w:rPr>
        <w:t>，2</w:t>
      </w:r>
      <w:r>
        <w:rPr>
          <w:rFonts w:hAnsi="宋体"/>
        </w:rPr>
        <w:t>017</w:t>
      </w:r>
      <w:r>
        <w:rPr>
          <w:rFonts w:hint="eastAsia" w:hAnsi="宋体"/>
        </w:rPr>
        <w:t>年版的6</w:t>
      </w:r>
      <w:r>
        <w:rPr>
          <w:rFonts w:hAnsi="宋体"/>
        </w:rPr>
        <w:t>.2.3</w:t>
      </w:r>
      <w:r>
        <w:rPr>
          <w:rFonts w:hint="eastAsia" w:hAnsi="宋体"/>
        </w:rPr>
        <w:t>、附录A）；</w:t>
      </w:r>
    </w:p>
    <w:p>
      <w:pPr>
        <w:pStyle w:val="58"/>
        <w:numPr>
          <w:ilvl w:val="0"/>
          <w:numId w:val="32"/>
        </w:numPr>
        <w:ind w:firstLineChars="0"/>
        <w:rPr>
          <w:rFonts w:hAnsi="宋体"/>
        </w:rPr>
      </w:pPr>
      <w:r>
        <w:rPr>
          <w:rFonts w:hint="eastAsia" w:hAnsi="宋体"/>
        </w:rPr>
        <w:t>更改了说明区二维码及其链接网址（见</w:t>
      </w:r>
      <w:r>
        <w:rPr>
          <w:rFonts w:hAnsi="宋体"/>
        </w:rPr>
        <w:t>7.2.4</w:t>
      </w:r>
      <w:r>
        <w:rPr>
          <w:rFonts w:hint="eastAsia" w:hAnsi="宋体"/>
        </w:rPr>
        <w:t>、附录</w:t>
      </w:r>
      <w:r>
        <w:rPr>
          <w:rFonts w:hAnsi="宋体"/>
        </w:rPr>
        <w:t>B</w:t>
      </w:r>
      <w:r>
        <w:rPr>
          <w:rFonts w:hint="eastAsia" w:hAnsi="宋体"/>
        </w:rPr>
        <w:t>,</w:t>
      </w:r>
      <w:r>
        <w:rPr>
          <w:rFonts w:hAnsi="宋体"/>
        </w:rPr>
        <w:t>2017</w:t>
      </w:r>
      <w:r>
        <w:rPr>
          <w:rFonts w:hint="eastAsia" w:hAnsi="宋体"/>
        </w:rPr>
        <w:t>年版的6</w:t>
      </w:r>
      <w:r>
        <w:rPr>
          <w:rFonts w:hAnsi="宋体"/>
        </w:rPr>
        <w:t>.2.4</w:t>
      </w:r>
      <w:r>
        <w:rPr>
          <w:rFonts w:hint="eastAsia" w:hAnsi="宋体"/>
        </w:rPr>
        <w:t>、附录A）；</w:t>
      </w:r>
    </w:p>
    <w:p>
      <w:pPr>
        <w:pStyle w:val="58"/>
        <w:numPr>
          <w:ilvl w:val="0"/>
          <w:numId w:val="32"/>
        </w:numPr>
        <w:ind w:firstLineChars="0"/>
        <w:rPr>
          <w:rFonts w:hAnsi="宋体"/>
        </w:rPr>
      </w:pPr>
      <w:r>
        <w:rPr>
          <w:rFonts w:hint="eastAsia" w:hAnsi="宋体"/>
        </w:rPr>
        <w:t>更改了能耗信息区的结构形式（见附录</w:t>
      </w:r>
      <w:r>
        <w:rPr>
          <w:rFonts w:hAnsi="宋体"/>
        </w:rPr>
        <w:t>B</w:t>
      </w:r>
      <w:r>
        <w:rPr>
          <w:rFonts w:hint="eastAsia" w:hAnsi="宋体"/>
        </w:rPr>
        <w:t>，2017年版的附录A）。</w:t>
      </w:r>
    </w:p>
    <w:bookmarkEnd w:id="22"/>
    <w:p>
      <w:pPr>
        <w:pStyle w:val="58"/>
        <w:ind w:firstLine="420"/>
      </w:pPr>
      <w:bookmarkStart w:id="23" w:name="_Hlk61419592"/>
      <w:r>
        <w:rPr>
          <w:rFonts w:hint="eastAsia"/>
        </w:rPr>
        <w:t>请注意本文件的某些内容可能涉及专利。本文件的发布机构不承担识别专利的责任。</w:t>
      </w:r>
    </w:p>
    <w:bookmarkEnd w:id="23"/>
    <w:p>
      <w:pPr>
        <w:pStyle w:val="58"/>
        <w:ind w:firstLine="420"/>
      </w:pPr>
      <w:r>
        <w:rPr>
          <w:rFonts w:hint="eastAsia"/>
        </w:rPr>
        <w:t>本文件由中华人民共和国工业和信息化部提出并归口。</w:t>
      </w:r>
    </w:p>
    <w:p>
      <w:pPr>
        <w:pStyle w:val="58"/>
        <w:ind w:firstLine="420"/>
      </w:pPr>
      <w:r>
        <w:rPr>
          <w:rFonts w:hint="eastAsia"/>
        </w:rPr>
        <w:t>本文件起草单位：</w:t>
      </w:r>
    </w:p>
    <w:p>
      <w:pPr>
        <w:pStyle w:val="231"/>
      </w:pPr>
      <w:r>
        <w:rPr>
          <w:rFonts w:hint="eastAsia" w:hAnsi="宋体"/>
        </w:rPr>
        <w:t>本文件及其所代替文件的历次版本发布情况为：</w:t>
      </w:r>
    </w:p>
    <w:p>
      <w:pPr>
        <w:pStyle w:val="231"/>
      </w:pPr>
      <w:r>
        <w:rPr>
          <w:rFonts w:ascii="Times New Roman"/>
        </w:rPr>
        <w:t>——</w:t>
      </w:r>
      <w:r>
        <w:rPr>
          <w:rFonts w:hint="eastAsia" w:hAnsi="宋体"/>
        </w:rPr>
        <w:t>2008</w:t>
      </w:r>
      <w:r>
        <w:rPr>
          <w:rFonts w:hint="eastAsia" w:ascii="Times New Roman"/>
        </w:rPr>
        <w:t>年首次发布为</w:t>
      </w:r>
      <w:r>
        <w:rPr>
          <w:rFonts w:hint="eastAsia"/>
        </w:rPr>
        <w:t>GB 22757—2008；</w:t>
      </w:r>
    </w:p>
    <w:p>
      <w:pPr>
        <w:pStyle w:val="231"/>
      </w:pPr>
      <w:r>
        <w:rPr>
          <w:rFonts w:ascii="Times New Roman"/>
        </w:rPr>
        <w:t>——</w:t>
      </w:r>
      <w:r>
        <w:rPr>
          <w:rFonts w:hint="eastAsia"/>
        </w:rPr>
        <w:t>2017年第一次修订时，标识适用范围纳入可外接充电式混合动力电动汽车和纯电动汽车，按照适用范围拆分为分部分的文件，汽油和柴油汽车为第1部分，可外接充电式混合动力电动汽车和纯电动汽车为第2部分；</w:t>
      </w:r>
    </w:p>
    <w:p>
      <w:pPr>
        <w:pStyle w:val="231"/>
      </w:pPr>
      <w:r>
        <w:rPr>
          <w:rFonts w:ascii="Times New Roman"/>
        </w:rPr>
        <w:t>——</w:t>
      </w:r>
      <w:r>
        <w:rPr>
          <w:rFonts w:hint="eastAsia" w:ascii="Times New Roman"/>
        </w:rPr>
        <w:t>本次为第二次修订</w:t>
      </w:r>
      <w:r>
        <w:rPr>
          <w:rFonts w:hint="eastAsia"/>
        </w:rPr>
        <w:t>。</w:t>
      </w:r>
    </w:p>
    <w:p>
      <w:pPr>
        <w:pStyle w:val="58"/>
        <w:ind w:firstLine="420"/>
      </w:pPr>
    </w:p>
    <w:p>
      <w:pPr>
        <w:pStyle w:val="58"/>
        <w:ind w:firstLine="420"/>
        <w:sectPr>
          <w:pgSz w:w="11906" w:h="16838"/>
          <w:pgMar w:top="567" w:right="1134" w:bottom="1134" w:left="1134" w:header="1418" w:footer="1134" w:gutter="284"/>
          <w:pgNumType w:fmt="upperRoman"/>
          <w:cols w:space="425" w:num="1"/>
          <w:formProt w:val="0"/>
          <w:docGrid w:type="lines" w:linePitch="312" w:charSpace="0"/>
        </w:sectPr>
      </w:pPr>
    </w:p>
    <w:bookmarkEnd w:id="21"/>
    <w:p>
      <w:pPr>
        <w:pStyle w:val="91"/>
        <w:spacing w:after="468"/>
      </w:pPr>
      <w:bookmarkStart w:id="24" w:name="_Toc62723371"/>
      <w:bookmarkStart w:id="25" w:name="BookMark3"/>
      <w:r>
        <w:rPr>
          <w:spacing w:val="320"/>
        </w:rPr>
        <w:t>引</w:t>
      </w:r>
      <w:r>
        <w:t>言</w:t>
      </w:r>
      <w:bookmarkEnd w:id="24"/>
    </w:p>
    <w:p>
      <w:pPr>
        <w:pStyle w:val="58"/>
        <w:ind w:firstLine="420"/>
      </w:pPr>
      <w:bookmarkStart w:id="26" w:name="_Hlk70519251"/>
      <w:r>
        <w:rPr>
          <w:rFonts w:hint="eastAsia"/>
        </w:rPr>
        <w:t>轻型汽车能源消耗量标识直接面向消费者，向消费者提供有关汽车能源消耗量等方面的信息，对于引导消费者购买节能车辆、促进车辆保有结构向高效节能车辆转变具有重要意义，是世界各国汽车节能管理中的重要环节。G</w:t>
      </w:r>
      <w:r>
        <w:t>B 22757</w:t>
      </w:r>
      <w:r>
        <w:rPr>
          <w:rFonts w:hint="eastAsia"/>
        </w:rPr>
        <w:t>《轻型汽车能源消耗量标识》旨在确立标识的内容、格式、材质和粘贴要求，拟由三个部分构成。</w:t>
      </w:r>
    </w:p>
    <w:p>
      <w:pPr>
        <w:pStyle w:val="58"/>
        <w:ind w:firstLine="420"/>
        <w:rPr>
          <w:rFonts w:hAnsi="宋体"/>
        </w:rPr>
      </w:pPr>
      <w:r>
        <w:rPr>
          <w:rFonts w:hAnsi="宋体"/>
        </w:rPr>
        <w:t>——</w:t>
      </w:r>
      <w:r>
        <w:rPr>
          <w:rFonts w:hint="eastAsia" w:hAnsi="宋体"/>
        </w:rPr>
        <w:t>第1部分：汽油和柴油汽车。目的在于确立适用于</w:t>
      </w:r>
      <w:r>
        <w:rPr>
          <w:rFonts w:hint="eastAsia"/>
        </w:rPr>
        <w:t>能够燃用汽油或柴油燃料的、最大设计总质量不超过3 500kg的M</w:t>
      </w:r>
      <w:r>
        <w:rPr>
          <w:rFonts w:hint="eastAsia"/>
          <w:vertAlign w:val="subscript"/>
        </w:rPr>
        <w:t>1</w:t>
      </w:r>
      <w:r>
        <w:rPr>
          <w:rFonts w:hint="eastAsia"/>
        </w:rPr>
        <w:t>、M</w:t>
      </w:r>
      <w:r>
        <w:rPr>
          <w:rFonts w:hint="eastAsia"/>
          <w:vertAlign w:val="subscript"/>
        </w:rPr>
        <w:t>2</w:t>
      </w:r>
      <w:r>
        <w:rPr>
          <w:rFonts w:hint="eastAsia"/>
        </w:rPr>
        <w:t>和N</w:t>
      </w:r>
      <w:r>
        <w:rPr>
          <w:rFonts w:hint="eastAsia"/>
          <w:vertAlign w:val="subscript"/>
        </w:rPr>
        <w:t>1</w:t>
      </w:r>
      <w:r>
        <w:rPr>
          <w:rFonts w:hint="eastAsia"/>
        </w:rPr>
        <w:t>类车辆的能源消耗量标识。</w:t>
      </w:r>
    </w:p>
    <w:p>
      <w:pPr>
        <w:pStyle w:val="58"/>
        <w:ind w:firstLine="420"/>
        <w:rPr>
          <w:rFonts w:hAnsi="宋体"/>
        </w:rPr>
      </w:pPr>
      <w:r>
        <w:rPr>
          <w:rFonts w:hAnsi="宋体"/>
        </w:rPr>
        <w:t>——</w:t>
      </w:r>
      <w:r>
        <w:rPr>
          <w:rFonts w:hint="eastAsia" w:hAnsi="宋体"/>
        </w:rPr>
        <w:t>第2部分：可外接充电式混合动力电动汽车和纯电动汽车。目的在于确立适用于最大设计总质量不超过3 500kg的M</w:t>
      </w:r>
      <w:r>
        <w:rPr>
          <w:rFonts w:hint="eastAsia" w:hAnsi="宋体"/>
          <w:vertAlign w:val="subscript"/>
        </w:rPr>
        <w:t>1</w:t>
      </w:r>
      <w:r>
        <w:rPr>
          <w:rFonts w:hint="eastAsia" w:hAnsi="宋体"/>
        </w:rPr>
        <w:t>、M</w:t>
      </w:r>
      <w:r>
        <w:rPr>
          <w:rFonts w:hint="eastAsia" w:hAnsi="宋体"/>
          <w:vertAlign w:val="subscript"/>
        </w:rPr>
        <w:t>2</w:t>
      </w:r>
      <w:r>
        <w:rPr>
          <w:rFonts w:hint="eastAsia" w:hAnsi="宋体"/>
        </w:rPr>
        <w:t>类和N</w:t>
      </w:r>
      <w:r>
        <w:rPr>
          <w:rFonts w:hint="eastAsia" w:hAnsi="宋体"/>
          <w:vertAlign w:val="subscript"/>
        </w:rPr>
        <w:t>1</w:t>
      </w:r>
      <w:r>
        <w:rPr>
          <w:rFonts w:hint="eastAsia" w:hAnsi="宋体"/>
        </w:rPr>
        <w:t>类的可外接充电式混合动力电动汽车和纯电动汽车的能源消耗量标识。</w:t>
      </w:r>
    </w:p>
    <w:p>
      <w:pPr>
        <w:pStyle w:val="58"/>
        <w:ind w:firstLine="420"/>
        <w:rPr>
          <w:rFonts w:hAnsi="宋体"/>
        </w:rPr>
      </w:pPr>
      <w:r>
        <w:rPr>
          <w:rFonts w:hAnsi="宋体"/>
        </w:rPr>
        <w:t>——</w:t>
      </w:r>
      <w:r>
        <w:rPr>
          <w:rFonts w:hint="eastAsia" w:hAnsi="宋体"/>
        </w:rPr>
        <w:t>第3部分：除汽油和柴油车外的其他单一燃料类型汽车。目的在于确立适用于除汽油和柴油车外的其他单一燃料类型汽车的能源消耗量标识。</w:t>
      </w:r>
    </w:p>
    <w:p>
      <w:pPr>
        <w:pStyle w:val="58"/>
        <w:ind w:firstLine="420"/>
      </w:pPr>
      <w:r>
        <w:rPr>
          <w:rFonts w:hint="eastAsia"/>
        </w:rPr>
        <w:t>不同能源类型车辆需向消费者展示的信息不同，故按照适用车辆能源类型的不同编制为分部分的文件，各部分相互补充，共同构成我国轻型汽车能源消耗量标识标准体系。未来，将根据产业发展情况适时调整纳入更多能源类型的车辆，进一步完善我国的能源消耗量标识标准体系。</w:t>
      </w:r>
    </w:p>
    <w:bookmarkEnd w:id="26"/>
    <w:p>
      <w:pPr>
        <w:pStyle w:val="58"/>
        <w:ind w:firstLine="420"/>
      </w:pPr>
    </w:p>
    <w:p>
      <w:pPr>
        <w:pStyle w:val="58"/>
        <w:ind w:firstLine="420"/>
      </w:pPr>
    </w:p>
    <w:p>
      <w:pPr>
        <w:pStyle w:val="58"/>
        <w:ind w:firstLine="420"/>
        <w:sectPr>
          <w:pgSz w:w="11906" w:h="16838"/>
          <w:pgMar w:top="567" w:right="1134" w:bottom="1134" w:left="1134" w:header="1418" w:footer="1134" w:gutter="284"/>
          <w:pgNumType w:fmt="upperRoman"/>
          <w:cols w:space="425" w:num="1"/>
          <w:formProt w:val="0"/>
          <w:docGrid w:type="lines" w:linePitch="312" w:charSpace="0"/>
        </w:sectPr>
      </w:pPr>
    </w:p>
    <w:bookmarkEnd w:id="25"/>
    <w:p>
      <w:pPr>
        <w:spacing w:line="20" w:lineRule="exact"/>
        <w:jc w:val="center"/>
        <w:rPr>
          <w:rFonts w:ascii="黑体" w:hAnsi="黑体" w:eastAsia="黑体"/>
          <w:sz w:val="32"/>
          <w:szCs w:val="32"/>
        </w:rPr>
      </w:pPr>
      <w:bookmarkStart w:id="27" w:name="BookMark4"/>
    </w:p>
    <w:p>
      <w:pPr>
        <w:spacing w:line="20" w:lineRule="exact"/>
        <w:jc w:val="center"/>
        <w:rPr>
          <w:rFonts w:ascii="黑体" w:hAnsi="黑体" w:eastAsia="黑体"/>
          <w:sz w:val="32"/>
          <w:szCs w:val="32"/>
        </w:rPr>
      </w:pPr>
    </w:p>
    <w:sdt>
      <w:sdtPr>
        <w:tag w:val="NEW_STAND_NAME"/>
        <w:id w:val="595910757"/>
        <w:lock w:val="sdtLocked"/>
        <w:placeholder>
          <w:docPart w:val="26B1C3DA0EE14067AC45201A809E9EBB"/>
        </w:placeholder>
      </w:sdtPr>
      <w:sdtContent>
        <w:p>
          <w:pPr>
            <w:pStyle w:val="179"/>
            <w:spacing w:before="312" w:beforeLines="100" w:after="3" w:afterLines="1"/>
          </w:pPr>
          <w:bookmarkStart w:id="28" w:name="NEW_STAND_NAME"/>
          <w:r>
            <w:rPr>
              <w:rFonts w:hint="eastAsia"/>
            </w:rPr>
            <w:t>轻型汽车能源消耗量标识</w:t>
          </w:r>
        </w:p>
        <w:p>
          <w:pPr>
            <w:pStyle w:val="179"/>
            <w:spacing w:before="3" w:beforeLines="1" w:after="680"/>
          </w:pPr>
          <w:r>
            <w:rPr>
              <w:rFonts w:hint="eastAsia"/>
            </w:rPr>
            <w:t>第1部分：汽油和柴油汽车</w:t>
          </w:r>
        </w:p>
      </w:sdtContent>
    </w:sdt>
    <w:bookmarkEnd w:id="28"/>
    <w:p>
      <w:pPr>
        <w:pStyle w:val="106"/>
        <w:spacing w:before="312" w:after="312"/>
      </w:pPr>
      <w:bookmarkStart w:id="29" w:name="_Toc26986771"/>
      <w:bookmarkStart w:id="30" w:name="_Toc26718930"/>
      <w:bookmarkStart w:id="31" w:name="_Toc62723372"/>
      <w:bookmarkStart w:id="32" w:name="_Toc24884211"/>
      <w:bookmarkStart w:id="33" w:name="_Toc24884218"/>
      <w:bookmarkStart w:id="34" w:name="_Toc26648465"/>
      <w:bookmarkStart w:id="35" w:name="_Toc17233333"/>
      <w:bookmarkStart w:id="36" w:name="_Toc26986530"/>
      <w:bookmarkStart w:id="37" w:name="_Toc17233325"/>
      <w:r>
        <w:rPr>
          <w:rFonts w:hint="eastAsia"/>
        </w:rPr>
        <w:t>范围</w:t>
      </w:r>
      <w:bookmarkEnd w:id="29"/>
      <w:bookmarkEnd w:id="30"/>
      <w:bookmarkEnd w:id="31"/>
      <w:bookmarkEnd w:id="32"/>
      <w:bookmarkEnd w:id="33"/>
      <w:bookmarkEnd w:id="34"/>
      <w:bookmarkEnd w:id="35"/>
      <w:bookmarkEnd w:id="36"/>
      <w:bookmarkEnd w:id="37"/>
    </w:p>
    <w:p>
      <w:pPr>
        <w:pStyle w:val="58"/>
        <w:ind w:firstLine="420"/>
      </w:pPr>
      <w:bookmarkStart w:id="38" w:name="_Toc26648466"/>
      <w:bookmarkStart w:id="39" w:name="_Toc17233334"/>
      <w:bookmarkStart w:id="40" w:name="_Toc17233326"/>
      <w:bookmarkStart w:id="41" w:name="_Toc24884212"/>
      <w:bookmarkStart w:id="42" w:name="_Toc24884219"/>
      <w:r>
        <w:rPr>
          <w:rFonts w:hint="eastAsia"/>
        </w:rPr>
        <w:t>本文件规定了轻型汽车能源消耗量标识的内容、格式、材质和粘贴要求。</w:t>
      </w:r>
    </w:p>
    <w:p>
      <w:pPr>
        <w:pStyle w:val="58"/>
        <w:ind w:firstLine="420"/>
      </w:pPr>
      <w:r>
        <w:rPr>
          <w:rFonts w:hint="eastAsia"/>
        </w:rPr>
        <w:t>本文件适用于能够燃用汽油或柴油燃料的、最大设计总质量不超过3 500kg的M</w:t>
      </w:r>
      <w:r>
        <w:rPr>
          <w:rFonts w:hint="eastAsia"/>
          <w:vertAlign w:val="subscript"/>
        </w:rPr>
        <w:t>1</w:t>
      </w:r>
      <w:r>
        <w:rPr>
          <w:rFonts w:hint="eastAsia"/>
        </w:rPr>
        <w:t>、M</w:t>
      </w:r>
      <w:r>
        <w:rPr>
          <w:rFonts w:hint="eastAsia"/>
          <w:vertAlign w:val="subscript"/>
        </w:rPr>
        <w:t>2</w:t>
      </w:r>
      <w:r>
        <w:rPr>
          <w:rFonts w:hint="eastAsia"/>
        </w:rPr>
        <w:t>和N</w:t>
      </w:r>
      <w:r>
        <w:rPr>
          <w:rFonts w:hint="eastAsia"/>
          <w:vertAlign w:val="subscript"/>
        </w:rPr>
        <w:t>1</w:t>
      </w:r>
      <w:r>
        <w:rPr>
          <w:rFonts w:hint="eastAsia"/>
        </w:rPr>
        <w:t>类车辆，不适用于可外接充电式混合动力电动汽车、纯电动汽车及仅可燃用其他单一燃料的车辆。</w:t>
      </w:r>
    </w:p>
    <w:p>
      <w:pPr>
        <w:pStyle w:val="106"/>
        <w:spacing w:before="312" w:after="312"/>
      </w:pPr>
      <w:bookmarkStart w:id="43" w:name="_Toc26718931"/>
      <w:bookmarkStart w:id="44" w:name="_Toc26986531"/>
      <w:bookmarkStart w:id="45" w:name="_Toc26986772"/>
      <w:bookmarkStart w:id="46" w:name="_Toc62723373"/>
      <w:r>
        <w:rPr>
          <w:rFonts w:hint="eastAsia"/>
        </w:rPr>
        <w:t>规范性引用文件</w:t>
      </w:r>
      <w:bookmarkEnd w:id="38"/>
      <w:bookmarkEnd w:id="39"/>
      <w:bookmarkEnd w:id="40"/>
      <w:bookmarkEnd w:id="41"/>
      <w:bookmarkEnd w:id="42"/>
      <w:bookmarkEnd w:id="43"/>
      <w:bookmarkEnd w:id="44"/>
      <w:bookmarkEnd w:id="45"/>
      <w:bookmarkEnd w:id="46"/>
    </w:p>
    <w:sdt>
      <w:sdtPr>
        <w:rPr>
          <w:rFonts w:hint="eastAsia"/>
        </w:rPr>
        <w:id w:val="715848253"/>
        <w:placeholder>
          <w:docPart w:val="E0A056214E3145118E6B02A4F391E06B"/>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8"/>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231"/>
        <w:rPr>
          <w:rFonts w:hAnsi="宋体"/>
        </w:rPr>
      </w:pPr>
      <w:r>
        <w:rPr>
          <w:rFonts w:hint="eastAsia" w:hAnsi="宋体"/>
        </w:rPr>
        <w:t>GB/T 788　图书和杂志开本及其幅面尺寸</w:t>
      </w:r>
    </w:p>
    <w:p>
      <w:pPr>
        <w:pStyle w:val="231"/>
        <w:rPr>
          <w:rFonts w:hAnsi="宋体"/>
        </w:rPr>
      </w:pPr>
      <w:r>
        <w:rPr>
          <w:rFonts w:hint="eastAsia" w:hAnsi="宋体"/>
        </w:rPr>
        <w:t>GB/T 3181　漆膜颜色标准</w:t>
      </w:r>
    </w:p>
    <w:p>
      <w:pPr>
        <w:pStyle w:val="231"/>
        <w:rPr>
          <w:rFonts w:hAnsi="宋体"/>
        </w:rPr>
      </w:pPr>
      <w:r>
        <w:rPr>
          <w:rFonts w:hint="eastAsia" w:hAnsi="宋体"/>
        </w:rPr>
        <w:t>GB/T 18284　快速响应矩阵码</w:t>
      </w:r>
    </w:p>
    <w:p>
      <w:pPr>
        <w:pStyle w:val="231"/>
        <w:rPr>
          <w:rFonts w:hAnsi="宋体"/>
        </w:rPr>
      </w:pPr>
      <w:bookmarkStart w:id="47" w:name="_Hlk70519372"/>
      <w:r>
        <w:rPr>
          <w:rFonts w:hint="eastAsia" w:hAnsi="宋体"/>
        </w:rPr>
        <w:t>G</w:t>
      </w:r>
      <w:r>
        <w:rPr>
          <w:rFonts w:hAnsi="宋体"/>
        </w:rPr>
        <w:t>B 18352.6</w:t>
      </w:r>
      <w:r>
        <w:rPr>
          <w:rFonts w:hint="eastAsia" w:hAnsi="宋体"/>
        </w:rPr>
        <w:t>—2</w:t>
      </w:r>
      <w:r>
        <w:rPr>
          <w:rFonts w:hAnsi="宋体"/>
        </w:rPr>
        <w:t>016</w:t>
      </w:r>
      <w:r>
        <w:rPr>
          <w:rFonts w:hint="eastAsia" w:hAnsi="宋体"/>
        </w:rPr>
        <w:t>　</w:t>
      </w:r>
      <w:r>
        <w:rPr>
          <w:rFonts w:hAnsi="宋体"/>
        </w:rPr>
        <w:t>轻型汽车污染物排放限值及测量方法（中国第六阶段</w:t>
      </w:r>
      <w:r>
        <w:rPr>
          <w:rFonts w:hint="eastAsia" w:hAnsi="宋体"/>
        </w:rPr>
        <w:t>）</w:t>
      </w:r>
    </w:p>
    <w:bookmarkEnd w:id="47"/>
    <w:p>
      <w:pPr>
        <w:pStyle w:val="231"/>
        <w:rPr>
          <w:rFonts w:hAnsi="宋体"/>
        </w:rPr>
      </w:pPr>
      <w:r>
        <w:rPr>
          <w:rFonts w:hint="eastAsia" w:hAnsi="宋体"/>
        </w:rPr>
        <w:t>GB/T 19233—2</w:t>
      </w:r>
      <w:r>
        <w:rPr>
          <w:rFonts w:hAnsi="宋体"/>
        </w:rPr>
        <w:t>020</w:t>
      </w:r>
      <w:r>
        <w:rPr>
          <w:rFonts w:hint="eastAsia" w:hAnsi="宋体"/>
        </w:rPr>
        <w:t>　轻型汽车燃料消耗量试验方法</w:t>
      </w:r>
    </w:p>
    <w:p>
      <w:pPr>
        <w:pStyle w:val="231"/>
        <w:rPr>
          <w:rFonts w:hAnsi="宋体"/>
        </w:rPr>
      </w:pPr>
      <w:r>
        <w:rPr>
          <w:rFonts w:hint="eastAsia" w:hAnsi="宋体"/>
        </w:rPr>
        <w:t>GB 19578　乘用车燃料消耗量限值</w:t>
      </w:r>
    </w:p>
    <w:p>
      <w:pPr>
        <w:pStyle w:val="231"/>
        <w:rPr>
          <w:rFonts w:hAnsi="宋体"/>
        </w:rPr>
      </w:pPr>
      <w:r>
        <w:rPr>
          <w:rFonts w:hint="eastAsia" w:hAnsi="宋体"/>
        </w:rPr>
        <w:t>G</w:t>
      </w:r>
      <w:r>
        <w:rPr>
          <w:rFonts w:hAnsi="宋体"/>
        </w:rPr>
        <w:t>B/T 19596</w:t>
      </w:r>
      <w:r>
        <w:rPr>
          <w:rFonts w:hint="eastAsia" w:hAnsi="宋体"/>
        </w:rPr>
        <w:t>　</w:t>
      </w:r>
      <w:r>
        <w:rPr>
          <w:rFonts w:hAnsi="宋体"/>
        </w:rPr>
        <w:t>电动汽车术语</w:t>
      </w:r>
    </w:p>
    <w:p>
      <w:pPr>
        <w:pStyle w:val="231"/>
        <w:rPr>
          <w:rFonts w:hAnsi="宋体"/>
        </w:rPr>
      </w:pPr>
      <w:r>
        <w:rPr>
          <w:rFonts w:hint="eastAsia" w:hAnsi="宋体"/>
        </w:rPr>
        <w:t>GB/T 19753—2</w:t>
      </w:r>
      <w:r>
        <w:rPr>
          <w:rFonts w:hAnsi="宋体"/>
        </w:rPr>
        <w:t>021</w:t>
      </w:r>
      <w:r>
        <w:rPr>
          <w:rFonts w:hint="eastAsia" w:hAnsi="宋体"/>
        </w:rPr>
        <w:t>　轻型混合动力电动汽车能量消耗量试验方法</w:t>
      </w:r>
    </w:p>
    <w:p>
      <w:pPr>
        <w:pStyle w:val="231"/>
        <w:rPr>
          <w:rFonts w:hAnsi="宋体"/>
        </w:rPr>
      </w:pPr>
      <w:r>
        <w:rPr>
          <w:rFonts w:hint="eastAsia" w:hAnsi="宋体"/>
        </w:rPr>
        <w:t>GB 20997　轻型商用车辆燃料消耗量限值</w:t>
      </w:r>
    </w:p>
    <w:p>
      <w:pPr>
        <w:pStyle w:val="106"/>
        <w:spacing w:before="312" w:after="312"/>
      </w:pPr>
      <w:bookmarkStart w:id="48" w:name="_Toc62723374"/>
      <w:r>
        <w:rPr>
          <w:rFonts w:hint="eastAsia"/>
          <w:szCs w:val="21"/>
        </w:rPr>
        <w:t>术语和定义</w:t>
      </w:r>
      <w:bookmarkEnd w:id="48"/>
    </w:p>
    <w:sdt>
      <w:sdtPr>
        <w:rPr>
          <w:rFonts w:hint="eastAsia"/>
        </w:rPr>
        <w:id w:val="-1909835108"/>
        <w:placeholder>
          <w:docPart w:val="E0A056214E3145118E6B02A4F391E06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rPr>
      </w:sdtEndPr>
      <w:sdtContent>
        <w:p>
          <w:pPr>
            <w:pStyle w:val="58"/>
            <w:ind w:firstLine="420"/>
          </w:pPr>
          <w:bookmarkStart w:id="49" w:name="_Toc26986532"/>
          <w:bookmarkEnd w:id="49"/>
          <w:r>
            <w:rPr>
              <w:rFonts w:hint="eastAsia"/>
            </w:rPr>
            <w:t>GB/T 19596界定的以及下列术语和定义适用于本文件。</w:t>
          </w:r>
        </w:p>
      </w:sdtContent>
    </w:sdt>
    <w:p>
      <w:pPr>
        <w:pStyle w:val="225"/>
        <w:ind w:left="420" w:hanging="420" w:hangingChars="200"/>
        <w:rPr>
          <w:rFonts w:ascii="黑体" w:hAnsi="黑体" w:eastAsia="黑体"/>
        </w:rPr>
      </w:pPr>
      <w:r>
        <w:rPr>
          <w:rFonts w:ascii="黑体" w:hAnsi="黑体" w:eastAsia="黑体"/>
        </w:rPr>
        <w:br w:type="textWrapping"/>
      </w:r>
      <w:r>
        <w:rPr>
          <w:rFonts w:hint="eastAsia" w:ascii="黑体" w:hAnsi="黑体" w:eastAsia="黑体"/>
        </w:rPr>
        <w:t>能源消耗量标识</w:t>
      </w:r>
      <w:r>
        <w:rPr>
          <w:rFonts w:hint="eastAsia" w:hAnsi="宋体"/>
        </w:rPr>
        <w:t>　</w:t>
      </w:r>
      <w:r>
        <w:rPr>
          <w:rFonts w:hint="eastAsia" w:ascii="黑体" w:hAnsi="黑体" w:eastAsia="黑体"/>
        </w:rPr>
        <w:t>energy</w:t>
      </w:r>
      <w:r>
        <w:rPr>
          <w:rFonts w:ascii="黑体" w:hAnsi="黑体" w:eastAsia="黑体"/>
        </w:rPr>
        <w:t xml:space="preserve"> </w:t>
      </w:r>
      <w:r>
        <w:rPr>
          <w:rFonts w:hint="eastAsia" w:ascii="黑体" w:hAnsi="黑体" w:eastAsia="黑体"/>
        </w:rPr>
        <w:t>consumption</w:t>
      </w:r>
      <w:r>
        <w:rPr>
          <w:rFonts w:ascii="黑体" w:hAnsi="黑体" w:eastAsia="黑体"/>
        </w:rPr>
        <w:t xml:space="preserve"> </w:t>
      </w:r>
      <w:r>
        <w:rPr>
          <w:rFonts w:hint="eastAsia" w:ascii="黑体" w:hAnsi="黑体" w:eastAsia="黑体"/>
        </w:rPr>
        <w:t>label</w:t>
      </w:r>
    </w:p>
    <w:p>
      <w:pPr>
        <w:adjustRightInd/>
        <w:spacing w:line="240" w:lineRule="auto"/>
        <w:ind w:firstLine="420" w:firstLineChars="200"/>
      </w:pPr>
      <w:r>
        <w:rPr>
          <w:rFonts w:hint="eastAsia" w:ascii="宋体" w:hAnsi="宋体"/>
        </w:rPr>
        <w:t>用于标示能源消耗量及相关信息的标签。以下简称标识。</w:t>
      </w:r>
    </w:p>
    <w:p>
      <w:pPr>
        <w:adjustRightInd/>
        <w:spacing w:line="240" w:lineRule="auto"/>
        <w:ind w:firstLine="360" w:firstLineChars="200"/>
        <w:rPr>
          <w:rFonts w:ascii="宋体" w:hAnsi="宋体"/>
          <w:sz w:val="18"/>
          <w:szCs w:val="18"/>
        </w:rPr>
      </w:pPr>
      <w:r>
        <w:rPr>
          <w:rFonts w:hint="eastAsia" w:ascii="黑体" w:hAnsi="黑体" w:eastAsia="黑体"/>
          <w:sz w:val="18"/>
          <w:szCs w:val="18"/>
        </w:rPr>
        <w:t>注：</w:t>
      </w:r>
      <w:r>
        <w:rPr>
          <w:rFonts w:hint="eastAsia" w:ascii="宋体" w:hAnsi="宋体"/>
          <w:sz w:val="18"/>
          <w:szCs w:val="18"/>
        </w:rPr>
        <w:t>本部分所述能源消耗量即燃料消耗量。</w:t>
      </w:r>
    </w:p>
    <w:p>
      <w:pPr>
        <w:pStyle w:val="225"/>
        <w:ind w:left="420" w:hanging="420" w:hangingChars="200"/>
        <w:rPr>
          <w:rFonts w:ascii="黑体" w:hAnsi="黑体" w:eastAsia="黑体"/>
        </w:rPr>
      </w:pPr>
      <w:r>
        <w:rPr>
          <w:rFonts w:ascii="黑体" w:hAnsi="黑体" w:eastAsia="黑体"/>
        </w:rPr>
        <w:br w:type="textWrapping"/>
      </w:r>
      <w:r>
        <w:rPr>
          <w:rFonts w:hint="eastAsia" w:ascii="黑体" w:hAnsi="黑体" w:eastAsia="黑体"/>
        </w:rPr>
        <w:t>领跑值</w:t>
      </w:r>
      <w:r>
        <w:rPr>
          <w:rFonts w:hint="eastAsia" w:hAnsi="宋体"/>
        </w:rPr>
        <w:t>　</w:t>
      </w:r>
      <w:bookmarkStart w:id="94" w:name="_GoBack"/>
      <w:r>
        <w:rPr>
          <w:rFonts w:hint="eastAsia" w:ascii="黑体" w:hAnsi="黑体" w:eastAsia="黑体"/>
        </w:rPr>
        <w:t>t</w:t>
      </w:r>
      <w:r>
        <w:rPr>
          <w:rFonts w:ascii="黑体" w:hAnsi="黑体" w:eastAsia="黑体"/>
        </w:rPr>
        <w:t>op runner fuel consumption</w:t>
      </w:r>
      <w:bookmarkEnd w:id="94"/>
    </w:p>
    <w:p>
      <w:pPr>
        <w:adjustRightInd/>
        <w:spacing w:line="240" w:lineRule="auto"/>
        <w:ind w:firstLine="420" w:firstLineChars="200"/>
        <w:rPr>
          <w:rFonts w:ascii="宋体" w:hAnsi="宋体"/>
        </w:rPr>
      </w:pPr>
      <w:r>
        <w:rPr>
          <w:rFonts w:hint="eastAsia" w:ascii="宋体" w:hAnsi="宋体"/>
        </w:rPr>
        <w:t>基于整备质量的综合燃料消耗量最低的前5%车型的综合燃料消耗量的计算值。</w:t>
      </w:r>
    </w:p>
    <w:p>
      <w:pPr>
        <w:pStyle w:val="106"/>
        <w:spacing w:before="312" w:after="312"/>
      </w:pPr>
      <w:bookmarkStart w:id="50" w:name="_Toc62723375"/>
      <w:r>
        <w:rPr>
          <w:rFonts w:hint="eastAsia"/>
        </w:rPr>
        <w:t>总体要求</w:t>
      </w:r>
    </w:p>
    <w:p>
      <w:pPr>
        <w:pStyle w:val="58"/>
        <w:ind w:firstLine="420"/>
      </w:pPr>
      <w:r>
        <w:rPr>
          <w:rFonts w:hint="eastAsia"/>
        </w:rPr>
        <w:t>汽车生产企业应按照第5</w:t>
      </w:r>
      <w:r>
        <w:rPr>
          <w:rFonts w:ascii="Times New Roman"/>
        </w:rPr>
        <w:t>~</w:t>
      </w:r>
      <w:r>
        <w:rPr>
          <w:rFonts w:hint="eastAsia"/>
        </w:rPr>
        <w:t>7章要求打印、粘贴纸质</w:t>
      </w:r>
      <w:r>
        <w:rPr>
          <w:rFonts w:hint="eastAsia" w:hAnsi="宋体"/>
        </w:rPr>
        <w:t>或塑料材质标识，或按照附录</w:t>
      </w:r>
      <w:r>
        <w:rPr>
          <w:rFonts w:hAnsi="宋体"/>
        </w:rPr>
        <w:t>A</w:t>
      </w:r>
      <w:r>
        <w:rPr>
          <w:rFonts w:hint="eastAsia" w:hAnsi="宋体"/>
        </w:rPr>
        <w:t>要求打印、粘贴电子标识载体。</w:t>
      </w:r>
    </w:p>
    <w:p>
      <w:pPr>
        <w:pStyle w:val="106"/>
        <w:spacing w:before="312" w:after="312"/>
      </w:pPr>
      <w:r>
        <w:rPr>
          <w:rFonts w:hint="eastAsia"/>
        </w:rPr>
        <w:t>标识内容</w:t>
      </w:r>
      <w:bookmarkEnd w:id="50"/>
    </w:p>
    <w:p>
      <w:pPr>
        <w:pStyle w:val="231"/>
        <w:spacing w:before="31" w:beforeLines="10" w:after="31" w:afterLines="10"/>
        <w:rPr>
          <w:rFonts w:hAnsi="宋体"/>
          <w:kern w:val="2"/>
        </w:rPr>
      </w:pPr>
      <w:r>
        <w:rPr>
          <w:rFonts w:hint="eastAsia" w:hAnsi="宋体"/>
          <w:kern w:val="2"/>
        </w:rPr>
        <w:t>标识至少应包含下列信息：</w:t>
      </w:r>
    </w:p>
    <w:p>
      <w:pPr>
        <w:pStyle w:val="176"/>
        <w:numPr>
          <w:ilvl w:val="0"/>
          <w:numId w:val="33"/>
        </w:numPr>
        <w:ind w:left="0" w:firstLine="420" w:firstLineChars="200"/>
      </w:pPr>
      <w:r>
        <w:rPr>
          <w:rFonts w:hint="eastAsia"/>
        </w:rPr>
        <w:t>生产企业；</w:t>
      </w:r>
    </w:p>
    <w:p>
      <w:pPr>
        <w:pStyle w:val="176"/>
        <w:numPr>
          <w:ilvl w:val="0"/>
          <w:numId w:val="33"/>
        </w:numPr>
        <w:ind w:left="0" w:firstLine="420" w:firstLineChars="200"/>
      </w:pPr>
      <w:r>
        <w:rPr>
          <w:rFonts w:hint="eastAsia"/>
        </w:rPr>
        <w:t>车辆型号；</w:t>
      </w:r>
    </w:p>
    <w:p>
      <w:pPr>
        <w:pStyle w:val="176"/>
        <w:numPr>
          <w:ilvl w:val="0"/>
          <w:numId w:val="33"/>
        </w:numPr>
        <w:ind w:left="0" w:firstLine="420" w:firstLineChars="200"/>
      </w:pPr>
      <w:r>
        <w:rPr>
          <w:rFonts w:hint="eastAsia"/>
        </w:rPr>
        <w:t>发动机型号、排量、最大净功率，其中，排量单位为mL，最大净功率单位为kW；</w:t>
      </w:r>
    </w:p>
    <w:p>
      <w:pPr>
        <w:pStyle w:val="176"/>
        <w:numPr>
          <w:ilvl w:val="0"/>
          <w:numId w:val="33"/>
        </w:numPr>
        <w:ind w:left="0" w:firstLine="420" w:firstLineChars="200"/>
      </w:pPr>
      <w:r>
        <w:rPr>
          <w:rFonts w:hint="eastAsia"/>
        </w:rPr>
        <w:t>能源种类，如汽油、柴油、两用燃料、双燃料、不可外接充电式混合动力等；</w:t>
      </w:r>
    </w:p>
    <w:p>
      <w:pPr>
        <w:pStyle w:val="176"/>
        <w:numPr>
          <w:ilvl w:val="0"/>
          <w:numId w:val="33"/>
        </w:numPr>
        <w:ind w:left="0" w:firstLine="420" w:firstLineChars="200"/>
      </w:pPr>
      <w:r>
        <w:rPr>
          <w:rFonts w:hint="eastAsia"/>
        </w:rPr>
        <w:t>变速器类型，如手动、自动、无级变速、双离合，或MT、AT、AMT、CVT、DCT等；</w:t>
      </w:r>
    </w:p>
    <w:p>
      <w:pPr>
        <w:pStyle w:val="176"/>
        <w:numPr>
          <w:ilvl w:val="0"/>
          <w:numId w:val="33"/>
        </w:numPr>
        <w:ind w:left="0" w:firstLine="420" w:firstLineChars="200"/>
      </w:pPr>
      <w:r>
        <w:rPr>
          <w:rFonts w:hint="eastAsia"/>
        </w:rPr>
        <w:t>驱动型式，如前轮驱动、后轮驱动、分时四轮驱动、适时四轮驱动、全时全轮驱动等；</w:t>
      </w:r>
    </w:p>
    <w:p>
      <w:pPr>
        <w:pStyle w:val="176"/>
        <w:numPr>
          <w:ilvl w:val="0"/>
          <w:numId w:val="33"/>
        </w:numPr>
        <w:ind w:left="0" w:firstLine="420" w:firstLineChars="200"/>
      </w:pPr>
      <w:r>
        <w:rPr>
          <w:rFonts w:hint="eastAsia"/>
        </w:rPr>
        <w:t>整车整备质量、最大设计总质量，单位为kg；</w:t>
      </w:r>
    </w:p>
    <w:p>
      <w:pPr>
        <w:pStyle w:val="176"/>
        <w:numPr>
          <w:ilvl w:val="0"/>
          <w:numId w:val="33"/>
        </w:numPr>
        <w:ind w:left="0" w:firstLine="420" w:firstLineChars="200"/>
      </w:pPr>
      <w:r>
        <w:rPr>
          <w:rFonts w:hint="eastAsia"/>
        </w:rPr>
        <w:t>燃料消耗量，单位为L/100</w:t>
      </w:r>
      <w:r>
        <w:t xml:space="preserve"> </w:t>
      </w:r>
      <w:r>
        <w:rPr>
          <w:rFonts w:hint="eastAsia"/>
        </w:rPr>
        <w:t>km；</w:t>
      </w:r>
    </w:p>
    <w:p>
      <w:pPr>
        <w:pStyle w:val="176"/>
        <w:numPr>
          <w:ilvl w:val="0"/>
          <w:numId w:val="33"/>
        </w:numPr>
        <w:ind w:left="0" w:firstLine="420" w:firstLineChars="200"/>
      </w:pPr>
      <w:r>
        <w:rPr>
          <w:rFonts w:hint="eastAsia"/>
        </w:rPr>
        <w:t>预估能源成本，单位为元/百千米；</w:t>
      </w:r>
    </w:p>
    <w:p>
      <w:pPr>
        <w:pStyle w:val="176"/>
        <w:numPr>
          <w:ilvl w:val="0"/>
          <w:numId w:val="33"/>
        </w:numPr>
        <w:ind w:left="0" w:firstLine="420" w:firstLineChars="200"/>
      </w:pPr>
      <w:r>
        <w:rPr>
          <w:rFonts w:hint="eastAsia"/>
        </w:rPr>
        <w:t>C</w:t>
      </w:r>
      <w:r>
        <w:t>O</w:t>
      </w:r>
      <w:r>
        <w:rPr>
          <w:vertAlign w:val="subscript"/>
        </w:rPr>
        <w:t>2</w:t>
      </w:r>
      <w:r>
        <w:rPr>
          <w:rFonts w:hint="eastAsia"/>
        </w:rPr>
        <w:t>排放量，单位为g/</w:t>
      </w:r>
      <w:r>
        <w:t>km</w:t>
      </w:r>
      <w:r>
        <w:rPr>
          <w:rFonts w:hint="eastAsia"/>
        </w:rPr>
        <w:t>；</w:t>
      </w:r>
    </w:p>
    <w:p>
      <w:pPr>
        <w:pStyle w:val="176"/>
        <w:numPr>
          <w:ilvl w:val="0"/>
          <w:numId w:val="33"/>
        </w:numPr>
        <w:ind w:left="0" w:firstLine="420" w:firstLineChars="200"/>
      </w:pPr>
      <w:r>
        <w:rPr>
          <w:rFonts w:hint="eastAsia"/>
        </w:rPr>
        <w:t>车辆综合燃料消耗量型式认证值的连续比较信息；</w:t>
      </w:r>
    </w:p>
    <w:p>
      <w:pPr>
        <w:pStyle w:val="176"/>
        <w:numPr>
          <w:ilvl w:val="0"/>
          <w:numId w:val="33"/>
        </w:numPr>
        <w:ind w:left="0" w:firstLine="420" w:firstLineChars="200"/>
      </w:pPr>
      <w:r>
        <w:rPr>
          <w:rFonts w:hint="eastAsia"/>
        </w:rPr>
        <w:t>车辆综合燃料消耗量型式认证值与燃料消耗量限值的比较信息；</w:t>
      </w:r>
    </w:p>
    <w:p>
      <w:pPr>
        <w:pStyle w:val="176"/>
        <w:numPr>
          <w:ilvl w:val="0"/>
          <w:numId w:val="33"/>
        </w:numPr>
        <w:ind w:left="0" w:firstLine="420" w:firstLineChars="200"/>
      </w:pPr>
      <w:r>
        <w:rPr>
          <w:rFonts w:hint="eastAsia"/>
        </w:rPr>
        <w:t>标识数据与实际数据差别的说明；</w:t>
      </w:r>
    </w:p>
    <w:p>
      <w:pPr>
        <w:pStyle w:val="176"/>
        <w:numPr>
          <w:ilvl w:val="0"/>
          <w:numId w:val="33"/>
        </w:numPr>
        <w:ind w:left="0" w:firstLine="420" w:firstLineChars="200"/>
      </w:pPr>
      <w:r>
        <w:rPr>
          <w:rFonts w:hint="eastAsia"/>
        </w:rPr>
        <w:t>可链接至“</w:t>
      </w:r>
      <w:r>
        <w:rPr>
          <w:rFonts w:hint="eastAsia" w:hAnsi="宋体"/>
        </w:rPr>
        <w:t>中国汽车能源消耗量查询网站</w:t>
      </w:r>
      <w:r>
        <w:rPr>
          <w:rFonts w:hint="eastAsia"/>
        </w:rPr>
        <w:t>”的二维码、标识类别图案；</w:t>
      </w:r>
    </w:p>
    <w:p>
      <w:pPr>
        <w:pStyle w:val="176"/>
        <w:numPr>
          <w:ilvl w:val="0"/>
          <w:numId w:val="33"/>
        </w:numPr>
        <w:ind w:left="0" w:firstLine="420" w:firstLineChars="200"/>
      </w:pPr>
      <w:r>
        <w:rPr>
          <w:rFonts w:hint="eastAsia"/>
        </w:rPr>
        <w:t>标识启用日期以及政府主管部门规定的附加信息等其他信息。</w:t>
      </w:r>
    </w:p>
    <w:p>
      <w:pPr>
        <w:pStyle w:val="106"/>
        <w:spacing w:before="312" w:after="312"/>
      </w:pPr>
      <w:bookmarkStart w:id="51" w:name="_Toc62723376"/>
      <w:r>
        <w:rPr>
          <w:rFonts w:hint="eastAsia"/>
        </w:rPr>
        <w:t>标识主要数据</w:t>
      </w:r>
      <w:bookmarkEnd w:id="51"/>
    </w:p>
    <w:p>
      <w:pPr>
        <w:pStyle w:val="107"/>
        <w:spacing w:before="156" w:after="156"/>
      </w:pPr>
      <w:bookmarkStart w:id="52" w:name="_Toc62723377"/>
      <w:r>
        <w:rPr>
          <w:rFonts w:hint="eastAsia"/>
        </w:rPr>
        <w:t>燃料消耗量</w:t>
      </w:r>
      <w:bookmarkEnd w:id="52"/>
    </w:p>
    <w:p>
      <w:pPr>
        <w:pStyle w:val="67"/>
        <w:spacing w:before="0" w:beforeLines="0" w:after="0" w:afterLines="0"/>
        <w:rPr>
          <w:rFonts w:ascii="宋体" w:hAnsi="宋体" w:eastAsia="宋体"/>
        </w:rPr>
      </w:pPr>
      <w:r>
        <w:rPr>
          <w:rFonts w:hint="eastAsia" w:ascii="宋体" w:hAnsi="宋体" w:eastAsia="宋体"/>
        </w:rPr>
        <w:t>对汽油、柴油、两用燃料及双燃料汽车，</w:t>
      </w:r>
      <w:bookmarkStart w:id="53" w:name="_Hlk70521255"/>
      <w:r>
        <w:rPr>
          <w:rFonts w:hint="eastAsia" w:ascii="宋体" w:hAnsi="宋体" w:eastAsia="宋体"/>
        </w:rPr>
        <w:t>燃料消耗量数据是指按照</w:t>
      </w:r>
      <w:bookmarkStart w:id="54" w:name="_Hlk75274509"/>
      <w:r>
        <w:rPr>
          <w:rFonts w:hint="eastAsia" w:ascii="宋体" w:hAnsi="宋体" w:eastAsia="宋体"/>
        </w:rPr>
        <w:t>GB/T 19233—2</w:t>
      </w:r>
      <w:r>
        <w:rPr>
          <w:rFonts w:ascii="宋体" w:hAnsi="宋体" w:eastAsia="宋体"/>
        </w:rPr>
        <w:t>020</w:t>
      </w:r>
      <w:r>
        <w:rPr>
          <w:rFonts w:hint="eastAsia" w:ascii="宋体" w:hAnsi="宋体" w:eastAsia="宋体"/>
        </w:rPr>
        <w:t>测定的综合燃料消耗量和各速度段燃料消耗量型式认证值</w:t>
      </w:r>
      <w:bookmarkEnd w:id="54"/>
      <w:r>
        <w:rPr>
          <w:rFonts w:hint="eastAsia" w:ascii="宋体" w:hAnsi="宋体" w:eastAsia="宋体"/>
        </w:rPr>
        <w:t>，以及按照GB/T 19233—2</w:t>
      </w:r>
      <w:r>
        <w:rPr>
          <w:rFonts w:ascii="宋体" w:hAnsi="宋体" w:eastAsia="宋体"/>
        </w:rPr>
        <w:t>020</w:t>
      </w:r>
      <w:r>
        <w:rPr>
          <w:rFonts w:hint="eastAsia" w:ascii="宋体" w:hAnsi="宋体" w:eastAsia="宋体"/>
        </w:rPr>
        <w:t>附录B测定的开启空调制冷状态下的综合工况燃料消耗量；对于有低温环境或高海拔环境下燃料消耗量试验结果的，还包括按照GB/T 19233—2</w:t>
      </w:r>
      <w:r>
        <w:rPr>
          <w:rFonts w:ascii="宋体" w:hAnsi="宋体" w:eastAsia="宋体"/>
        </w:rPr>
        <w:t>020</w:t>
      </w:r>
      <w:r>
        <w:rPr>
          <w:rFonts w:hint="eastAsia" w:ascii="宋体" w:hAnsi="宋体" w:eastAsia="宋体"/>
        </w:rPr>
        <w:t>附录A或附录C测定的低温环境或高海拔环境下综合工况燃料消耗量。</w:t>
      </w:r>
      <w:bookmarkEnd w:id="53"/>
    </w:p>
    <w:p>
      <w:pPr>
        <w:pStyle w:val="67"/>
        <w:spacing w:before="0" w:beforeLines="0" w:after="0" w:afterLines="0"/>
        <w:rPr>
          <w:rFonts w:ascii="宋体" w:hAnsi="宋体" w:eastAsia="宋体"/>
        </w:rPr>
      </w:pPr>
      <w:r>
        <w:rPr>
          <w:rFonts w:hint="eastAsia" w:ascii="宋体" w:hAnsi="宋体" w:eastAsia="宋体"/>
        </w:rPr>
        <w:t>对不可外接充电式混合动力汽车，燃料消耗量数据是指按照GB/T 19753—2</w:t>
      </w:r>
      <w:r>
        <w:rPr>
          <w:rFonts w:ascii="宋体" w:hAnsi="宋体" w:eastAsia="宋体"/>
        </w:rPr>
        <w:t>021</w:t>
      </w:r>
      <w:r>
        <w:rPr>
          <w:rFonts w:hint="eastAsia" w:ascii="宋体" w:hAnsi="宋体" w:eastAsia="宋体"/>
        </w:rPr>
        <w:t>测定的“N</w:t>
      </w:r>
      <w:r>
        <w:rPr>
          <w:rFonts w:ascii="宋体" w:hAnsi="宋体" w:eastAsia="宋体"/>
        </w:rPr>
        <w:t>OVC-HEV</w:t>
      </w:r>
      <w:r>
        <w:rPr>
          <w:rFonts w:hint="eastAsia" w:ascii="宋体" w:hAnsi="宋体" w:eastAsia="宋体"/>
        </w:rPr>
        <w:t>燃料消耗量”型式认证值和N</w:t>
      </w:r>
      <w:r>
        <w:rPr>
          <w:rFonts w:ascii="宋体" w:hAnsi="宋体" w:eastAsia="宋体"/>
        </w:rPr>
        <w:t>OVC-HEV</w:t>
      </w:r>
      <w:r>
        <w:rPr>
          <w:rFonts w:hint="eastAsia" w:ascii="宋体" w:hAnsi="宋体" w:eastAsia="宋体"/>
        </w:rPr>
        <w:t>各速度段燃料消耗量型式认证值，以及按照GB/T 1</w:t>
      </w:r>
      <w:r>
        <w:rPr>
          <w:rFonts w:ascii="宋体" w:hAnsi="宋体" w:eastAsia="宋体"/>
        </w:rPr>
        <w:t>9753</w:t>
      </w:r>
      <w:r>
        <w:rPr>
          <w:rFonts w:hint="eastAsia" w:ascii="宋体" w:hAnsi="宋体" w:eastAsia="宋体"/>
        </w:rPr>
        <w:t>—2</w:t>
      </w:r>
      <w:r>
        <w:rPr>
          <w:rFonts w:ascii="宋体" w:hAnsi="宋体" w:eastAsia="宋体"/>
        </w:rPr>
        <w:t>021</w:t>
      </w:r>
      <w:r>
        <w:rPr>
          <w:rFonts w:hint="eastAsia" w:ascii="宋体" w:hAnsi="宋体" w:eastAsia="宋体"/>
        </w:rPr>
        <w:t>中6</w:t>
      </w:r>
      <w:r>
        <w:rPr>
          <w:rFonts w:ascii="宋体" w:hAnsi="宋体" w:eastAsia="宋体"/>
        </w:rPr>
        <w:t>.1.3</w:t>
      </w:r>
      <w:r>
        <w:rPr>
          <w:rFonts w:hint="eastAsia" w:ascii="宋体" w:hAnsi="宋体" w:eastAsia="宋体"/>
        </w:rPr>
        <w:t>要求测定的开启空调制冷状态下的综合工况“N</w:t>
      </w:r>
      <w:r>
        <w:rPr>
          <w:rFonts w:ascii="宋体" w:hAnsi="宋体" w:eastAsia="宋体"/>
        </w:rPr>
        <w:t>OVC-HEV</w:t>
      </w:r>
      <w:r>
        <w:rPr>
          <w:rFonts w:hint="eastAsia" w:ascii="宋体" w:hAnsi="宋体" w:eastAsia="宋体"/>
        </w:rPr>
        <w:t>燃料消耗量”；对于有低温环境或高海拔环境下燃料消耗量试验结果的，还包括按照GB/T 1</w:t>
      </w:r>
      <w:r>
        <w:rPr>
          <w:rFonts w:ascii="宋体" w:hAnsi="宋体" w:eastAsia="宋体"/>
        </w:rPr>
        <w:t>9753</w:t>
      </w:r>
      <w:r>
        <w:rPr>
          <w:rFonts w:hint="eastAsia" w:ascii="宋体" w:hAnsi="宋体" w:eastAsia="宋体"/>
        </w:rPr>
        <w:t>—2</w:t>
      </w:r>
      <w:r>
        <w:rPr>
          <w:rFonts w:ascii="宋体" w:hAnsi="宋体" w:eastAsia="宋体"/>
        </w:rPr>
        <w:t>021</w:t>
      </w:r>
      <w:r>
        <w:rPr>
          <w:rFonts w:hint="eastAsia" w:ascii="宋体" w:hAnsi="宋体" w:eastAsia="宋体"/>
        </w:rPr>
        <w:t>中6</w:t>
      </w:r>
      <w:r>
        <w:rPr>
          <w:rFonts w:ascii="宋体" w:hAnsi="宋体" w:eastAsia="宋体"/>
        </w:rPr>
        <w:t>.1.3</w:t>
      </w:r>
      <w:r>
        <w:rPr>
          <w:rFonts w:hint="eastAsia" w:ascii="宋体" w:hAnsi="宋体" w:eastAsia="宋体"/>
        </w:rPr>
        <w:t>要求测定的低温环境或高海拔环境下综合工况“N</w:t>
      </w:r>
      <w:r>
        <w:rPr>
          <w:rFonts w:ascii="宋体" w:hAnsi="宋体" w:eastAsia="宋体"/>
        </w:rPr>
        <w:t>OVC-HEV</w:t>
      </w:r>
      <w:r>
        <w:rPr>
          <w:rFonts w:hint="eastAsia" w:ascii="宋体" w:hAnsi="宋体" w:eastAsia="宋体"/>
        </w:rPr>
        <w:t>燃料消耗量”。</w:t>
      </w:r>
    </w:p>
    <w:p>
      <w:pPr>
        <w:pStyle w:val="67"/>
        <w:spacing w:before="0" w:beforeLines="0" w:after="0" w:afterLines="0"/>
        <w:rPr>
          <w:rFonts w:ascii="宋体" w:hAnsi="宋体" w:eastAsia="宋体"/>
        </w:rPr>
      </w:pPr>
      <w:r>
        <w:rPr>
          <w:rFonts w:hint="eastAsia" w:ascii="宋体" w:hAnsi="宋体" w:eastAsia="宋体"/>
        </w:rPr>
        <w:t>燃料消耗量</w:t>
      </w:r>
      <w:bookmarkStart w:id="55" w:name="_Hlk70521744"/>
      <w:r>
        <w:rPr>
          <w:rFonts w:hint="eastAsia" w:ascii="宋体" w:hAnsi="宋体" w:eastAsia="宋体"/>
        </w:rPr>
        <w:t>数据应圆整（四舍五入）至小数点后两位</w:t>
      </w:r>
      <w:bookmarkEnd w:id="55"/>
      <w:r>
        <w:rPr>
          <w:rFonts w:hint="eastAsia" w:ascii="宋体" w:hAnsi="宋体" w:eastAsia="宋体"/>
        </w:rPr>
        <w:t>。</w:t>
      </w:r>
    </w:p>
    <w:p>
      <w:pPr>
        <w:pStyle w:val="167"/>
        <w:rPr>
          <w:kern w:val="2"/>
          <w:szCs w:val="21"/>
        </w:rPr>
      </w:pPr>
      <w:r>
        <w:rPr>
          <w:rFonts w:hint="eastAsia"/>
        </w:rPr>
        <w:t>对于未按照</w:t>
      </w:r>
      <w:r>
        <w:rPr>
          <w:rFonts w:hint="eastAsia" w:hAnsi="宋体"/>
        </w:rPr>
        <w:t>GB/T 19233—2</w:t>
      </w:r>
      <w:r>
        <w:rPr>
          <w:rFonts w:hAnsi="宋体"/>
        </w:rPr>
        <w:t>020</w:t>
      </w:r>
      <w:r>
        <w:rPr>
          <w:rFonts w:hint="eastAsia" w:hAnsi="宋体"/>
        </w:rPr>
        <w:t>附录B或GB/T 1</w:t>
      </w:r>
      <w:r>
        <w:rPr>
          <w:rFonts w:hAnsi="宋体"/>
        </w:rPr>
        <w:t>9753</w:t>
      </w:r>
      <w:r>
        <w:rPr>
          <w:rFonts w:hint="eastAsia" w:hAnsi="宋体"/>
        </w:rPr>
        <w:t>—2</w:t>
      </w:r>
      <w:r>
        <w:rPr>
          <w:rFonts w:hAnsi="宋体"/>
        </w:rPr>
        <w:t>021</w:t>
      </w:r>
      <w:r>
        <w:rPr>
          <w:rFonts w:hint="eastAsia" w:hAnsi="宋体"/>
        </w:rPr>
        <w:t>中6</w:t>
      </w:r>
      <w:r>
        <w:rPr>
          <w:rFonts w:hAnsi="宋体"/>
        </w:rPr>
        <w:t>.1.3</w:t>
      </w:r>
      <w:r>
        <w:rPr>
          <w:rFonts w:hint="eastAsia" w:hAnsi="宋体"/>
        </w:rPr>
        <w:t>要求测定开启空调制冷状态下综合工况燃料消耗量的车型，</w:t>
      </w:r>
      <w:bookmarkStart w:id="56" w:name="_Hlk76047114"/>
      <w:r>
        <w:rPr>
          <w:rFonts w:hint="eastAsia" w:hAnsi="宋体"/>
        </w:rPr>
        <w:t>应标注开启空调制冷状态综合工况燃料消耗量相比于型式认证值的行业平均增加率</w:t>
      </w:r>
      <w:bookmarkEnd w:id="56"/>
      <w:r>
        <w:rPr>
          <w:rFonts w:hint="eastAsia" w:hAnsi="宋体"/>
        </w:rPr>
        <w:t>，乘用车取</w:t>
      </w:r>
      <w:r>
        <w:rPr>
          <w:rFonts w:hAnsi="宋体"/>
        </w:rPr>
        <w:t>30</w:t>
      </w:r>
      <w:r>
        <w:rPr>
          <w:rFonts w:hint="eastAsia" w:hAnsi="宋体"/>
        </w:rPr>
        <w:t>%</w:t>
      </w:r>
      <w:r>
        <w:rPr>
          <w:rStyle w:val="35"/>
        </w:rPr>
        <w:footnoteReference w:id="0"/>
      </w:r>
      <w:r>
        <w:rPr>
          <w:rStyle w:val="35"/>
        </w:rPr>
        <w:t>)</w:t>
      </w:r>
      <w:r>
        <w:rPr>
          <w:rFonts w:hint="eastAsia"/>
        </w:rPr>
        <w:t>。</w:t>
      </w:r>
    </w:p>
    <w:p>
      <w:pPr>
        <w:pStyle w:val="167"/>
        <w:rPr>
          <w:kern w:val="2"/>
          <w:szCs w:val="21"/>
        </w:rPr>
      </w:pPr>
      <w:r>
        <w:rPr>
          <w:rFonts w:hint="eastAsia"/>
        </w:rPr>
        <w:t>对于未安装空调的车型，不标注</w:t>
      </w:r>
      <w:r>
        <w:rPr>
          <w:rFonts w:hint="eastAsia" w:hAnsi="宋体"/>
        </w:rPr>
        <w:t>开启空调制冷状态下综合工况燃料消耗量或相比于型式认证值的行业平均增加率。</w:t>
      </w:r>
    </w:p>
    <w:p>
      <w:pPr>
        <w:pStyle w:val="167"/>
        <w:rPr>
          <w:kern w:val="2"/>
          <w:szCs w:val="21"/>
        </w:rPr>
      </w:pPr>
      <w:r>
        <w:rPr>
          <w:rFonts w:hint="eastAsia"/>
          <w:kern w:val="2"/>
          <w:szCs w:val="21"/>
        </w:rPr>
        <w:t>6</w:t>
      </w:r>
      <w:r>
        <w:rPr>
          <w:kern w:val="2"/>
          <w:szCs w:val="21"/>
        </w:rPr>
        <w:t>.1.1</w:t>
      </w:r>
      <w:r>
        <w:rPr>
          <w:rFonts w:hint="eastAsia"/>
          <w:kern w:val="2"/>
          <w:szCs w:val="21"/>
        </w:rPr>
        <w:t>、6</w:t>
      </w:r>
      <w:r>
        <w:rPr>
          <w:kern w:val="2"/>
          <w:szCs w:val="21"/>
        </w:rPr>
        <w:t>.1.2</w:t>
      </w:r>
      <w:r>
        <w:rPr>
          <w:rFonts w:hint="eastAsia"/>
          <w:kern w:val="2"/>
          <w:szCs w:val="21"/>
        </w:rPr>
        <w:t>中</w:t>
      </w:r>
      <w:r>
        <w:rPr>
          <w:rFonts w:hint="eastAsia" w:hAnsi="宋体"/>
        </w:rPr>
        <w:t>开启空调制冷状态下综合工况燃料消耗量</w:t>
      </w:r>
      <w:r>
        <w:rPr>
          <w:rFonts w:hint="eastAsia"/>
          <w:kern w:val="2"/>
          <w:szCs w:val="21"/>
        </w:rPr>
        <w:t>试验循环应与型式认证试验保持一致。</w:t>
      </w:r>
    </w:p>
    <w:p>
      <w:pPr>
        <w:pStyle w:val="107"/>
        <w:spacing w:before="156" w:after="156"/>
      </w:pPr>
      <w:bookmarkStart w:id="57" w:name="_Toc62723378"/>
      <w:r>
        <w:rPr>
          <w:rFonts w:hint="eastAsia"/>
        </w:rPr>
        <w:t>预估能源成本</w:t>
      </w:r>
      <w:bookmarkEnd w:id="57"/>
    </w:p>
    <w:p>
      <w:pPr>
        <w:pStyle w:val="231"/>
        <w:rPr>
          <w:rFonts w:hAnsi="宋体"/>
        </w:rPr>
      </w:pPr>
      <w:r>
        <w:rPr>
          <w:rFonts w:hint="eastAsia" w:hAnsi="宋体"/>
        </w:rPr>
        <w:t>预估能源成本按照公式（</w:t>
      </w:r>
      <w:r>
        <w:rPr>
          <w:rFonts w:hAnsi="宋体"/>
        </w:rPr>
        <w:t>1</w:t>
      </w:r>
      <w:r>
        <w:rPr>
          <w:rFonts w:hint="eastAsia" w:hAnsi="宋体"/>
        </w:rPr>
        <w:t>）计算，数据应圆整（四舍五入）至小数点后两位：</w:t>
      </w:r>
    </w:p>
    <w:p>
      <w:pPr>
        <w:pStyle w:val="115"/>
      </w:pPr>
      <w:r>
        <w:tab/>
      </w:r>
      <w:r>
        <w:rPr>
          <w:rFonts w:ascii="微软雅黑" w:hAnsi="微软雅黑" w:eastAsia="微软雅黑"/>
          <w:position w:val="-10"/>
        </w:rPr>
        <w:object>
          <v:shape id="_x0000_i1025" o:spt="75" type="#_x0000_t75" style="height:13.75pt;width:43.3pt;" o:ole="t" filled="f" o:preferrelative="t" stroked="f" coordsize="21600,21600">
            <v:path/>
            <v:fill on="f" focussize="0,0"/>
            <v:stroke on="f" joinstyle="miter"/>
            <v:imagedata r:id="rId15" o:title=""/>
            <o:lock v:ext="edit" aspectratio="f"/>
            <w10:wrap type="none"/>
            <w10:anchorlock/>
          </v:shape>
          <o:OLEObject Type="Embed" ProgID="Equation.DSMT4" ShapeID="_x0000_i1025" DrawAspect="Content" ObjectID="_1468075725" r:id="rId14">
            <o:LockedField>false</o:LockedField>
          </o:OLEObject>
        </w:object>
      </w:r>
      <w:r>
        <w:rPr>
          <w:rFonts w:ascii="微软雅黑" w:hAnsi="微软雅黑" w:eastAsia="微软雅黑"/>
        </w:rPr>
        <w:tab/>
      </w:r>
      <w:r>
        <w:t>(</w:t>
      </w:r>
      <w:r>
        <w:fldChar w:fldCharType="begin"/>
      </w:r>
      <w:r>
        <w:instrText xml:space="preserve"> AUTONUM </w:instrText>
      </w:r>
      <w:r>
        <w:fldChar w:fldCharType="end"/>
      </w:r>
      <w:r>
        <w:t>)</w:t>
      </w:r>
    </w:p>
    <w:p>
      <w:pPr>
        <w:pStyle w:val="57"/>
        <w:adjustRightInd/>
        <w:snapToGrid/>
        <w:spacing w:line="240" w:lineRule="auto"/>
        <w:ind w:firstLine="420"/>
      </w:pPr>
      <w:r>
        <w:rPr>
          <w:rFonts w:hint="eastAsia"/>
        </w:rPr>
        <w:t>式中：</w:t>
      </w:r>
    </w:p>
    <w:p>
      <w:pPr>
        <w:adjustRightInd/>
        <w:spacing w:line="240" w:lineRule="auto"/>
        <w:ind w:firstLine="420" w:firstLineChars="200"/>
        <w:rPr>
          <w:rFonts w:ascii="宋体" w:hAnsi="宋体"/>
        </w:rPr>
      </w:pPr>
      <w:r>
        <w:rPr>
          <w:rFonts w:hint="eastAsia" w:ascii="Times New Roman" w:hAnsi="Times New Roman"/>
          <w:position w:val="-10"/>
        </w:rPr>
        <w:object>
          <v:shape id="_x0000_i1026" o:spt="75" type="#_x0000_t75" style="height:13.75pt;width:13.3pt;" o:ole="t" filled="f" o:preferrelative="t" stroked="f" coordsize="21600,21600">
            <v:path/>
            <v:fill on="f" focussize="0,0"/>
            <v:stroke on="f" joinstyle="miter"/>
            <v:imagedata r:id="rId17" o:title=""/>
            <o:lock v:ext="edit" aspectratio="f"/>
            <w10:wrap type="none"/>
            <w10:anchorlock/>
          </v:shape>
          <o:OLEObject Type="Embed" ProgID="Equation.DSMT4" ShapeID="_x0000_i1026" DrawAspect="Content" ObjectID="_1468075726" r:id="rId16">
            <o:LockedField>false</o:LockedField>
          </o:OLEObject>
        </w:object>
      </w:r>
      <w:r>
        <w:rPr>
          <w:rFonts w:hint="eastAsia" w:ascii="Times New Roman" w:hAnsi="Times New Roman"/>
        </w:rPr>
        <w:t xml:space="preserve"> </w:t>
      </w:r>
      <w:r>
        <w:rPr>
          <w:rFonts w:ascii="Times New Roman" w:hAnsi="Times New Roman"/>
        </w:rPr>
        <w:t xml:space="preserve">  ——</w:t>
      </w:r>
      <w:r>
        <w:rPr>
          <w:rFonts w:hint="eastAsia" w:ascii="宋体" w:hAnsi="宋体"/>
          <w:kern w:val="0"/>
        </w:rPr>
        <w:t>预估</w:t>
      </w:r>
      <w:r>
        <w:rPr>
          <w:rFonts w:hint="eastAsia" w:ascii="宋体" w:hAnsi="宋体"/>
        </w:rPr>
        <w:t>能源成本，单位为元/</w:t>
      </w:r>
      <w:r>
        <w:rPr>
          <w:rFonts w:hint="eastAsia" w:ascii="宋体" w:hAnsi="宋体"/>
          <w:kern w:val="0"/>
        </w:rPr>
        <w:t>百千米</w:t>
      </w:r>
      <w:r>
        <w:rPr>
          <w:rFonts w:hint="eastAsia" w:ascii="宋体" w:hAnsi="宋体"/>
        </w:rPr>
        <w:t>；</w:t>
      </w:r>
    </w:p>
    <w:p>
      <w:pPr>
        <w:adjustRightInd/>
        <w:spacing w:line="240" w:lineRule="auto"/>
        <w:ind w:firstLine="420" w:firstLineChars="200"/>
        <w:rPr>
          <w:rFonts w:ascii="宋体" w:hAnsi="宋体"/>
        </w:rPr>
      </w:pPr>
      <w:r>
        <w:rPr>
          <w:rFonts w:hint="eastAsia" w:ascii="Times New Roman" w:hAnsi="Times New Roman"/>
          <w:position w:val="-10"/>
        </w:rPr>
        <w:object>
          <v:shape id="_x0000_i1027" o:spt="75" type="#_x0000_t75" style="height:13.75pt;width:11.65pt;" o:ole="t" filled="f" o:preferrelative="t" stroked="f" coordsize="21600,21600">
            <v:path/>
            <v:fill on="f" focussize="0,0"/>
            <v:stroke on="f" joinstyle="miter"/>
            <v:imagedata r:id="rId19" o:title=""/>
            <o:lock v:ext="edit" aspectratio="f"/>
            <w10:wrap type="none"/>
            <w10:anchorlock/>
          </v:shape>
          <o:OLEObject Type="Embed" ProgID="Equation.DSMT4" ShapeID="_x0000_i1027" DrawAspect="Content" ObjectID="_1468075727" r:id="rId18">
            <o:LockedField>false</o:LockedField>
          </o:OLEObject>
        </w:object>
      </w:r>
      <w:r>
        <w:rPr>
          <w:rFonts w:hint="eastAsia" w:ascii="Times New Roman" w:hAnsi="Times New Roman"/>
        </w:rPr>
        <w:t xml:space="preserve"> </w:t>
      </w:r>
      <w:r>
        <w:rPr>
          <w:rFonts w:ascii="Times New Roman" w:hAnsi="Times New Roman"/>
        </w:rPr>
        <w:t xml:space="preserve"> </w:t>
      </w:r>
      <w:r>
        <w:rPr>
          <w:rFonts w:ascii="Times New Roman" w:hAnsi="Times New Roman"/>
          <w:sz w:val="24"/>
          <w:szCs w:val="24"/>
        </w:rPr>
        <w:t xml:space="preserve"> </w:t>
      </w:r>
      <w:r>
        <w:rPr>
          <w:rFonts w:ascii="Times New Roman" w:hAnsi="Times New Roman"/>
        </w:rPr>
        <w:t>——</w:t>
      </w:r>
      <w:r>
        <w:rPr>
          <w:rFonts w:hint="eastAsia" w:ascii="宋体" w:hAnsi="宋体"/>
        </w:rPr>
        <w:t>对汽油、柴油、两用燃料及双燃料汽车，</w:t>
      </w:r>
      <w:r>
        <w:rPr>
          <w:rFonts w:hint="eastAsia" w:ascii="Times New Roman" w:hAnsi="Times New Roman"/>
        </w:rPr>
        <w:t>指按</w:t>
      </w:r>
      <w:r>
        <w:rPr>
          <w:rFonts w:hint="eastAsia" w:ascii="宋体" w:hAnsi="宋体"/>
        </w:rPr>
        <w:t>GB/T 19233—2</w:t>
      </w:r>
      <w:r>
        <w:rPr>
          <w:rFonts w:ascii="宋体" w:hAnsi="宋体"/>
        </w:rPr>
        <w:t>020</w:t>
      </w:r>
      <w:r>
        <w:rPr>
          <w:rFonts w:hint="eastAsia" w:ascii="宋体" w:hAnsi="宋体"/>
        </w:rPr>
        <w:t>测定的综合</w:t>
      </w:r>
      <w:r>
        <w:rPr>
          <w:rFonts w:hint="eastAsia" w:ascii="Times New Roman" w:hAnsi="Times New Roman"/>
        </w:rPr>
        <w:t>燃料</w:t>
      </w:r>
      <w:r>
        <w:rPr>
          <w:rFonts w:hint="eastAsia" w:ascii="宋体" w:hAnsi="宋体"/>
        </w:rPr>
        <w:t>消耗量型式认证值，单位为</w:t>
      </w:r>
      <w:r>
        <w:rPr>
          <w:rFonts w:ascii="宋体" w:hAnsi="宋体"/>
        </w:rPr>
        <w:t>L/</w:t>
      </w:r>
      <w:r>
        <w:rPr>
          <w:rFonts w:hint="eastAsia" w:ascii="宋体" w:hAnsi="宋体"/>
        </w:rPr>
        <w:t>100</w:t>
      </w:r>
      <w:r>
        <w:rPr>
          <w:rFonts w:ascii="宋体" w:hAnsi="宋体"/>
        </w:rPr>
        <w:t xml:space="preserve"> km</w:t>
      </w:r>
      <w:r>
        <w:rPr>
          <w:rFonts w:hint="eastAsia" w:ascii="宋体" w:hAnsi="宋体"/>
        </w:rPr>
        <w:t>；对不可外接充电式混合动力汽车，</w:t>
      </w:r>
      <w:r>
        <w:rPr>
          <w:rFonts w:hint="eastAsia" w:ascii="Times New Roman" w:hAnsi="Times New Roman"/>
        </w:rPr>
        <w:t>指按</w:t>
      </w:r>
      <w:r>
        <w:rPr>
          <w:rFonts w:hint="eastAsia" w:ascii="宋体" w:hAnsi="宋体"/>
        </w:rPr>
        <w:t>GB/T 19753—2</w:t>
      </w:r>
      <w:r>
        <w:rPr>
          <w:rFonts w:ascii="宋体" w:hAnsi="宋体"/>
        </w:rPr>
        <w:t>021</w:t>
      </w:r>
      <w:r>
        <w:rPr>
          <w:rFonts w:hint="eastAsia" w:ascii="宋体" w:hAnsi="宋体"/>
        </w:rPr>
        <w:t>测定的“N</w:t>
      </w:r>
      <w:r>
        <w:rPr>
          <w:rFonts w:ascii="宋体" w:hAnsi="宋体"/>
        </w:rPr>
        <w:t>OVC-HEV</w:t>
      </w:r>
      <w:r>
        <w:rPr>
          <w:rFonts w:hint="eastAsia" w:ascii="宋体" w:hAnsi="宋体"/>
        </w:rPr>
        <w:t>燃料消耗量”型式认证值；</w:t>
      </w:r>
    </w:p>
    <w:p>
      <w:pPr>
        <w:adjustRightInd/>
        <w:spacing w:line="240" w:lineRule="auto"/>
        <w:ind w:firstLine="420" w:firstLineChars="200"/>
        <w:rPr>
          <w:rFonts w:ascii="Times New Roman" w:hAnsi="Times New Roman"/>
        </w:rPr>
      </w:pPr>
      <w:r>
        <w:rPr>
          <w:rFonts w:hint="eastAsia" w:ascii="Times New Roman" w:hAnsi="Times New Roman"/>
          <w:position w:val="-10"/>
        </w:rPr>
        <w:object>
          <v:shape id="_x0000_i1028" o:spt="75" type="#_x0000_t75" style="height:13.75pt;width:11.25pt;" o:ole="t" filled="f" o:preferrelative="t" stroked="f" coordsize="21600,21600">
            <v:path/>
            <v:fill on="f" focussize="0,0"/>
            <v:stroke on="f" joinstyle="miter"/>
            <v:imagedata r:id="rId21" o:title=""/>
            <o:lock v:ext="edit" aspectratio="f"/>
            <w10:wrap type="none"/>
            <w10:anchorlock/>
          </v:shape>
          <o:OLEObject Type="Embed" ProgID="Equation.DSMT4" ShapeID="_x0000_i1028" DrawAspect="Content" ObjectID="_1468075728" r:id="rId20">
            <o:LockedField>false</o:LockedField>
          </o:OLEObject>
        </w:object>
      </w:r>
      <w:r>
        <w:rPr>
          <w:rFonts w:hint="eastAsia" w:ascii="Times New Roman" w:hAnsi="Times New Roman"/>
        </w:rPr>
        <w:t xml:space="preserve"> </w:t>
      </w:r>
      <w:r>
        <w:rPr>
          <w:rFonts w:ascii="Times New Roman" w:hAnsi="Times New Roman"/>
        </w:rPr>
        <w:t xml:space="preserve"> </w:t>
      </w:r>
      <w:r>
        <w:rPr>
          <w:rFonts w:ascii="Times New Roman" w:hAnsi="Times New Roman"/>
          <w:sz w:val="24"/>
          <w:szCs w:val="24"/>
        </w:rPr>
        <w:t xml:space="preserve"> </w:t>
      </w:r>
      <w:r>
        <w:rPr>
          <w:rFonts w:ascii="Times New Roman" w:hAnsi="Times New Roman"/>
        </w:rPr>
        <w:t>——</w:t>
      </w:r>
      <w:r>
        <w:rPr>
          <w:rFonts w:hint="eastAsia" w:ascii="宋体" w:hAnsi="宋体"/>
          <w:kern w:val="0"/>
        </w:rPr>
        <w:t>预估</w:t>
      </w:r>
      <w:r>
        <w:rPr>
          <w:rFonts w:hint="eastAsia" w:ascii="Times New Roman" w:hAnsi="Times New Roman"/>
        </w:rPr>
        <w:t>燃料价格</w:t>
      </w:r>
      <w:bookmarkStart w:id="58" w:name="_Hlk75236281"/>
      <w:r>
        <w:rPr>
          <w:rFonts w:hint="eastAsia" w:ascii="Times New Roman" w:hAnsi="Times New Roman"/>
        </w:rPr>
        <w:t>，汽油取</w:t>
      </w:r>
      <w:r>
        <w:rPr>
          <w:rFonts w:ascii="宋体" w:hAnsi="宋体"/>
          <w:kern w:val="0"/>
        </w:rPr>
        <w:t>7.00</w:t>
      </w:r>
      <w:r>
        <w:rPr>
          <w:rStyle w:val="35"/>
        </w:rPr>
        <w:footnoteReference w:id="1"/>
      </w:r>
      <w:r>
        <w:rPr>
          <w:rFonts w:ascii="宋体" w:hAnsi="宋体"/>
          <w:vertAlign w:val="superscript"/>
        </w:rPr>
        <w:t>)</w:t>
      </w:r>
      <w:r>
        <w:rPr>
          <w:rFonts w:hint="eastAsia" w:ascii="Times New Roman" w:hAnsi="Times New Roman"/>
        </w:rPr>
        <w:t>，柴油取</w:t>
      </w:r>
      <w:r>
        <w:rPr>
          <w:rFonts w:ascii="宋体" w:hAnsi="宋体"/>
          <w:kern w:val="0"/>
        </w:rPr>
        <w:t>6</w:t>
      </w:r>
      <w:r>
        <w:rPr>
          <w:rFonts w:hint="eastAsia" w:ascii="宋体" w:hAnsi="宋体"/>
          <w:kern w:val="0"/>
        </w:rPr>
        <w:t>.</w:t>
      </w:r>
      <w:r>
        <w:rPr>
          <w:rFonts w:ascii="宋体" w:hAnsi="宋体"/>
          <w:kern w:val="0"/>
        </w:rPr>
        <w:t>40</w:t>
      </w:r>
      <w:r>
        <w:rPr>
          <w:rFonts w:ascii="宋体" w:hAnsi="宋体"/>
          <w:vertAlign w:val="superscript"/>
        </w:rPr>
        <w:t>2</w:t>
      </w:r>
      <w:r>
        <w:rPr>
          <w:rFonts w:hint="eastAsia" w:ascii="宋体" w:hAnsi="宋体"/>
          <w:vertAlign w:val="superscript"/>
        </w:rPr>
        <w:t>）</w:t>
      </w:r>
      <w:r>
        <w:rPr>
          <w:rFonts w:hint="eastAsia" w:ascii="宋体" w:hAnsi="宋体"/>
        </w:rPr>
        <w:t>，</w:t>
      </w:r>
      <w:bookmarkEnd w:id="58"/>
      <w:r>
        <w:rPr>
          <w:rFonts w:hint="eastAsia" w:ascii="Times New Roman" w:hAnsi="Times New Roman"/>
        </w:rPr>
        <w:t>单位为元</w:t>
      </w:r>
      <w:r>
        <w:rPr>
          <w:rFonts w:hint="eastAsia" w:ascii="宋体" w:hAnsi="宋体"/>
        </w:rPr>
        <w:t>/升</w:t>
      </w:r>
      <w:r>
        <w:rPr>
          <w:rFonts w:hint="eastAsia" w:ascii="Times New Roman" w:hAnsi="Times New Roman"/>
        </w:rPr>
        <w:t>。</w:t>
      </w:r>
    </w:p>
    <w:p>
      <w:pPr>
        <w:pStyle w:val="107"/>
        <w:spacing w:before="156" w:after="156"/>
      </w:pPr>
      <w:r>
        <w:rPr>
          <w:rFonts w:hint="eastAsia"/>
        </w:rPr>
        <w:t>C</w:t>
      </w:r>
      <w:r>
        <w:t>O</w:t>
      </w:r>
      <w:r>
        <w:rPr>
          <w:vertAlign w:val="subscript"/>
        </w:rPr>
        <w:t>2</w:t>
      </w:r>
      <w:r>
        <w:rPr>
          <w:rFonts w:hint="eastAsia"/>
        </w:rPr>
        <w:t>排放量</w:t>
      </w:r>
    </w:p>
    <w:p>
      <w:pPr>
        <w:pStyle w:val="58"/>
        <w:ind w:firstLine="420"/>
      </w:pPr>
      <w:bookmarkStart w:id="59" w:name="_Hlk70544265"/>
      <w:r>
        <w:rPr>
          <w:rFonts w:hint="eastAsia"/>
        </w:rPr>
        <w:t>C</w:t>
      </w:r>
      <w:r>
        <w:t>O</w:t>
      </w:r>
      <w:r>
        <w:rPr>
          <w:vertAlign w:val="subscript"/>
        </w:rPr>
        <w:t>2</w:t>
      </w:r>
      <w:r>
        <w:rPr>
          <w:rFonts w:hint="eastAsia"/>
        </w:rPr>
        <w:t>排放量数据是指按照</w:t>
      </w:r>
      <w:r>
        <w:t>GB/T 19233</w:t>
      </w:r>
      <w:r>
        <w:rPr>
          <w:rFonts w:hint="eastAsia"/>
        </w:rPr>
        <w:t>—2</w:t>
      </w:r>
      <w:r>
        <w:t>020</w:t>
      </w:r>
      <w:r>
        <w:rPr>
          <w:rFonts w:hint="eastAsia"/>
        </w:rPr>
        <w:t>中4</w:t>
      </w:r>
      <w:r>
        <w:t>.3</w:t>
      </w:r>
      <w:r>
        <w:rPr>
          <w:rFonts w:hint="eastAsia"/>
        </w:rPr>
        <w:t>规定的试验循环，并按照GB 1</w:t>
      </w:r>
      <w:r>
        <w:t>8352.6</w:t>
      </w:r>
      <w:r>
        <w:rPr>
          <w:rFonts w:hint="eastAsia"/>
        </w:rPr>
        <w:t>—2</w:t>
      </w:r>
      <w:r>
        <w:t>016</w:t>
      </w:r>
      <w:r>
        <w:rPr>
          <w:rFonts w:hint="eastAsia"/>
        </w:rPr>
        <w:t>附录C或附录R要求测定的综合C</w:t>
      </w:r>
      <w:r>
        <w:t>O</w:t>
      </w:r>
      <w:r>
        <w:rPr>
          <w:vertAlign w:val="subscript"/>
        </w:rPr>
        <w:t>2</w:t>
      </w:r>
      <w:r>
        <w:rPr>
          <w:rFonts w:hint="eastAsia"/>
        </w:rPr>
        <w:t>排放量，数据</w:t>
      </w:r>
      <w:r>
        <w:rPr>
          <w:rFonts w:hint="eastAsia" w:hAnsi="宋体"/>
        </w:rPr>
        <w:t>应</w:t>
      </w:r>
      <w:r>
        <w:rPr>
          <w:rFonts w:hint="eastAsia"/>
        </w:rPr>
        <w:t>圆整（四舍五入）至整数位。</w:t>
      </w:r>
    </w:p>
    <w:bookmarkEnd w:id="59"/>
    <w:p>
      <w:pPr>
        <w:pStyle w:val="106"/>
        <w:spacing w:before="312" w:after="312"/>
      </w:pPr>
      <w:bookmarkStart w:id="60" w:name="_Toc62723380"/>
      <w:r>
        <w:rPr>
          <w:rFonts w:hint="eastAsia"/>
        </w:rPr>
        <w:t>标识要求</w:t>
      </w:r>
      <w:bookmarkEnd w:id="60"/>
    </w:p>
    <w:p>
      <w:pPr>
        <w:pStyle w:val="107"/>
        <w:spacing w:before="156" w:after="156"/>
      </w:pPr>
      <w:bookmarkStart w:id="61" w:name="_Toc62723381"/>
      <w:r>
        <w:rPr>
          <w:rFonts w:hint="eastAsia"/>
        </w:rPr>
        <w:t>功能区划分</w:t>
      </w:r>
      <w:bookmarkEnd w:id="61"/>
    </w:p>
    <w:p>
      <w:pPr>
        <w:pStyle w:val="67"/>
        <w:spacing w:before="156" w:after="156"/>
      </w:pPr>
      <w:r>
        <w:rPr>
          <w:rFonts w:hint="eastAsia"/>
        </w:rPr>
        <w:t>概述</w:t>
      </w:r>
    </w:p>
    <w:p>
      <w:pPr>
        <w:pStyle w:val="58"/>
        <w:ind w:firstLine="420"/>
        <w:rPr>
          <w:szCs w:val="21"/>
        </w:rPr>
      </w:pPr>
      <w:r>
        <w:rPr>
          <w:rFonts w:hint="eastAsia"/>
        </w:rPr>
        <w:t>标识由“标题区”“信息区”“说明区”和“附加信息区”四个功能区组成，见图</w:t>
      </w:r>
      <w:r>
        <w:t>B</w:t>
      </w:r>
      <w:r>
        <w:rPr>
          <w:rFonts w:hint="eastAsia"/>
        </w:rPr>
        <w:t>.1</w:t>
      </w:r>
      <w:r>
        <w:rPr>
          <w:rFonts w:ascii="Times New Roman"/>
        </w:rPr>
        <w:t>~</w:t>
      </w:r>
      <w:r>
        <w:rPr>
          <w:rFonts w:hint="eastAsia"/>
        </w:rPr>
        <w:t>图B</w:t>
      </w:r>
      <w:r>
        <w:t>.3</w:t>
      </w:r>
      <w:r>
        <w:rPr>
          <w:rFonts w:hint="eastAsia"/>
        </w:rPr>
        <w:t>。</w:t>
      </w:r>
    </w:p>
    <w:p>
      <w:pPr>
        <w:pStyle w:val="67"/>
        <w:spacing w:before="156" w:after="156"/>
      </w:pPr>
      <w:r>
        <w:rPr>
          <w:rFonts w:hint="eastAsia"/>
        </w:rPr>
        <w:t>标题区</w:t>
      </w:r>
    </w:p>
    <w:p>
      <w:pPr>
        <w:pStyle w:val="58"/>
        <w:ind w:firstLine="420"/>
      </w:pPr>
      <w:r>
        <w:rPr>
          <w:rFonts w:hint="eastAsia"/>
        </w:rPr>
        <w:t>“标题区”位于标识顶端，左侧为“企业标志”，右侧为“标识名称”。“标识名称”为“汽车能源消耗量标识”，对应英文为大写的“AUTOMOBILE ENERGY CONSUMPTION LABEL”，采用中文居上、英文居下的方式排列。</w:t>
      </w:r>
    </w:p>
    <w:p>
      <w:pPr>
        <w:pStyle w:val="67"/>
        <w:spacing w:before="156" w:after="156"/>
      </w:pPr>
      <w:r>
        <w:rPr>
          <w:rFonts w:hint="eastAsia"/>
        </w:rPr>
        <w:t>信息区</w:t>
      </w:r>
    </w:p>
    <w:p>
      <w:pPr>
        <w:pStyle w:val="166"/>
      </w:pPr>
      <w:r>
        <w:rPr>
          <w:rFonts w:hint="eastAsia"/>
        </w:rPr>
        <w:t>“信息区”分为“车型基本信息区”和“能耗信息区”两部分。“车型基本信息区”位于信息区的上部，“能耗信息区”位于信息区的下部，是标识的核心部分。燃料消耗量、预估能源成本、C</w:t>
      </w:r>
      <w:r>
        <w:t>O</w:t>
      </w:r>
      <w:r>
        <w:rPr>
          <w:vertAlign w:val="subscript"/>
        </w:rPr>
        <w:t>2</w:t>
      </w:r>
      <w:r>
        <w:rPr>
          <w:rFonts w:hint="eastAsia"/>
        </w:rPr>
        <w:t>排放量信息位于“能耗信息区”的上部，与限值比较信息位于“能耗信息区”的中部，连续比较信息位于“能耗信息区”的下部。</w:t>
      </w:r>
    </w:p>
    <w:p>
      <w:pPr>
        <w:pStyle w:val="166"/>
      </w:pPr>
      <w:r>
        <w:rPr>
          <w:rFonts w:hint="eastAsia"/>
        </w:rPr>
        <w:t>“车型基本信息”包括：生产企业、车辆型号、发动机型号、能源种类、排量、最大净功率、变速器类型、驱动型式、整车整备质量、最大设计总质量以及企业需要说明的、与燃料消耗量相关的其他信息。如无其他信息提供，可删除“其他信息”四个字。</w:t>
      </w:r>
    </w:p>
    <w:p>
      <w:pPr>
        <w:pStyle w:val="166"/>
        <w:rPr>
          <w:szCs w:val="21"/>
        </w:rPr>
      </w:pPr>
      <w:r>
        <w:rPr>
          <w:rFonts w:hint="eastAsia"/>
        </w:rPr>
        <w:t>“能耗信息”包括燃料消耗量、预估能源成本、C</w:t>
      </w:r>
      <w:r>
        <w:t>O</w:t>
      </w:r>
      <w:r>
        <w:rPr>
          <w:vertAlign w:val="subscript"/>
        </w:rPr>
        <w:t>2</w:t>
      </w:r>
      <w:r>
        <w:rPr>
          <w:rFonts w:hint="eastAsia"/>
        </w:rPr>
        <w:t>排放量信息、与限值比较和连续比较信息。</w:t>
      </w:r>
    </w:p>
    <w:p>
      <w:pPr>
        <w:pStyle w:val="176"/>
        <w:numPr>
          <w:ilvl w:val="0"/>
          <w:numId w:val="13"/>
        </w:numPr>
      </w:pPr>
      <w:r>
        <w:rPr>
          <w:rFonts w:hint="eastAsia"/>
        </w:rPr>
        <w:t>燃料消耗量信息</w:t>
      </w:r>
    </w:p>
    <w:p>
      <w:pPr>
        <w:pStyle w:val="231"/>
        <w:rPr>
          <w:rFonts w:hAnsi="宋体"/>
        </w:rPr>
      </w:pPr>
      <w:bookmarkStart w:id="62" w:name="_Hlk76037465"/>
      <w:r>
        <w:rPr>
          <w:rFonts w:hint="eastAsia" w:hAnsi="宋体"/>
        </w:rPr>
        <w:t>燃料消耗量信息包括燃料消耗量基本信息和燃料消耗量扩展信息，燃料消耗量基本信息位于点划线上方，包括综合燃料消耗量和低速、中速、高速、超高速</w:t>
      </w:r>
      <w:r>
        <w:rPr>
          <w:rStyle w:val="35"/>
        </w:rPr>
        <w:footnoteReference w:id="2"/>
      </w:r>
      <w:r>
        <w:rPr>
          <w:rStyle w:val="35"/>
        </w:rPr>
        <w:t>)</w:t>
      </w:r>
      <w:r>
        <w:rPr>
          <w:rFonts w:hint="eastAsia" w:hAnsi="宋体"/>
        </w:rPr>
        <w:t>段燃料消耗量；燃料消耗量扩展信息位于点划线下方，具有不同特殊场景下燃料消耗量试验结果的车辆应包括的燃料消耗量扩展信息见表1。</w:t>
      </w:r>
      <w:bookmarkEnd w:id="62"/>
      <w:r>
        <w:rPr>
          <w:rFonts w:hint="eastAsia" w:hAnsi="宋体"/>
        </w:rPr>
        <w:t>燃料消耗量信息标注格式见示例1。</w:t>
      </w:r>
    </w:p>
    <w:p>
      <w:pPr>
        <w:pStyle w:val="114"/>
        <w:spacing w:before="156" w:after="156"/>
      </w:pPr>
      <w:bookmarkStart w:id="63" w:name="_Hlk76039160"/>
      <w:r>
        <w:rPr>
          <w:rFonts w:hint="eastAsia" w:hAnsi="宋体"/>
        </w:rPr>
        <w:t>具有不同特殊场景下燃料消耗量试验结果的车辆应包括的燃料消耗量扩展信息</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83"/>
        <w:gridCol w:w="2409"/>
        <w:gridCol w:w="59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983" w:type="dxa"/>
            <w:tcBorders>
              <w:top w:val="single" w:color="auto" w:sz="8" w:space="0"/>
              <w:bottom w:val="single" w:color="auto" w:sz="8" w:space="0"/>
            </w:tcBorders>
            <w:shd w:val="clear" w:color="auto" w:fill="auto"/>
            <w:vAlign w:val="center"/>
          </w:tcPr>
          <w:p>
            <w:pPr>
              <w:pStyle w:val="180"/>
            </w:pPr>
            <w:r>
              <w:rPr>
                <w:rFonts w:hint="eastAsia" w:hAnsi="宋体"/>
                <w:b/>
                <w:bCs/>
                <w:szCs w:val="18"/>
              </w:rPr>
              <w:t>序号</w:t>
            </w:r>
          </w:p>
        </w:tc>
        <w:tc>
          <w:tcPr>
            <w:tcW w:w="2409" w:type="dxa"/>
            <w:tcBorders>
              <w:top w:val="single" w:color="auto" w:sz="8" w:space="0"/>
              <w:bottom w:val="single" w:color="auto" w:sz="8" w:space="0"/>
            </w:tcBorders>
            <w:shd w:val="clear" w:color="auto" w:fill="auto"/>
            <w:vAlign w:val="center"/>
          </w:tcPr>
          <w:p>
            <w:pPr>
              <w:pStyle w:val="180"/>
            </w:pPr>
            <w:r>
              <w:rPr>
                <w:rFonts w:hint="eastAsia" w:hAnsi="宋体"/>
                <w:b/>
                <w:bCs/>
                <w:szCs w:val="18"/>
              </w:rPr>
              <w:t>特殊场景试验结果</w:t>
            </w:r>
          </w:p>
        </w:tc>
        <w:tc>
          <w:tcPr>
            <w:tcW w:w="5942" w:type="dxa"/>
            <w:tcBorders>
              <w:top w:val="single" w:color="auto" w:sz="8" w:space="0"/>
              <w:bottom w:val="single" w:color="auto" w:sz="8" w:space="0"/>
            </w:tcBorders>
            <w:shd w:val="clear" w:color="auto" w:fill="auto"/>
            <w:vAlign w:val="center"/>
          </w:tcPr>
          <w:p>
            <w:pPr>
              <w:pStyle w:val="180"/>
            </w:pPr>
            <w:r>
              <w:rPr>
                <w:rFonts w:hint="eastAsia" w:hAnsi="宋体"/>
                <w:b/>
                <w:bCs/>
                <w:szCs w:val="18"/>
              </w:rPr>
              <w:t>燃料消耗量扩展信息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3"/>
            <w:tcBorders>
              <w:top w:val="single" w:color="auto" w:sz="8" w:space="0"/>
            </w:tcBorders>
            <w:shd w:val="clear" w:color="auto" w:fill="auto"/>
            <w:vAlign w:val="center"/>
          </w:tcPr>
          <w:p>
            <w:pPr>
              <w:pStyle w:val="180"/>
              <w:rPr>
                <w:rFonts w:hAnsi="宋体"/>
                <w:szCs w:val="18"/>
              </w:rPr>
            </w:pPr>
            <w:r>
              <w:rPr>
                <w:rFonts w:hint="eastAsia" w:hAnsi="宋体"/>
                <w:szCs w:val="18"/>
              </w:rPr>
              <w:t>安装空调车型</w:t>
            </w:r>
          </w:p>
        </w:tc>
      </w:tr>
    </w:tbl>
    <w:p>
      <w:pPr>
        <w:pStyle w:val="114"/>
        <w:numPr>
          <w:ilvl w:val="0"/>
          <w:numId w:val="0"/>
        </w:numPr>
        <w:spacing w:before="156" w:after="156"/>
        <w:rPr>
          <w:rFonts w:hAnsi="宋体"/>
        </w:rPr>
      </w:pPr>
      <w:r>
        <w:rPr>
          <w:rFonts w:hint="eastAsia" w:hAnsi="宋体"/>
        </w:rPr>
        <w:t>表</w:t>
      </w:r>
      <w:r>
        <w:rPr>
          <w:rFonts w:hAnsi="宋体"/>
        </w:rPr>
        <w:t>1</w:t>
      </w:r>
      <w:r>
        <w:rPr>
          <w:rFonts w:hint="eastAsia" w:hAnsi="宋体"/>
        </w:rPr>
        <w:t>　具有不同特殊场景下燃料消耗量试验结果的车辆应包括的燃料消耗量扩展信息（续）</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83"/>
        <w:gridCol w:w="2409"/>
        <w:gridCol w:w="59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tcBorders>
              <w:top w:val="single" w:color="auto" w:sz="8" w:space="0"/>
            </w:tcBorders>
            <w:shd w:val="clear" w:color="auto" w:fill="auto"/>
            <w:vAlign w:val="center"/>
          </w:tcPr>
          <w:p>
            <w:pPr>
              <w:pStyle w:val="180"/>
              <w:rPr>
                <w:rFonts w:hAnsi="宋体"/>
                <w:szCs w:val="18"/>
              </w:rPr>
            </w:pPr>
            <w:r>
              <w:rPr>
                <w:rFonts w:hint="eastAsia" w:hAnsi="宋体"/>
                <w:b/>
                <w:bCs/>
                <w:szCs w:val="18"/>
              </w:rPr>
              <w:t>序号</w:t>
            </w:r>
          </w:p>
        </w:tc>
        <w:tc>
          <w:tcPr>
            <w:tcW w:w="2409" w:type="dxa"/>
            <w:tcBorders>
              <w:top w:val="single" w:color="auto" w:sz="8" w:space="0"/>
            </w:tcBorders>
            <w:shd w:val="clear" w:color="auto" w:fill="auto"/>
            <w:vAlign w:val="center"/>
          </w:tcPr>
          <w:p>
            <w:pPr>
              <w:pStyle w:val="180"/>
              <w:rPr>
                <w:rFonts w:hAnsi="宋体"/>
                <w:szCs w:val="18"/>
              </w:rPr>
            </w:pPr>
            <w:r>
              <w:rPr>
                <w:rFonts w:hint="eastAsia" w:hAnsi="宋体"/>
                <w:b/>
                <w:bCs/>
                <w:szCs w:val="18"/>
              </w:rPr>
              <w:t>特殊场景试验结果</w:t>
            </w:r>
          </w:p>
        </w:tc>
        <w:tc>
          <w:tcPr>
            <w:tcW w:w="5942" w:type="dxa"/>
            <w:tcBorders>
              <w:top w:val="single" w:color="auto" w:sz="8" w:space="0"/>
            </w:tcBorders>
            <w:shd w:val="clear" w:color="auto" w:fill="auto"/>
            <w:vAlign w:val="center"/>
          </w:tcPr>
          <w:p>
            <w:pPr>
              <w:pStyle w:val="180"/>
              <w:rPr>
                <w:rFonts w:hAnsi="宋体"/>
                <w:szCs w:val="18"/>
              </w:rPr>
            </w:pPr>
            <w:r>
              <w:rPr>
                <w:rFonts w:hint="eastAsia" w:hAnsi="宋体"/>
                <w:b/>
                <w:bCs/>
                <w:szCs w:val="18"/>
              </w:rPr>
              <w:t>燃料消耗量扩展信息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tcBorders>
              <w:top w:val="single" w:color="auto" w:sz="8" w:space="0"/>
            </w:tcBorders>
            <w:shd w:val="clear" w:color="auto" w:fill="auto"/>
            <w:vAlign w:val="center"/>
          </w:tcPr>
          <w:p>
            <w:pPr>
              <w:pStyle w:val="180"/>
            </w:pPr>
            <w:r>
              <w:rPr>
                <w:rFonts w:hint="eastAsia" w:hAnsi="宋体"/>
                <w:szCs w:val="18"/>
              </w:rPr>
              <w:t>1</w:t>
            </w:r>
          </w:p>
        </w:tc>
        <w:tc>
          <w:tcPr>
            <w:tcW w:w="2409" w:type="dxa"/>
            <w:tcBorders>
              <w:top w:val="single" w:color="auto" w:sz="8" w:space="0"/>
            </w:tcBorders>
            <w:shd w:val="clear" w:color="auto" w:fill="auto"/>
            <w:vAlign w:val="center"/>
          </w:tcPr>
          <w:p>
            <w:pPr>
              <w:pStyle w:val="180"/>
            </w:pPr>
            <w:r>
              <w:rPr>
                <w:rFonts w:hint="eastAsia" w:hAnsi="宋体"/>
                <w:szCs w:val="18"/>
              </w:rPr>
              <w:t>开启空调制冷、低温、高海拔</w:t>
            </w:r>
          </w:p>
        </w:tc>
        <w:tc>
          <w:tcPr>
            <w:tcW w:w="5942" w:type="dxa"/>
            <w:tcBorders>
              <w:top w:val="single" w:color="auto" w:sz="8" w:space="0"/>
            </w:tcBorders>
            <w:shd w:val="clear" w:color="auto" w:fill="auto"/>
            <w:vAlign w:val="center"/>
          </w:tcPr>
          <w:p>
            <w:pPr>
              <w:pStyle w:val="180"/>
            </w:pPr>
            <w:r>
              <w:rPr>
                <w:rFonts w:hint="eastAsia" w:hAnsi="宋体"/>
                <w:szCs w:val="18"/>
              </w:rPr>
              <w:t>开启空调制冷、低温环境、高海拔环境燃料消耗量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shd w:val="clear" w:color="auto" w:fill="auto"/>
            <w:vAlign w:val="center"/>
          </w:tcPr>
          <w:p>
            <w:pPr>
              <w:pStyle w:val="180"/>
            </w:pPr>
            <w:r>
              <w:rPr>
                <w:rFonts w:hint="eastAsia" w:hAnsi="宋体"/>
                <w:szCs w:val="18"/>
              </w:rPr>
              <w:t>2</w:t>
            </w:r>
          </w:p>
        </w:tc>
        <w:tc>
          <w:tcPr>
            <w:tcW w:w="2409" w:type="dxa"/>
            <w:shd w:val="clear" w:color="auto" w:fill="auto"/>
            <w:vAlign w:val="center"/>
          </w:tcPr>
          <w:p>
            <w:pPr>
              <w:pStyle w:val="180"/>
            </w:pPr>
            <w:r>
              <w:rPr>
                <w:rFonts w:hint="eastAsia" w:hAnsi="宋体"/>
                <w:szCs w:val="18"/>
              </w:rPr>
              <w:t>开启空调制冷、低温</w:t>
            </w:r>
          </w:p>
        </w:tc>
        <w:tc>
          <w:tcPr>
            <w:tcW w:w="5942" w:type="dxa"/>
            <w:shd w:val="clear" w:color="auto" w:fill="auto"/>
            <w:vAlign w:val="center"/>
          </w:tcPr>
          <w:p>
            <w:pPr>
              <w:pStyle w:val="180"/>
            </w:pPr>
            <w:r>
              <w:rPr>
                <w:rFonts w:hint="eastAsia" w:hAnsi="宋体"/>
                <w:szCs w:val="18"/>
              </w:rPr>
              <w:t>开启空调制冷、低温环境燃料消耗量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shd w:val="clear" w:color="auto" w:fill="auto"/>
            <w:vAlign w:val="center"/>
          </w:tcPr>
          <w:p>
            <w:pPr>
              <w:pStyle w:val="180"/>
            </w:pPr>
            <w:r>
              <w:rPr>
                <w:rFonts w:hint="eastAsia" w:hAnsi="宋体"/>
                <w:szCs w:val="18"/>
              </w:rPr>
              <w:t>3</w:t>
            </w:r>
          </w:p>
        </w:tc>
        <w:tc>
          <w:tcPr>
            <w:tcW w:w="2409" w:type="dxa"/>
            <w:shd w:val="clear" w:color="auto" w:fill="auto"/>
            <w:vAlign w:val="center"/>
          </w:tcPr>
          <w:p>
            <w:pPr>
              <w:pStyle w:val="180"/>
            </w:pPr>
            <w:r>
              <w:rPr>
                <w:rFonts w:hint="eastAsia" w:hAnsi="宋体"/>
                <w:szCs w:val="18"/>
              </w:rPr>
              <w:t>开启空调制冷、高海拔</w:t>
            </w:r>
          </w:p>
        </w:tc>
        <w:tc>
          <w:tcPr>
            <w:tcW w:w="5942" w:type="dxa"/>
            <w:shd w:val="clear" w:color="auto" w:fill="auto"/>
            <w:vAlign w:val="center"/>
          </w:tcPr>
          <w:p>
            <w:pPr>
              <w:pStyle w:val="180"/>
            </w:pPr>
            <w:r>
              <w:rPr>
                <w:rFonts w:hint="eastAsia" w:hAnsi="宋体"/>
                <w:szCs w:val="18"/>
              </w:rPr>
              <w:t>开启空调制冷、高海拔环境燃料消耗量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shd w:val="clear" w:color="auto" w:fill="auto"/>
            <w:vAlign w:val="center"/>
          </w:tcPr>
          <w:p>
            <w:pPr>
              <w:pStyle w:val="180"/>
            </w:pPr>
            <w:r>
              <w:rPr>
                <w:rFonts w:hint="eastAsia" w:hAnsi="宋体"/>
                <w:szCs w:val="18"/>
              </w:rPr>
              <w:t>4</w:t>
            </w:r>
          </w:p>
        </w:tc>
        <w:tc>
          <w:tcPr>
            <w:tcW w:w="2409" w:type="dxa"/>
            <w:shd w:val="clear" w:color="auto" w:fill="auto"/>
            <w:vAlign w:val="center"/>
          </w:tcPr>
          <w:p>
            <w:pPr>
              <w:pStyle w:val="180"/>
            </w:pPr>
            <w:r>
              <w:rPr>
                <w:rFonts w:hint="eastAsia" w:hAnsi="宋体"/>
                <w:szCs w:val="18"/>
              </w:rPr>
              <w:t>开启空调制冷</w:t>
            </w:r>
          </w:p>
        </w:tc>
        <w:tc>
          <w:tcPr>
            <w:tcW w:w="5942" w:type="dxa"/>
            <w:shd w:val="clear" w:color="auto" w:fill="auto"/>
            <w:vAlign w:val="center"/>
          </w:tcPr>
          <w:p>
            <w:pPr>
              <w:pStyle w:val="180"/>
            </w:pPr>
            <w:r>
              <w:rPr>
                <w:rFonts w:hint="eastAsia" w:hAnsi="宋体"/>
                <w:szCs w:val="18"/>
              </w:rPr>
              <w:t>开启空调制冷燃料消耗量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shd w:val="clear" w:color="auto" w:fill="auto"/>
            <w:vAlign w:val="center"/>
          </w:tcPr>
          <w:p>
            <w:pPr>
              <w:pStyle w:val="180"/>
            </w:pPr>
            <w:r>
              <w:rPr>
                <w:rFonts w:hint="eastAsia" w:hAnsi="宋体"/>
                <w:szCs w:val="18"/>
              </w:rPr>
              <w:t>5</w:t>
            </w:r>
          </w:p>
        </w:tc>
        <w:tc>
          <w:tcPr>
            <w:tcW w:w="2409" w:type="dxa"/>
            <w:shd w:val="clear" w:color="auto" w:fill="auto"/>
            <w:vAlign w:val="center"/>
          </w:tcPr>
          <w:p>
            <w:pPr>
              <w:pStyle w:val="180"/>
            </w:pPr>
            <w:r>
              <w:rPr>
                <w:rFonts w:hint="eastAsia" w:hAnsi="宋体"/>
                <w:szCs w:val="18"/>
              </w:rPr>
              <w:t>低温、高海拔</w:t>
            </w:r>
          </w:p>
        </w:tc>
        <w:tc>
          <w:tcPr>
            <w:tcW w:w="5942" w:type="dxa"/>
            <w:shd w:val="clear" w:color="auto" w:fill="auto"/>
            <w:vAlign w:val="center"/>
          </w:tcPr>
          <w:p>
            <w:pPr>
              <w:pStyle w:val="180"/>
            </w:pPr>
            <w:r>
              <w:rPr>
                <w:rFonts w:hint="eastAsia" w:hAnsi="宋体"/>
                <w:szCs w:val="18"/>
              </w:rPr>
              <w:t>开启空调制冷行业平均增加率，低温环境、高海拔环境燃料消耗量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shd w:val="clear" w:color="auto" w:fill="auto"/>
            <w:vAlign w:val="center"/>
          </w:tcPr>
          <w:p>
            <w:pPr>
              <w:pStyle w:val="180"/>
            </w:pPr>
            <w:r>
              <w:rPr>
                <w:rFonts w:hint="eastAsia" w:hAnsi="宋体"/>
                <w:szCs w:val="18"/>
              </w:rPr>
              <w:t>6</w:t>
            </w:r>
          </w:p>
        </w:tc>
        <w:tc>
          <w:tcPr>
            <w:tcW w:w="2409" w:type="dxa"/>
            <w:shd w:val="clear" w:color="auto" w:fill="auto"/>
            <w:vAlign w:val="center"/>
          </w:tcPr>
          <w:p>
            <w:pPr>
              <w:pStyle w:val="180"/>
            </w:pPr>
            <w:r>
              <w:rPr>
                <w:rFonts w:hint="eastAsia" w:hAnsi="宋体"/>
                <w:szCs w:val="18"/>
              </w:rPr>
              <w:t>低温</w:t>
            </w:r>
          </w:p>
        </w:tc>
        <w:tc>
          <w:tcPr>
            <w:tcW w:w="5942" w:type="dxa"/>
            <w:shd w:val="clear" w:color="auto" w:fill="auto"/>
            <w:vAlign w:val="center"/>
          </w:tcPr>
          <w:p>
            <w:pPr>
              <w:pStyle w:val="180"/>
            </w:pPr>
            <w:r>
              <w:rPr>
                <w:rFonts w:hint="eastAsia" w:hAnsi="宋体"/>
                <w:szCs w:val="18"/>
              </w:rPr>
              <w:t>开启空调制冷行业平均增加率、低温环境燃料消耗量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shd w:val="clear" w:color="auto" w:fill="auto"/>
            <w:vAlign w:val="center"/>
          </w:tcPr>
          <w:p>
            <w:pPr>
              <w:pStyle w:val="180"/>
            </w:pPr>
            <w:r>
              <w:rPr>
                <w:rFonts w:hint="eastAsia" w:hAnsi="宋体"/>
                <w:szCs w:val="18"/>
              </w:rPr>
              <w:t>7</w:t>
            </w:r>
          </w:p>
        </w:tc>
        <w:tc>
          <w:tcPr>
            <w:tcW w:w="2409" w:type="dxa"/>
            <w:shd w:val="clear" w:color="auto" w:fill="auto"/>
            <w:vAlign w:val="center"/>
          </w:tcPr>
          <w:p>
            <w:pPr>
              <w:pStyle w:val="180"/>
            </w:pPr>
            <w:r>
              <w:rPr>
                <w:rFonts w:hint="eastAsia" w:hAnsi="宋体"/>
                <w:szCs w:val="18"/>
              </w:rPr>
              <w:t>高海拔</w:t>
            </w:r>
          </w:p>
        </w:tc>
        <w:tc>
          <w:tcPr>
            <w:tcW w:w="5942" w:type="dxa"/>
            <w:shd w:val="clear" w:color="auto" w:fill="auto"/>
            <w:vAlign w:val="center"/>
          </w:tcPr>
          <w:p>
            <w:pPr>
              <w:pStyle w:val="180"/>
            </w:pPr>
            <w:r>
              <w:rPr>
                <w:rFonts w:hint="eastAsia" w:hAnsi="宋体"/>
                <w:szCs w:val="18"/>
              </w:rPr>
              <w:t>开启空调制冷行业平均增加率、高海拔环境燃料消耗量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shd w:val="clear" w:color="auto" w:fill="auto"/>
            <w:vAlign w:val="center"/>
          </w:tcPr>
          <w:p>
            <w:pPr>
              <w:pStyle w:val="180"/>
            </w:pPr>
            <w:r>
              <w:rPr>
                <w:rFonts w:hint="eastAsia" w:hAnsi="宋体"/>
                <w:szCs w:val="18"/>
              </w:rPr>
              <w:t>8</w:t>
            </w:r>
          </w:p>
        </w:tc>
        <w:tc>
          <w:tcPr>
            <w:tcW w:w="2409" w:type="dxa"/>
            <w:shd w:val="clear" w:color="auto" w:fill="auto"/>
            <w:vAlign w:val="center"/>
          </w:tcPr>
          <w:p>
            <w:pPr>
              <w:pStyle w:val="180"/>
            </w:pPr>
            <w:r>
              <w:rPr>
                <w:rFonts w:hint="eastAsia" w:hAnsi="宋体"/>
                <w:szCs w:val="18"/>
              </w:rPr>
              <w:t>无特殊场景试验结果</w:t>
            </w:r>
          </w:p>
        </w:tc>
        <w:tc>
          <w:tcPr>
            <w:tcW w:w="5942" w:type="dxa"/>
            <w:shd w:val="clear" w:color="auto" w:fill="auto"/>
            <w:vAlign w:val="center"/>
          </w:tcPr>
          <w:p>
            <w:pPr>
              <w:pStyle w:val="180"/>
            </w:pPr>
            <w:r>
              <w:rPr>
                <w:rFonts w:hint="eastAsia" w:hAnsi="宋体"/>
                <w:szCs w:val="18"/>
              </w:rPr>
              <w:t>开启空调制冷行业平均增加率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34" w:type="dxa"/>
            <w:gridSpan w:val="3"/>
            <w:shd w:val="clear" w:color="auto" w:fill="auto"/>
            <w:vAlign w:val="center"/>
          </w:tcPr>
          <w:p>
            <w:pPr>
              <w:pStyle w:val="180"/>
              <w:rPr>
                <w:rFonts w:hAnsi="宋体"/>
                <w:szCs w:val="18"/>
              </w:rPr>
            </w:pPr>
            <w:r>
              <w:rPr>
                <w:rFonts w:hint="eastAsia" w:hAnsi="宋体"/>
                <w:szCs w:val="18"/>
              </w:rPr>
              <w:t>未安装空调车型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983" w:type="dxa"/>
            <w:shd w:val="clear" w:color="auto" w:fill="auto"/>
            <w:vAlign w:val="center"/>
          </w:tcPr>
          <w:p>
            <w:pPr>
              <w:pStyle w:val="180"/>
              <w:rPr>
                <w:rFonts w:hAnsi="宋体"/>
                <w:szCs w:val="18"/>
              </w:rPr>
            </w:pPr>
            <w:r>
              <w:rPr>
                <w:rFonts w:hint="eastAsia" w:hAnsi="宋体"/>
                <w:szCs w:val="18"/>
              </w:rPr>
              <w:t>9</w:t>
            </w:r>
          </w:p>
        </w:tc>
        <w:tc>
          <w:tcPr>
            <w:tcW w:w="2409" w:type="dxa"/>
            <w:shd w:val="clear" w:color="auto" w:fill="auto"/>
            <w:vAlign w:val="center"/>
          </w:tcPr>
          <w:p>
            <w:pPr>
              <w:pStyle w:val="180"/>
              <w:rPr>
                <w:rFonts w:hAnsi="宋体"/>
                <w:szCs w:val="18"/>
              </w:rPr>
            </w:pPr>
            <w:r>
              <w:rPr>
                <w:rFonts w:hint="eastAsia" w:hAnsi="宋体"/>
                <w:szCs w:val="18"/>
              </w:rPr>
              <w:t>低温、高海拔</w:t>
            </w:r>
          </w:p>
        </w:tc>
        <w:tc>
          <w:tcPr>
            <w:tcW w:w="5942" w:type="dxa"/>
            <w:shd w:val="clear" w:color="auto" w:fill="auto"/>
            <w:vAlign w:val="center"/>
          </w:tcPr>
          <w:p>
            <w:pPr>
              <w:pStyle w:val="180"/>
              <w:rPr>
                <w:rFonts w:hAnsi="宋体"/>
                <w:szCs w:val="18"/>
              </w:rPr>
            </w:pPr>
            <w:r>
              <w:rPr>
                <w:rFonts w:hint="eastAsia" w:hAnsi="宋体"/>
                <w:szCs w:val="18"/>
              </w:rPr>
              <w:t>低温环境、高海拔环境燃料消耗量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shd w:val="clear" w:color="auto" w:fill="auto"/>
            <w:vAlign w:val="center"/>
          </w:tcPr>
          <w:p>
            <w:pPr>
              <w:pStyle w:val="180"/>
              <w:rPr>
                <w:rFonts w:hAnsi="宋体"/>
                <w:szCs w:val="18"/>
              </w:rPr>
            </w:pPr>
            <w:r>
              <w:rPr>
                <w:rFonts w:hint="eastAsia" w:hAnsi="宋体"/>
                <w:szCs w:val="18"/>
              </w:rPr>
              <w:t>1</w:t>
            </w:r>
            <w:r>
              <w:rPr>
                <w:rFonts w:hAnsi="宋体"/>
                <w:szCs w:val="18"/>
              </w:rPr>
              <w:t>0</w:t>
            </w:r>
          </w:p>
        </w:tc>
        <w:tc>
          <w:tcPr>
            <w:tcW w:w="2409" w:type="dxa"/>
            <w:shd w:val="clear" w:color="auto" w:fill="auto"/>
            <w:vAlign w:val="center"/>
          </w:tcPr>
          <w:p>
            <w:pPr>
              <w:pStyle w:val="180"/>
              <w:rPr>
                <w:rFonts w:hAnsi="宋体"/>
                <w:szCs w:val="18"/>
              </w:rPr>
            </w:pPr>
            <w:r>
              <w:rPr>
                <w:rFonts w:hint="eastAsia" w:hAnsi="宋体"/>
                <w:szCs w:val="18"/>
              </w:rPr>
              <w:t>低温</w:t>
            </w:r>
          </w:p>
        </w:tc>
        <w:tc>
          <w:tcPr>
            <w:tcW w:w="5942" w:type="dxa"/>
            <w:shd w:val="clear" w:color="auto" w:fill="auto"/>
            <w:vAlign w:val="center"/>
          </w:tcPr>
          <w:p>
            <w:pPr>
              <w:pStyle w:val="180"/>
              <w:rPr>
                <w:rFonts w:hAnsi="宋体"/>
                <w:szCs w:val="18"/>
              </w:rPr>
            </w:pPr>
            <w:r>
              <w:rPr>
                <w:rFonts w:hint="eastAsia" w:hAnsi="宋体"/>
                <w:szCs w:val="18"/>
              </w:rPr>
              <w:t>低温环境燃料消耗量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shd w:val="clear" w:color="auto" w:fill="auto"/>
            <w:vAlign w:val="center"/>
          </w:tcPr>
          <w:p>
            <w:pPr>
              <w:pStyle w:val="180"/>
              <w:rPr>
                <w:rFonts w:hAnsi="宋体"/>
                <w:szCs w:val="18"/>
              </w:rPr>
            </w:pPr>
            <w:r>
              <w:rPr>
                <w:rFonts w:hint="eastAsia" w:hAnsi="宋体"/>
                <w:szCs w:val="18"/>
              </w:rPr>
              <w:t>1</w:t>
            </w:r>
            <w:r>
              <w:rPr>
                <w:rFonts w:hAnsi="宋体"/>
                <w:szCs w:val="18"/>
              </w:rPr>
              <w:t>1</w:t>
            </w:r>
          </w:p>
        </w:tc>
        <w:tc>
          <w:tcPr>
            <w:tcW w:w="2409" w:type="dxa"/>
            <w:shd w:val="clear" w:color="auto" w:fill="auto"/>
            <w:vAlign w:val="center"/>
          </w:tcPr>
          <w:p>
            <w:pPr>
              <w:pStyle w:val="180"/>
              <w:rPr>
                <w:rFonts w:hAnsi="宋体"/>
                <w:szCs w:val="18"/>
              </w:rPr>
            </w:pPr>
            <w:r>
              <w:rPr>
                <w:rFonts w:hint="eastAsia" w:hAnsi="宋体"/>
                <w:szCs w:val="18"/>
              </w:rPr>
              <w:t>高海拔</w:t>
            </w:r>
          </w:p>
        </w:tc>
        <w:tc>
          <w:tcPr>
            <w:tcW w:w="5942" w:type="dxa"/>
            <w:shd w:val="clear" w:color="auto" w:fill="auto"/>
            <w:vAlign w:val="center"/>
          </w:tcPr>
          <w:p>
            <w:pPr>
              <w:pStyle w:val="180"/>
              <w:rPr>
                <w:rFonts w:hAnsi="宋体"/>
                <w:szCs w:val="18"/>
              </w:rPr>
            </w:pPr>
            <w:r>
              <w:rPr>
                <w:rFonts w:hint="eastAsia" w:hAnsi="宋体"/>
                <w:szCs w:val="18"/>
              </w:rPr>
              <w:t>高海拔环境燃料消耗量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83" w:type="dxa"/>
            <w:shd w:val="clear" w:color="auto" w:fill="auto"/>
            <w:vAlign w:val="center"/>
          </w:tcPr>
          <w:p>
            <w:pPr>
              <w:pStyle w:val="180"/>
              <w:rPr>
                <w:rFonts w:hAnsi="宋体"/>
                <w:szCs w:val="18"/>
              </w:rPr>
            </w:pPr>
            <w:r>
              <w:rPr>
                <w:rFonts w:hint="eastAsia" w:hAnsi="宋体"/>
                <w:szCs w:val="18"/>
              </w:rPr>
              <w:t>1</w:t>
            </w:r>
            <w:r>
              <w:rPr>
                <w:rFonts w:hAnsi="宋体"/>
                <w:szCs w:val="18"/>
              </w:rPr>
              <w:t>2</w:t>
            </w:r>
          </w:p>
        </w:tc>
        <w:tc>
          <w:tcPr>
            <w:tcW w:w="2409" w:type="dxa"/>
            <w:shd w:val="clear" w:color="auto" w:fill="auto"/>
            <w:vAlign w:val="center"/>
          </w:tcPr>
          <w:p>
            <w:pPr>
              <w:pStyle w:val="180"/>
              <w:rPr>
                <w:rFonts w:hAnsi="宋体"/>
                <w:szCs w:val="18"/>
              </w:rPr>
            </w:pPr>
            <w:r>
              <w:rPr>
                <w:rFonts w:hint="eastAsia" w:hAnsi="宋体"/>
                <w:szCs w:val="18"/>
              </w:rPr>
              <w:t>无特殊场景试验结果</w:t>
            </w:r>
          </w:p>
        </w:tc>
        <w:tc>
          <w:tcPr>
            <w:tcW w:w="5942" w:type="dxa"/>
            <w:shd w:val="clear" w:color="auto" w:fill="auto"/>
            <w:vAlign w:val="center"/>
          </w:tcPr>
          <w:p>
            <w:pPr>
              <w:pStyle w:val="180"/>
              <w:rPr>
                <w:rFonts w:hAnsi="宋体"/>
                <w:szCs w:val="18"/>
              </w:rPr>
            </w:pPr>
            <w:r>
              <w:rPr>
                <w:rFonts w:hint="eastAsia" w:hAnsi="宋体"/>
                <w:szCs w:val="18"/>
              </w:rPr>
              <w:t>无燃料消耗量扩展信息</w:t>
            </w:r>
          </w:p>
        </w:tc>
      </w:tr>
      <w:bookmarkEnd w:id="63"/>
    </w:tbl>
    <w:p>
      <w:pPr>
        <w:pStyle w:val="185"/>
        <w:spacing w:before="156" w:beforeLines="50"/>
      </w:pPr>
    </w:p>
    <w:p>
      <w:pPr>
        <w:pStyle w:val="231"/>
        <w:ind w:firstLine="360"/>
        <w:rPr>
          <w:rFonts w:hAnsi="宋体"/>
          <w:sz w:val="18"/>
          <w:szCs w:val="18"/>
        </w:rPr>
      </w:pPr>
      <w:r>
        <w:rPr>
          <w:rFonts w:hint="eastAsia" w:hAnsi="宋体"/>
          <w:sz w:val="18"/>
          <w:szCs w:val="18"/>
        </w:rPr>
        <w:t>综合燃料消耗量：××.×× L/100</w:t>
      </w:r>
      <w:r>
        <w:rPr>
          <w:rFonts w:hAnsi="宋体"/>
          <w:sz w:val="18"/>
          <w:szCs w:val="18"/>
        </w:rPr>
        <w:t xml:space="preserve"> </w:t>
      </w:r>
      <w:r>
        <w:rPr>
          <w:rFonts w:hint="eastAsia" w:hAnsi="宋体"/>
          <w:sz w:val="18"/>
          <w:szCs w:val="18"/>
        </w:rPr>
        <w:t>km</w:t>
      </w:r>
    </w:p>
    <w:p>
      <w:pPr>
        <w:pStyle w:val="231"/>
        <w:ind w:firstLine="360"/>
        <w:rPr>
          <w:rFonts w:hAnsi="宋体"/>
          <w:sz w:val="18"/>
          <w:szCs w:val="18"/>
        </w:rPr>
      </w:pPr>
      <w:r>
        <w:rPr>
          <w:rFonts w:hint="eastAsia" w:hAnsi="宋体"/>
          <w:sz w:val="18"/>
          <w:szCs w:val="18"/>
        </w:rPr>
        <w:t>低速：××.×× L/100</w:t>
      </w:r>
      <w:r>
        <w:rPr>
          <w:rFonts w:hAnsi="宋体"/>
          <w:sz w:val="18"/>
          <w:szCs w:val="18"/>
        </w:rPr>
        <w:t xml:space="preserve"> </w:t>
      </w:r>
      <w:r>
        <w:rPr>
          <w:rFonts w:hint="eastAsia" w:hAnsi="宋体"/>
          <w:sz w:val="18"/>
          <w:szCs w:val="18"/>
        </w:rPr>
        <w:t>km</w:t>
      </w:r>
    </w:p>
    <w:p>
      <w:pPr>
        <w:pStyle w:val="231"/>
        <w:ind w:firstLine="360"/>
        <w:rPr>
          <w:rFonts w:hAnsi="宋体"/>
          <w:sz w:val="18"/>
          <w:szCs w:val="18"/>
        </w:rPr>
      </w:pPr>
      <w:r>
        <w:rPr>
          <w:rFonts w:hint="eastAsia" w:hAnsi="宋体"/>
          <w:sz w:val="18"/>
          <w:szCs w:val="18"/>
        </w:rPr>
        <w:t>中速：××.×× L/100</w:t>
      </w:r>
      <w:r>
        <w:rPr>
          <w:rFonts w:hAnsi="宋体"/>
          <w:sz w:val="18"/>
          <w:szCs w:val="18"/>
        </w:rPr>
        <w:t xml:space="preserve"> </w:t>
      </w:r>
      <w:r>
        <w:rPr>
          <w:rFonts w:hint="eastAsia" w:hAnsi="宋体"/>
          <w:sz w:val="18"/>
          <w:szCs w:val="18"/>
        </w:rPr>
        <w:t>km</w:t>
      </w:r>
    </w:p>
    <w:p>
      <w:pPr>
        <w:pStyle w:val="231"/>
        <w:ind w:firstLine="360"/>
        <w:jc w:val="left"/>
        <w:rPr>
          <w:rFonts w:hAnsi="宋体"/>
          <w:sz w:val="18"/>
          <w:szCs w:val="18"/>
        </w:rPr>
      </w:pPr>
      <w:r>
        <w:rPr>
          <w:rFonts w:hint="eastAsia" w:hAnsi="宋体"/>
          <w:sz w:val="18"/>
          <w:szCs w:val="18"/>
        </w:rPr>
        <w:t>高速：××.×× L/100</w:t>
      </w:r>
      <w:r>
        <w:rPr>
          <w:rFonts w:hAnsi="宋体"/>
          <w:sz w:val="18"/>
          <w:szCs w:val="18"/>
        </w:rPr>
        <w:t xml:space="preserve"> </w:t>
      </w:r>
      <w:r>
        <w:rPr>
          <w:rFonts w:hint="eastAsia" w:hAnsi="宋体"/>
          <w:sz w:val="18"/>
          <w:szCs w:val="18"/>
        </w:rPr>
        <w:t>km</w:t>
      </w:r>
    </w:p>
    <w:p>
      <w:pPr>
        <w:pStyle w:val="231"/>
        <w:ind w:firstLine="360"/>
        <w:rPr>
          <w:sz w:val="18"/>
          <w:szCs w:val="18"/>
          <w:vertAlign w:val="superscript"/>
        </w:rPr>
      </w:pPr>
      <w:r>
        <w:rPr>
          <w:rFonts w:hint="eastAsia" w:hAnsi="宋体"/>
          <w:sz w:val="18"/>
          <w:szCs w:val="18"/>
        </w:rPr>
        <w:t>超高速：××.×× L/100km</w:t>
      </w:r>
      <w:r>
        <w:rPr>
          <w:rFonts w:hAnsi="宋体"/>
          <w:sz w:val="18"/>
          <w:szCs w:val="18"/>
        </w:rPr>
        <w:t xml:space="preserve"> </w:t>
      </w:r>
      <w:r>
        <w:rPr>
          <w:rFonts w:hAnsi="宋体"/>
          <w:sz w:val="18"/>
          <w:szCs w:val="18"/>
          <w:vertAlign w:val="superscript"/>
        </w:rPr>
        <w:t>3</w:t>
      </w:r>
      <w:r>
        <w:rPr>
          <w:rFonts w:hint="eastAsia" w:hAnsi="宋体"/>
          <w:sz w:val="18"/>
          <w:szCs w:val="18"/>
          <w:vertAlign w:val="superscript"/>
        </w:rPr>
        <w:t>）</w:t>
      </w:r>
    </w:p>
    <w:p>
      <w:pPr>
        <w:pStyle w:val="231"/>
        <w:ind w:firstLine="360"/>
        <w:rPr>
          <w:rFonts w:hAnsi="宋体"/>
          <w:sz w:val="18"/>
          <w:szCs w:val="18"/>
        </w:rPr>
      </w:pPr>
      <w:r>
        <w:rPr>
          <w:rFonts w:hint="eastAsia" w:hAnsi="宋体"/>
          <w:sz w:val="18"/>
          <w:szCs w:val="18"/>
        </w:rPr>
        <w:t>开启空调制冷燃料消耗量：××.×× L/100</w:t>
      </w:r>
      <w:r>
        <w:rPr>
          <w:rFonts w:hAnsi="宋体"/>
          <w:sz w:val="18"/>
          <w:szCs w:val="18"/>
        </w:rPr>
        <w:t xml:space="preserve"> </w:t>
      </w:r>
      <w:r>
        <w:rPr>
          <w:rFonts w:hint="eastAsia" w:hAnsi="宋体"/>
          <w:sz w:val="18"/>
          <w:szCs w:val="18"/>
        </w:rPr>
        <w:t>km（或空调制冷燃料消耗量行业平均约增加：3</w:t>
      </w:r>
      <w:r>
        <w:rPr>
          <w:rFonts w:hAnsi="宋体"/>
          <w:sz w:val="18"/>
          <w:szCs w:val="18"/>
        </w:rPr>
        <w:t>0</w:t>
      </w:r>
      <w:r>
        <w:rPr>
          <w:rFonts w:hint="eastAsia" w:hAnsi="宋体"/>
          <w:sz w:val="18"/>
          <w:szCs w:val="18"/>
        </w:rPr>
        <w:t xml:space="preserve"> %）</w:t>
      </w:r>
    </w:p>
    <w:p>
      <w:pPr>
        <w:pStyle w:val="231"/>
        <w:ind w:firstLine="360"/>
        <w:rPr>
          <w:rFonts w:hAnsi="宋体"/>
          <w:sz w:val="18"/>
          <w:szCs w:val="18"/>
        </w:rPr>
      </w:pPr>
      <w:r>
        <w:rPr>
          <w:rFonts w:hint="eastAsia" w:hAnsi="宋体"/>
          <w:sz w:val="18"/>
          <w:szCs w:val="18"/>
        </w:rPr>
        <w:t>低温环境下燃料消耗量：××.×× L/100</w:t>
      </w:r>
      <w:r>
        <w:rPr>
          <w:rFonts w:hAnsi="宋体"/>
          <w:sz w:val="18"/>
          <w:szCs w:val="18"/>
        </w:rPr>
        <w:t xml:space="preserve"> </w:t>
      </w:r>
      <w:r>
        <w:rPr>
          <w:rFonts w:hint="eastAsia" w:hAnsi="宋体"/>
          <w:sz w:val="18"/>
          <w:szCs w:val="18"/>
        </w:rPr>
        <w:t>km</w:t>
      </w:r>
    </w:p>
    <w:p>
      <w:pPr>
        <w:pStyle w:val="231"/>
        <w:ind w:firstLine="360"/>
        <w:rPr>
          <w:rFonts w:hAnsi="宋体"/>
          <w:sz w:val="18"/>
          <w:szCs w:val="18"/>
        </w:rPr>
      </w:pPr>
      <w:r>
        <w:rPr>
          <w:rFonts w:hint="eastAsia" w:hAnsi="宋体"/>
          <w:sz w:val="18"/>
          <w:szCs w:val="18"/>
        </w:rPr>
        <w:t>高海拔环境下燃料消耗量：××.×× L/100</w:t>
      </w:r>
      <w:r>
        <w:rPr>
          <w:rFonts w:hAnsi="宋体"/>
          <w:sz w:val="18"/>
          <w:szCs w:val="18"/>
        </w:rPr>
        <w:t xml:space="preserve"> </w:t>
      </w:r>
      <w:r>
        <w:rPr>
          <w:rFonts w:hint="eastAsia" w:hAnsi="宋体"/>
          <w:sz w:val="18"/>
          <w:szCs w:val="18"/>
        </w:rPr>
        <w:t>km</w:t>
      </w:r>
    </w:p>
    <w:p>
      <w:pPr>
        <w:pStyle w:val="176"/>
        <w:numPr>
          <w:ilvl w:val="0"/>
          <w:numId w:val="13"/>
        </w:numPr>
      </w:pPr>
      <w:r>
        <w:rPr>
          <w:rFonts w:hint="eastAsia" w:hAnsi="宋体"/>
          <w:szCs w:val="21"/>
        </w:rPr>
        <w:t>预估</w:t>
      </w:r>
      <w:r>
        <w:rPr>
          <w:rFonts w:hint="eastAsia"/>
        </w:rPr>
        <w:t>能源成本信息</w:t>
      </w:r>
    </w:p>
    <w:p>
      <w:pPr>
        <w:pStyle w:val="231"/>
        <w:rPr>
          <w:rFonts w:hAnsi="宋体"/>
          <w:sz w:val="18"/>
          <w:szCs w:val="18"/>
        </w:rPr>
      </w:pPr>
      <w:r>
        <w:rPr>
          <w:rFonts w:hint="eastAsia" w:hAnsi="宋体"/>
        </w:rPr>
        <w:t>预估能源成本信息位于点划线上方。</w:t>
      </w:r>
    </w:p>
    <w:p>
      <w:pPr>
        <w:pStyle w:val="185"/>
      </w:pPr>
    </w:p>
    <w:p>
      <w:pPr>
        <w:pStyle w:val="231"/>
        <w:ind w:firstLine="360"/>
        <w:rPr>
          <w:rFonts w:hAnsi="宋体"/>
          <w:sz w:val="18"/>
          <w:szCs w:val="18"/>
        </w:rPr>
      </w:pPr>
      <w:r>
        <w:rPr>
          <w:rFonts w:hint="eastAsia" w:hAnsi="宋体"/>
          <w:sz w:val="18"/>
          <w:szCs w:val="18"/>
        </w:rPr>
        <w:t>预估能源成本：××.×× 元/百千米</w:t>
      </w:r>
    </w:p>
    <w:p>
      <w:pPr>
        <w:pStyle w:val="176"/>
        <w:numPr>
          <w:ilvl w:val="0"/>
          <w:numId w:val="13"/>
        </w:numPr>
      </w:pPr>
      <w:r>
        <w:rPr>
          <w:rFonts w:hint="eastAsia"/>
        </w:rPr>
        <w:t>C</w:t>
      </w:r>
      <w:r>
        <w:t>O</w:t>
      </w:r>
      <w:r>
        <w:rPr>
          <w:vertAlign w:val="subscript"/>
        </w:rPr>
        <w:t>2</w:t>
      </w:r>
      <w:r>
        <w:rPr>
          <w:rFonts w:hint="eastAsia"/>
        </w:rPr>
        <w:t>排放量信息</w:t>
      </w:r>
    </w:p>
    <w:p>
      <w:pPr>
        <w:pStyle w:val="231"/>
        <w:rPr>
          <w:rFonts w:hAnsi="宋体"/>
          <w:color w:val="FF0000"/>
          <w:sz w:val="18"/>
          <w:szCs w:val="18"/>
        </w:rPr>
      </w:pPr>
      <w:r>
        <w:rPr>
          <w:rFonts w:hint="eastAsia"/>
        </w:rPr>
        <w:t>C</w:t>
      </w:r>
      <w:r>
        <w:t>O</w:t>
      </w:r>
      <w:r>
        <w:rPr>
          <w:vertAlign w:val="subscript"/>
        </w:rPr>
        <w:t>2</w:t>
      </w:r>
      <w:r>
        <w:rPr>
          <w:rFonts w:hint="eastAsia"/>
        </w:rPr>
        <w:t>排放量</w:t>
      </w:r>
      <w:r>
        <w:rPr>
          <w:rFonts w:hint="eastAsia" w:hAnsi="宋体"/>
        </w:rPr>
        <w:t>信息位于点划线上方。</w:t>
      </w:r>
    </w:p>
    <w:p>
      <w:pPr>
        <w:pStyle w:val="185"/>
      </w:pPr>
    </w:p>
    <w:p>
      <w:pPr>
        <w:pStyle w:val="231"/>
        <w:ind w:firstLine="360"/>
        <w:rPr>
          <w:rFonts w:hAnsi="宋体"/>
          <w:sz w:val="18"/>
          <w:szCs w:val="18"/>
        </w:rPr>
      </w:pPr>
      <w:bookmarkStart w:id="64" w:name="_Hlk70551727"/>
      <w:r>
        <w:rPr>
          <w:rFonts w:hint="eastAsia" w:hAnsi="宋体"/>
          <w:sz w:val="18"/>
          <w:szCs w:val="18"/>
        </w:rPr>
        <w:t>C</w:t>
      </w:r>
      <w:r>
        <w:rPr>
          <w:rFonts w:hAnsi="宋体"/>
          <w:sz w:val="18"/>
          <w:szCs w:val="18"/>
        </w:rPr>
        <w:t>O</w:t>
      </w:r>
      <w:r>
        <w:rPr>
          <w:rFonts w:hAnsi="宋体"/>
          <w:sz w:val="18"/>
          <w:szCs w:val="18"/>
          <w:vertAlign w:val="subscript"/>
        </w:rPr>
        <w:t>2</w:t>
      </w:r>
      <w:r>
        <w:rPr>
          <w:rFonts w:hint="eastAsia" w:hAnsi="宋体"/>
          <w:sz w:val="18"/>
          <w:szCs w:val="18"/>
        </w:rPr>
        <w:t>排放量：×× g/km</w:t>
      </w:r>
    </w:p>
    <w:bookmarkEnd w:id="64"/>
    <w:p>
      <w:pPr>
        <w:pStyle w:val="176"/>
        <w:numPr>
          <w:ilvl w:val="0"/>
          <w:numId w:val="13"/>
        </w:numPr>
      </w:pPr>
      <w:r>
        <w:rPr>
          <w:rFonts w:hint="eastAsia"/>
        </w:rPr>
        <w:t>与限值比较信息</w:t>
      </w:r>
    </w:p>
    <w:p>
      <w:pPr>
        <w:pStyle w:val="231"/>
      </w:pPr>
      <w:r>
        <w:rPr>
          <w:rFonts w:hint="eastAsia" w:hAnsi="宋体"/>
        </w:rPr>
        <w:t>应按式（</w:t>
      </w:r>
      <w:r>
        <w:t>2</w:t>
      </w:r>
      <w:r>
        <w:rPr>
          <w:rFonts w:hint="eastAsia"/>
        </w:rPr>
        <w:t>）计算并注明该车型综合燃料消耗量与适用限值的对比情况。</w:t>
      </w:r>
    </w:p>
    <w:p>
      <w:pPr>
        <w:pStyle w:val="115"/>
      </w:pPr>
      <w:r>
        <w:tab/>
      </w:r>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F</m:t>
                </m:r>
                <m:ctrlPr>
                  <w:rPr>
                    <w:rFonts w:ascii="Cambria Math" w:hAnsi="Cambria Math"/>
                    <w:i/>
                  </w:rPr>
                </m:ctrlPr>
              </m:e>
              <m:sub>
                <m:r>
                  <w:rPr>
                    <w:rFonts w:ascii="Cambria Math" w:hAnsi="Cambria Math"/>
                  </w:rPr>
                  <m:t>C</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F</m:t>
                </m:r>
                <m:ctrlPr>
                  <w:rPr>
                    <w:rFonts w:ascii="Cambria Math" w:hAnsi="Cambria Math"/>
                    <w:i/>
                  </w:rPr>
                </m:ctrlPr>
              </m:e>
              <m:sub>
                <m:r>
                  <m:rPr>
                    <m:sty m:val="p"/>
                  </m:rPr>
                  <w:rPr>
                    <w:rFonts w:ascii="Cambria Math" w:hAnsi="Cambria Math"/>
                  </w:rPr>
                  <m:t>C,</m:t>
                </m:r>
                <m:r>
                  <m:rPr>
                    <m:sty m:val="p"/>
                  </m:rPr>
                  <w:rPr>
                    <w:rFonts w:hint="eastAsia" w:ascii="Cambria Math" w:hAnsi="Cambria Math"/>
                  </w:rPr>
                  <m:t>limit</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w:rPr>
                    <w:rFonts w:ascii="Cambria Math" w:hAnsi="Cambria Math"/>
                  </w:rPr>
                  <m:t>F</m:t>
                </m:r>
                <m:ctrlPr>
                  <w:rPr>
                    <w:rFonts w:ascii="Cambria Math" w:hAnsi="Cambria Math"/>
                    <w:i/>
                  </w:rPr>
                </m:ctrlPr>
              </m:e>
              <m:sub>
                <m:r>
                  <m:rPr>
                    <m:sty m:val="p"/>
                  </m:rPr>
                  <w:rPr>
                    <w:rFonts w:ascii="Cambria Math" w:hAnsi="Cambria Math"/>
                  </w:rPr>
                  <m:t>C,</m:t>
                </m:r>
                <m:r>
                  <m:rPr>
                    <m:sty m:val="p"/>
                  </m:rPr>
                  <w:rPr>
                    <w:rFonts w:hint="eastAsia" w:ascii="Cambria Math" w:hAnsi="Cambria Math"/>
                  </w:rPr>
                  <m:t>limit</m:t>
                </m:r>
                <m:ctrlPr>
                  <w:rPr>
                    <w:rFonts w:ascii="Cambria Math" w:hAnsi="Cambria Math"/>
                    <w:i/>
                  </w:rPr>
                </m:ctrlPr>
              </m:sub>
            </m:sSub>
            <m:ctrlPr>
              <w:rPr>
                <w:rFonts w:ascii="Cambria Math" w:hAnsi="Cambria Math"/>
                <w:i/>
              </w:rPr>
            </m:ctrlPr>
          </m:den>
        </m:f>
        <m:r>
          <w:rPr>
            <w:rFonts w:ascii="Cambria Math" w:hAnsi="Cambria Math"/>
          </w:rPr>
          <m:t>×100%</m:t>
        </m:r>
      </m:oMath>
      <w:r>
        <w:rPr>
          <w:rFonts w:ascii="微软雅黑" w:hAnsi="微软雅黑" w:eastAsia="微软雅黑"/>
        </w:rPr>
        <w:tab/>
      </w:r>
      <w:r>
        <w:t>(</w:t>
      </w:r>
      <w:r>
        <w:fldChar w:fldCharType="begin"/>
      </w:r>
      <w:r>
        <w:instrText xml:space="preserve"> AUTONUM </w:instrText>
      </w:r>
      <w:r>
        <w:fldChar w:fldCharType="end"/>
      </w:r>
      <w:r>
        <w:t>)</w:t>
      </w:r>
    </w:p>
    <w:p>
      <w:pPr>
        <w:pStyle w:val="57"/>
        <w:adjustRightInd/>
        <w:snapToGrid/>
        <w:spacing w:line="240" w:lineRule="auto"/>
        <w:ind w:firstLine="420"/>
      </w:pPr>
      <w:r>
        <w:rPr>
          <w:rFonts w:hint="eastAsia"/>
        </w:rPr>
        <w:t>式中：</w:t>
      </w:r>
    </w:p>
    <w:p>
      <w:pPr>
        <w:pStyle w:val="231"/>
        <w:rPr>
          <w:rFonts w:hAnsi="宋体"/>
          <w:i/>
          <w:iCs/>
        </w:rPr>
      </w:pPr>
      <m:oMath>
        <m:r>
          <w:rPr>
            <w:rFonts w:ascii="Cambria Math" w:hAnsi="Cambria Math"/>
          </w:rPr>
          <m:t>A</m:t>
        </m:r>
      </m:oMath>
      <w:r>
        <w:rPr>
          <w:rFonts w:hint="eastAsia" w:hAnsi="宋体"/>
          <w:i/>
          <w:iCs/>
        </w:rPr>
        <w:t xml:space="preserve"> </w:t>
      </w:r>
      <w:r>
        <w:rPr>
          <w:rFonts w:hAnsi="宋体"/>
          <w:i/>
          <w:iCs/>
        </w:rPr>
        <w:t xml:space="preserve">    </w:t>
      </w:r>
      <w:r>
        <w:rPr>
          <w:rFonts w:ascii="Times New Roman"/>
        </w:rPr>
        <w:t>——</w:t>
      </w:r>
      <w:r>
        <w:rPr>
          <w:rFonts w:hint="eastAsia" w:hAnsi="宋体"/>
        </w:rPr>
        <w:t>该车型综合燃料消耗量低于/高于规定限值的幅度。计算结果应四舍五入至小数点后两位；</w:t>
      </w:r>
    </w:p>
    <w:p>
      <w:pPr>
        <w:pStyle w:val="231"/>
        <w:rPr>
          <w:rFonts w:hAnsi="宋体"/>
        </w:rPr>
      </w:pPr>
      <w:r>
        <w:rPr>
          <w:rFonts w:hint="eastAsia" w:hAnsi="宋体"/>
        </w:rPr>
        <w:t>对于M</w:t>
      </w:r>
      <w:r>
        <w:rPr>
          <w:rFonts w:hint="eastAsia" w:hAnsi="宋体"/>
          <w:vertAlign w:val="subscript"/>
        </w:rPr>
        <w:t>1</w:t>
      </w:r>
      <w:r>
        <w:rPr>
          <w:rFonts w:hint="eastAsia" w:hAnsi="宋体"/>
        </w:rPr>
        <w:t>类车辆：</w:t>
      </w:r>
    </w:p>
    <w:p>
      <w:pPr>
        <w:pStyle w:val="231"/>
        <w:rPr>
          <w:rFonts w:hAnsi="宋体"/>
        </w:rPr>
      </w:pPr>
      <m:oMath>
        <m:sSub>
          <m:sSubPr>
            <m:ctrlPr>
              <w:rPr>
                <w:rFonts w:ascii="Cambria Math" w:hAnsi="Cambria Math"/>
                <w:i/>
                <w:kern w:val="2"/>
              </w:rPr>
            </m:ctrlPr>
          </m:sSubPr>
          <m:e>
            <m:r>
              <w:rPr>
                <w:rFonts w:ascii="Cambria Math" w:hAnsi="Cambria Math"/>
              </w:rPr>
              <m:t>F</m:t>
            </m:r>
            <m:ctrlPr>
              <w:rPr>
                <w:rFonts w:ascii="Cambria Math" w:hAnsi="Cambria Math"/>
                <w:i/>
                <w:kern w:val="2"/>
              </w:rPr>
            </m:ctrlPr>
          </m:e>
          <m:sub>
            <m:r>
              <m:rPr>
                <m:sty m:val="p"/>
              </m:rPr>
              <w:rPr>
                <w:rFonts w:ascii="Cambria Math" w:hAnsi="Cambria Math"/>
              </w:rPr>
              <m:t>C,</m:t>
            </m:r>
            <m:r>
              <m:rPr>
                <m:sty m:val="p"/>
              </m:rPr>
              <w:rPr>
                <w:rFonts w:hint="eastAsia" w:ascii="Cambria Math" w:hAnsi="Cambria Math"/>
              </w:rPr>
              <m:t>limit</m:t>
            </m:r>
            <m:ctrlPr>
              <w:rPr>
                <w:rFonts w:ascii="Cambria Math" w:hAnsi="Cambria Math"/>
                <w:i/>
                <w:kern w:val="2"/>
              </w:rPr>
            </m:ctrlPr>
          </m:sub>
        </m:sSub>
      </m:oMath>
      <w:r>
        <w:rPr>
          <w:rFonts w:hint="eastAsia" w:ascii="Times New Roman"/>
          <w:kern w:val="2"/>
        </w:rPr>
        <w:t xml:space="preserve"> </w:t>
      </w:r>
      <w:r>
        <w:rPr>
          <w:rFonts w:ascii="Times New Roman"/>
        </w:rPr>
        <w:t>——</w:t>
      </w:r>
      <w:r>
        <w:rPr>
          <w:rFonts w:hint="eastAsia" w:hAnsi="宋体"/>
        </w:rPr>
        <w:t>GB 19578规定的该车型的燃料消耗量限值；</w:t>
      </w:r>
    </w:p>
    <w:p>
      <w:pPr>
        <w:pStyle w:val="231"/>
        <w:rPr>
          <w:rFonts w:hAnsi="宋体"/>
        </w:rPr>
      </w:pPr>
      <w:r>
        <w:rPr>
          <w:rFonts w:hint="eastAsia" w:hAnsi="宋体"/>
        </w:rPr>
        <w:t>对于M</w:t>
      </w:r>
      <w:r>
        <w:rPr>
          <w:rFonts w:hint="eastAsia" w:hAnsi="宋体"/>
          <w:vertAlign w:val="subscript"/>
        </w:rPr>
        <w:t>2</w:t>
      </w:r>
      <w:r>
        <w:rPr>
          <w:rFonts w:hint="eastAsia" w:hAnsi="宋体"/>
        </w:rPr>
        <w:t>类和N</w:t>
      </w:r>
      <w:r>
        <w:rPr>
          <w:rFonts w:hint="eastAsia" w:hAnsi="宋体"/>
          <w:vertAlign w:val="subscript"/>
        </w:rPr>
        <w:t>1</w:t>
      </w:r>
      <w:r>
        <w:rPr>
          <w:rFonts w:hint="eastAsia" w:hAnsi="宋体"/>
        </w:rPr>
        <w:t>类车辆：</w:t>
      </w:r>
    </w:p>
    <w:p>
      <w:pPr>
        <w:pStyle w:val="231"/>
        <w:rPr>
          <w:rFonts w:hAnsi="宋体"/>
        </w:rPr>
      </w:pPr>
      <m:oMath>
        <m:sSub>
          <m:sSubPr>
            <m:ctrlPr>
              <w:rPr>
                <w:rFonts w:ascii="Cambria Math" w:hAnsi="Cambria Math"/>
                <w:i/>
                <w:kern w:val="2"/>
              </w:rPr>
            </m:ctrlPr>
          </m:sSubPr>
          <m:e>
            <m:r>
              <w:rPr>
                <w:rFonts w:ascii="Cambria Math" w:hAnsi="Cambria Math"/>
              </w:rPr>
              <m:t>F</m:t>
            </m:r>
            <m:ctrlPr>
              <w:rPr>
                <w:rFonts w:ascii="Cambria Math" w:hAnsi="Cambria Math"/>
                <w:i/>
                <w:kern w:val="2"/>
              </w:rPr>
            </m:ctrlPr>
          </m:e>
          <m:sub>
            <m:r>
              <m:rPr>
                <m:sty m:val="p"/>
              </m:rPr>
              <w:rPr>
                <w:rFonts w:ascii="Cambria Math" w:hAnsi="Cambria Math"/>
              </w:rPr>
              <m:t>C,</m:t>
            </m:r>
            <m:r>
              <m:rPr>
                <m:sty m:val="p"/>
              </m:rPr>
              <w:rPr>
                <w:rFonts w:hint="eastAsia" w:ascii="Cambria Math" w:hAnsi="Cambria Math"/>
              </w:rPr>
              <m:t>limit</m:t>
            </m:r>
            <m:ctrlPr>
              <w:rPr>
                <w:rFonts w:ascii="Cambria Math" w:hAnsi="Cambria Math"/>
                <w:i/>
                <w:kern w:val="2"/>
              </w:rPr>
            </m:ctrlPr>
          </m:sub>
        </m:sSub>
      </m:oMath>
      <w:r>
        <w:rPr>
          <w:rFonts w:hint="eastAsia" w:ascii="Times New Roman"/>
          <w:kern w:val="2"/>
        </w:rPr>
        <w:t xml:space="preserve"> </w:t>
      </w:r>
      <w:r>
        <w:rPr>
          <w:rFonts w:ascii="Times New Roman"/>
        </w:rPr>
        <w:t>——</w:t>
      </w:r>
      <w:r>
        <w:rPr>
          <w:rFonts w:hint="eastAsia" w:hAnsi="宋体"/>
        </w:rPr>
        <w:t>GB 20997规定的该车型的燃料消耗量限值。</w:t>
      </w:r>
    </w:p>
    <w:p>
      <w:pPr>
        <w:pStyle w:val="231"/>
        <w:rPr>
          <w:sz w:val="18"/>
          <w:szCs w:val="18"/>
        </w:rPr>
      </w:pPr>
      <w:r>
        <w:rPr>
          <w:rFonts w:hint="eastAsia" w:hAnsi="宋体"/>
        </w:rPr>
        <w:t>如果</w:t>
      </w:r>
      <m:oMath>
        <m:r>
          <w:rPr>
            <w:rFonts w:ascii="Cambria Math" w:hAnsi="Cambria Math"/>
          </w:rPr>
          <m:t>A</m:t>
        </m:r>
      </m:oMath>
      <w:r>
        <w:rPr>
          <w:rFonts w:hint="eastAsia" w:hAnsi="宋体"/>
        </w:rPr>
        <w:t>﹥0，表述内容为：本车型综合燃料消耗量高于限值</w:t>
      </w:r>
      <m:oMath>
        <m:r>
          <w:rPr>
            <w:rFonts w:ascii="Cambria Math" w:hAnsi="Cambria Math"/>
          </w:rPr>
          <m:t>A</m:t>
        </m:r>
      </m:oMath>
      <w:r>
        <w:rPr>
          <w:rFonts w:hint="eastAsia" w:hAnsi="宋体"/>
        </w:rPr>
        <w:t>；如果</w:t>
      </w:r>
      <m:oMath>
        <m:r>
          <w:rPr>
            <w:rFonts w:ascii="Cambria Math" w:hAnsi="Cambria Math"/>
          </w:rPr>
          <m:t>A</m:t>
        </m:r>
      </m:oMath>
      <w:r>
        <w:rPr>
          <w:rFonts w:hint="eastAsia" w:hAnsi="宋体"/>
        </w:rPr>
        <w:t>≤0，表述内容为：本车型综合燃料消耗量低于限值∣</w:t>
      </w:r>
      <m:oMath>
        <m:r>
          <w:rPr>
            <w:rFonts w:ascii="Cambria Math" w:hAnsi="Cambria Math"/>
          </w:rPr>
          <m:t>A</m:t>
        </m:r>
      </m:oMath>
      <w:r>
        <w:rPr>
          <w:rFonts w:hint="eastAsia" w:hAnsi="宋体"/>
        </w:rPr>
        <w:t>∣。</w:t>
      </w:r>
    </w:p>
    <w:p>
      <w:pPr>
        <w:pStyle w:val="185"/>
        <w:numPr>
          <w:ilvl w:val="0"/>
          <w:numId w:val="34"/>
        </w:numPr>
        <w:ind w:firstLine="360" w:firstLineChars="200"/>
      </w:pPr>
    </w:p>
    <w:p>
      <w:pPr>
        <w:pStyle w:val="231"/>
        <w:ind w:firstLine="360"/>
        <w:rPr>
          <w:sz w:val="18"/>
          <w:szCs w:val="18"/>
        </w:rPr>
      </w:pPr>
      <w:r>
        <w:rPr>
          <w:rFonts w:hint="eastAsia" w:hAnsi="宋体"/>
          <w:sz w:val="18"/>
          <w:szCs w:val="18"/>
        </w:rPr>
        <w:t>本车型综合燃料消耗量低于限值</w:t>
      </w:r>
      <w:r>
        <w:rPr>
          <w:rFonts w:hint="eastAsia"/>
          <w:sz w:val="18"/>
          <w:szCs w:val="18"/>
        </w:rPr>
        <w:t>XX.X</w:t>
      </w:r>
      <w:r>
        <w:rPr>
          <w:sz w:val="18"/>
          <w:szCs w:val="18"/>
        </w:rPr>
        <w:t>X</w:t>
      </w:r>
      <w:r>
        <w:rPr>
          <w:rFonts w:hint="eastAsia"/>
          <w:sz w:val="18"/>
          <w:szCs w:val="18"/>
        </w:rPr>
        <w:t>%</w:t>
      </w:r>
    </w:p>
    <w:p>
      <w:pPr>
        <w:pStyle w:val="231"/>
        <w:ind w:firstLine="360"/>
        <w:rPr>
          <w:sz w:val="18"/>
          <w:szCs w:val="18"/>
        </w:rPr>
      </w:pPr>
      <w:r>
        <w:rPr>
          <w:rFonts w:hint="eastAsia" w:hAnsi="宋体"/>
          <w:sz w:val="18"/>
          <w:szCs w:val="18"/>
        </w:rPr>
        <w:t>本车型综合燃料消耗量高于限值</w:t>
      </w:r>
      <w:r>
        <w:rPr>
          <w:rFonts w:hint="eastAsia"/>
          <w:sz w:val="18"/>
          <w:szCs w:val="18"/>
        </w:rPr>
        <w:t>XX.X</w:t>
      </w:r>
      <w:r>
        <w:rPr>
          <w:sz w:val="18"/>
          <w:szCs w:val="18"/>
        </w:rPr>
        <w:t>X</w:t>
      </w:r>
      <w:r>
        <w:rPr>
          <w:rFonts w:hint="eastAsia"/>
          <w:sz w:val="18"/>
          <w:szCs w:val="18"/>
        </w:rPr>
        <w:t>%</w:t>
      </w:r>
    </w:p>
    <w:p>
      <w:pPr>
        <w:pStyle w:val="176"/>
        <w:numPr>
          <w:ilvl w:val="0"/>
          <w:numId w:val="13"/>
        </w:numPr>
      </w:pPr>
      <w:r>
        <w:rPr>
          <w:rFonts w:hint="eastAsia"/>
        </w:rPr>
        <w:t>连续比较信息</w:t>
      </w:r>
    </w:p>
    <w:p>
      <w:pPr>
        <w:pStyle w:val="231"/>
      </w:pPr>
      <w:r>
        <w:rPr>
          <w:rFonts w:hint="eastAsia" w:hAnsi="宋体"/>
        </w:rPr>
        <w:t>如图</w:t>
      </w:r>
      <w:r>
        <w:rPr>
          <w:rFonts w:hint="eastAsia"/>
        </w:rPr>
        <w:t>1</w:t>
      </w:r>
      <w:r>
        <w:rPr>
          <w:rFonts w:hint="eastAsia" w:hAnsi="宋体"/>
        </w:rPr>
        <w:t>所示</w:t>
      </w:r>
      <w:r>
        <w:rPr>
          <w:rFonts w:hint="eastAsia"/>
        </w:rPr>
        <w:t>,用倒三角形图案在横条状标尺上的位置说明车辆的综合燃料消耗量在适用同一限值要求产品中所处的相对水平。</w:t>
      </w:r>
    </w:p>
    <w:p>
      <w:pPr>
        <w:pStyle w:val="231"/>
        <w:keepNext/>
        <w:spacing w:before="312" w:beforeLines="100"/>
        <w:jc w:val="center"/>
      </w:pPr>
      <w:r>
        <w:drawing>
          <wp:inline distT="0" distB="0" distL="0" distR="0">
            <wp:extent cx="4288155" cy="7639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288155" cy="763905"/>
                    </a:xfrm>
                    <a:prstGeom prst="rect">
                      <a:avLst/>
                    </a:prstGeom>
                    <a:noFill/>
                    <a:ln>
                      <a:noFill/>
                    </a:ln>
                  </pic:spPr>
                </pic:pic>
              </a:graphicData>
            </a:graphic>
          </wp:inline>
        </w:drawing>
      </w:r>
    </w:p>
    <w:p>
      <w:pPr>
        <w:pStyle w:val="13"/>
        <w:spacing w:before="156" w:beforeLines="50" w:after="156" w:afterLines="50"/>
        <w:jc w:val="center"/>
        <w:rPr>
          <w:rFonts w:ascii="黑体" w:hAnsi="黑体"/>
          <w:sz w:val="21"/>
          <w:szCs w:val="21"/>
        </w:rPr>
      </w:pPr>
      <w:bookmarkStart w:id="65" w:name="_Ref424459446"/>
      <w:bookmarkEnd w:id="65"/>
      <w:r>
        <w:rPr>
          <w:rFonts w:hint="eastAsia" w:ascii="黑体" w:hAnsi="黑体"/>
          <w:sz w:val="21"/>
          <w:szCs w:val="21"/>
        </w:rPr>
        <w:t>图</w:t>
      </w:r>
      <w:r>
        <w:rPr>
          <w:rFonts w:ascii="黑体" w:hAnsi="黑体"/>
          <w:sz w:val="21"/>
          <w:szCs w:val="21"/>
        </w:rPr>
        <w:t>1 连续比较标尺数据位置示意图</w:t>
      </w:r>
    </w:p>
    <w:p>
      <w:pPr>
        <w:pStyle w:val="231"/>
      </w:pPr>
      <w:r>
        <w:rPr>
          <w:rFonts w:hint="eastAsia" w:hAnsi="宋体"/>
        </w:rPr>
        <w:t>对于</w:t>
      </w:r>
      <w:r>
        <w:rPr>
          <w:rFonts w:hint="eastAsia"/>
        </w:rPr>
        <w:t>M</w:t>
      </w:r>
      <w:r>
        <w:rPr>
          <w:rFonts w:hint="eastAsia"/>
          <w:vertAlign w:val="subscript"/>
        </w:rPr>
        <w:t>1</w:t>
      </w:r>
      <w:bookmarkStart w:id="66" w:name="OLE_LINK2"/>
      <w:bookmarkEnd w:id="66"/>
      <w:bookmarkStart w:id="67" w:name="OLE_LINK1"/>
      <w:r>
        <w:rPr>
          <w:rFonts w:hint="eastAsia" w:hAnsi="宋体"/>
        </w:rPr>
        <w:t>类车辆，</w:t>
      </w:r>
      <w:bookmarkEnd w:id="67"/>
      <w:r>
        <w:rPr>
          <w:rFonts w:hint="eastAsia" w:hAnsi="宋体"/>
        </w:rPr>
        <w:t>图</w:t>
      </w:r>
      <w:r>
        <w:rPr>
          <w:rFonts w:hint="eastAsia"/>
        </w:rPr>
        <w:t>1</w:t>
      </w:r>
      <w:r>
        <w:rPr>
          <w:rFonts w:hint="eastAsia" w:hAnsi="宋体"/>
        </w:rPr>
        <w:t>中的</w:t>
      </w:r>
      <w:r>
        <w:rPr>
          <w:rFonts w:hint="eastAsia"/>
        </w:rPr>
        <w:t>B</w:t>
      </w:r>
      <w:r>
        <w:rPr>
          <w:rFonts w:hint="eastAsia" w:hAnsi="宋体"/>
        </w:rPr>
        <w:t>、</w:t>
      </w:r>
      <w:r>
        <w:rPr>
          <w:rFonts w:hint="eastAsia"/>
        </w:rPr>
        <w:t>D位置分别</w:t>
      </w:r>
      <w:r>
        <w:rPr>
          <w:rFonts w:hint="eastAsia" w:hAnsi="宋体"/>
        </w:rPr>
        <w:t>为</w:t>
      </w:r>
      <w:r>
        <w:rPr>
          <w:rFonts w:hint="eastAsia"/>
        </w:rPr>
        <w:t>该车型对应的领跑值</w:t>
      </w:r>
      <w:r>
        <w:rPr>
          <w:rStyle w:val="35"/>
        </w:rPr>
        <w:footnoteReference w:id="3"/>
      </w:r>
      <w:r>
        <w:rPr>
          <w:rStyle w:val="35"/>
        </w:rPr>
        <w:t>)</w:t>
      </w:r>
      <w:r>
        <w:rPr>
          <w:rFonts w:hint="eastAsia" w:hAnsi="宋体"/>
        </w:rPr>
        <w:t>和按</w:t>
      </w:r>
      <w:r>
        <w:rPr>
          <w:rFonts w:hint="eastAsia"/>
        </w:rPr>
        <w:t>GB 19578规定的</w:t>
      </w:r>
      <w:r>
        <w:rPr>
          <w:rFonts w:hint="eastAsia" w:hAnsi="宋体"/>
        </w:rPr>
        <w:t>该车型适用的燃料消耗量限值；对于</w:t>
      </w:r>
      <w:r>
        <w:rPr>
          <w:rFonts w:hint="eastAsia"/>
        </w:rPr>
        <w:t>M</w:t>
      </w:r>
      <w:r>
        <w:rPr>
          <w:rFonts w:hint="eastAsia"/>
          <w:vertAlign w:val="subscript"/>
        </w:rPr>
        <w:t>2</w:t>
      </w:r>
      <w:r>
        <w:rPr>
          <w:rFonts w:hint="eastAsia" w:hAnsi="宋体"/>
        </w:rPr>
        <w:t>、</w:t>
      </w:r>
      <w:r>
        <w:rPr>
          <w:rFonts w:hint="eastAsia"/>
        </w:rPr>
        <w:t>N</w:t>
      </w:r>
      <w:r>
        <w:rPr>
          <w:rFonts w:hint="eastAsia"/>
          <w:vertAlign w:val="subscript"/>
        </w:rPr>
        <w:t>1</w:t>
      </w:r>
      <w:r>
        <w:rPr>
          <w:rFonts w:hint="eastAsia" w:hAnsi="宋体"/>
        </w:rPr>
        <w:t>类车辆，图</w:t>
      </w:r>
      <w:r>
        <w:rPr>
          <w:rFonts w:hint="eastAsia"/>
        </w:rPr>
        <w:t>1</w:t>
      </w:r>
      <w:r>
        <w:rPr>
          <w:rFonts w:hint="eastAsia" w:hAnsi="宋体"/>
        </w:rPr>
        <w:t>中的</w:t>
      </w:r>
      <w:r>
        <w:rPr>
          <w:rFonts w:hint="eastAsia"/>
        </w:rPr>
        <w:t>B</w:t>
      </w:r>
      <w:r>
        <w:rPr>
          <w:rFonts w:hint="eastAsia" w:hAnsi="宋体"/>
        </w:rPr>
        <w:t>、</w:t>
      </w:r>
      <w:r>
        <w:rPr>
          <w:rFonts w:hint="eastAsia"/>
        </w:rPr>
        <w:t>D位置分别</w:t>
      </w:r>
      <w:r>
        <w:rPr>
          <w:rFonts w:hint="eastAsia" w:hAnsi="宋体"/>
        </w:rPr>
        <w:t>为</w:t>
      </w:r>
      <w:r>
        <w:rPr>
          <w:rFonts w:hint="eastAsia"/>
        </w:rPr>
        <w:t>该车型对应的领跑值</w:t>
      </w:r>
      <w:r>
        <w:rPr>
          <w:rFonts w:hint="eastAsia"/>
          <w:vertAlign w:val="superscript"/>
        </w:rPr>
        <w:t>4）</w:t>
      </w:r>
      <w:r>
        <w:rPr>
          <w:rFonts w:hint="eastAsia" w:hAnsi="宋体"/>
        </w:rPr>
        <w:t>和按</w:t>
      </w:r>
      <w:r>
        <w:rPr>
          <w:rFonts w:hint="eastAsia"/>
        </w:rPr>
        <w:t xml:space="preserve">GB </w:t>
      </w:r>
      <w:r>
        <w:t>20997</w:t>
      </w:r>
      <w:r>
        <w:rPr>
          <w:rFonts w:hint="eastAsia"/>
        </w:rPr>
        <w:t>规定的</w:t>
      </w:r>
      <w:r>
        <w:rPr>
          <w:rFonts w:hint="eastAsia" w:hAnsi="宋体"/>
        </w:rPr>
        <w:t>该车型适用的燃料消耗量限值。</w:t>
      </w:r>
    </w:p>
    <w:p>
      <w:pPr>
        <w:pStyle w:val="231"/>
      </w:pPr>
      <w:r>
        <w:rPr>
          <w:rFonts w:hint="eastAsia" w:hAnsi="宋体"/>
        </w:rPr>
        <w:t>图</w:t>
      </w:r>
      <w:r>
        <w:rPr>
          <w:rFonts w:hint="eastAsia"/>
        </w:rPr>
        <w:t>1</w:t>
      </w:r>
      <w:r>
        <w:rPr>
          <w:rFonts w:hint="eastAsia" w:hAnsi="宋体"/>
        </w:rPr>
        <w:t>中的</w:t>
      </w:r>
      <w:r>
        <w:rPr>
          <w:rFonts w:hint="eastAsia"/>
        </w:rPr>
        <w:t>C位置</w:t>
      </w:r>
      <w:r>
        <w:rPr>
          <w:rFonts w:hint="eastAsia" w:hAnsi="宋体"/>
        </w:rPr>
        <w:t>应按式（</w:t>
      </w:r>
      <w:r>
        <w:t>3</w:t>
      </w:r>
      <w:r>
        <w:rPr>
          <w:rFonts w:hint="eastAsia"/>
        </w:rPr>
        <w:t>）确定，其误差应不超过5%：</w:t>
      </w:r>
    </w:p>
    <w:p>
      <w:pPr>
        <w:pStyle w:val="115"/>
      </w:pPr>
      <w:r>
        <w:tab/>
      </w:r>
      <m:oMath>
        <m:sSub>
          <m:sSubPr>
            <m:ctrlPr>
              <w:rPr>
                <w:rFonts w:ascii="Cambria Math" w:hAnsi="Cambria Math"/>
                <w:i/>
              </w:rPr>
            </m:ctrlPr>
          </m:sSubPr>
          <m:e>
            <m:r>
              <w:rPr>
                <w:rFonts w:hint="eastAsia" w:ascii="Cambria Math" w:hAnsi="Cambria Math"/>
              </w:rPr>
              <m:t>d</m:t>
            </m:r>
            <m:ctrlPr>
              <w:rPr>
                <w:rFonts w:ascii="Cambria Math" w:hAnsi="Cambria Math"/>
                <w:i/>
              </w:rPr>
            </m:ctrlPr>
          </m:e>
          <m:sub>
            <m:r>
              <m:rPr>
                <m:sty m:val="p"/>
              </m:rPr>
              <w:rPr>
                <w:rFonts w:ascii="Cambria Math" w:hAnsi="Cambria Math"/>
              </w:rPr>
              <m:t>BC</m:t>
            </m:r>
            <m:ctrlPr>
              <w:rPr>
                <w:rFonts w:ascii="Cambria Math" w:hAnsi="Cambria Math"/>
                <w:i/>
              </w:rPr>
            </m:ctrlPr>
          </m:sub>
        </m:sSub>
        <m:r>
          <w:rPr>
            <w:rFonts w:ascii="Cambria Math" w:hAnsi="Cambria Math"/>
          </w:rPr>
          <m:t>=</m:t>
        </m:r>
        <m:sSub>
          <m:sSubPr>
            <m:ctrlPr>
              <w:rPr>
                <w:rFonts w:ascii="Cambria Math" w:hAnsi="Cambria Math"/>
                <w:i/>
              </w:rPr>
            </m:ctrlPr>
          </m:sSubPr>
          <m:e>
            <m:r>
              <w:rPr>
                <w:rFonts w:hint="eastAsia" w:ascii="Cambria Math" w:hAnsi="Cambria Math"/>
              </w:rPr>
              <m:t>d</m:t>
            </m:r>
            <m:ctrlPr>
              <w:rPr>
                <w:rFonts w:ascii="Cambria Math" w:hAnsi="Cambria Math"/>
                <w:i/>
              </w:rPr>
            </m:ctrlPr>
          </m:e>
          <m:sub>
            <m:r>
              <m:rPr>
                <m:sty m:val="p"/>
              </m:rPr>
              <w:rPr>
                <w:rFonts w:ascii="Cambria Math" w:hAnsi="Cambria Math"/>
              </w:rPr>
              <m:t>BD</m:t>
            </m:r>
            <m:ctrlPr>
              <w:rPr>
                <w:rFonts w:ascii="Cambria Math" w:hAnsi="Cambria Math"/>
                <w:i/>
              </w:rPr>
            </m:ctrlP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ctrlPr>
                  <w:rPr>
                    <w:rFonts w:ascii="Cambria Math" w:hAnsi="Cambria Math"/>
                    <w:i/>
                  </w:rPr>
                </m:ctrlPr>
              </m:e>
              <m:sub>
                <m:r>
                  <w:rPr>
                    <w:rFonts w:ascii="Cambria Math" w:hAnsi="Cambria Math"/>
                  </w:rPr>
                  <m:t>C</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F</m:t>
                </m:r>
                <m:ctrlPr>
                  <w:rPr>
                    <w:rFonts w:ascii="Cambria Math" w:hAnsi="Cambria Math"/>
                    <w:i/>
                  </w:rPr>
                </m:ctrlPr>
              </m:e>
              <m:sub>
                <m:r>
                  <w:rPr>
                    <w:rFonts w:ascii="Cambria Math" w:hAnsi="Cambria Math"/>
                  </w:rPr>
                  <m:t>B</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w:rPr>
                    <w:rFonts w:ascii="Cambria Math" w:hAnsi="Cambria Math"/>
                  </w:rPr>
                  <m:t>F</m:t>
                </m:r>
                <m:ctrlPr>
                  <w:rPr>
                    <w:rFonts w:ascii="Cambria Math" w:hAnsi="Cambria Math"/>
                    <w:i/>
                  </w:rPr>
                </m:ctrlPr>
              </m:e>
              <m:sub>
                <m:r>
                  <w:rPr>
                    <w:rFonts w:ascii="Cambria Math" w:hAnsi="Cambria Math"/>
                  </w:rPr>
                  <m:t>D</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F</m:t>
                </m:r>
                <m:ctrlPr>
                  <w:rPr>
                    <w:rFonts w:ascii="Cambria Math" w:hAnsi="Cambria Math"/>
                    <w:i/>
                  </w:rPr>
                </m:ctrlPr>
              </m:e>
              <m:sub>
                <m:r>
                  <w:rPr>
                    <w:rFonts w:ascii="Cambria Math" w:hAnsi="Cambria Math"/>
                  </w:rPr>
                  <m:t>B</m:t>
                </m:r>
                <m:ctrlPr>
                  <w:rPr>
                    <w:rFonts w:ascii="Cambria Math" w:hAnsi="Cambria Math"/>
                    <w:i/>
                  </w:rPr>
                </m:ctrlPr>
              </m:sub>
            </m:sSub>
            <m:ctrlPr>
              <w:rPr>
                <w:rFonts w:ascii="Cambria Math" w:hAnsi="Cambria Math"/>
                <w:i/>
              </w:rPr>
            </m:ctrlPr>
          </m:den>
        </m:f>
      </m:oMath>
      <w:r>
        <w:rPr>
          <w:rFonts w:ascii="微软雅黑" w:hAnsi="微软雅黑" w:eastAsia="微软雅黑"/>
        </w:rPr>
        <w:tab/>
      </w:r>
      <w:r>
        <w:t>(</w:t>
      </w:r>
      <w:r>
        <w:fldChar w:fldCharType="begin"/>
      </w:r>
      <w:r>
        <w:instrText xml:space="preserve"> AUTONUM </w:instrText>
      </w:r>
      <w:r>
        <w:fldChar w:fldCharType="end"/>
      </w:r>
      <w:r>
        <w:t>)</w:t>
      </w:r>
    </w:p>
    <w:p>
      <w:pPr>
        <w:pStyle w:val="57"/>
        <w:adjustRightInd/>
        <w:snapToGrid/>
        <w:spacing w:line="240" w:lineRule="auto"/>
        <w:ind w:firstLine="420"/>
      </w:pPr>
      <w:r>
        <w:rPr>
          <w:rFonts w:hint="eastAsia"/>
        </w:rPr>
        <w:t>式中：</w:t>
      </w:r>
    </w:p>
    <w:p>
      <w:pPr>
        <w:pStyle w:val="231"/>
      </w:pPr>
      <m:oMath>
        <m:sSub>
          <m:sSubPr>
            <m:ctrlPr>
              <w:rPr>
                <w:rFonts w:ascii="Cambria Math" w:hAnsi="Cambria Math"/>
                <w:i/>
                <w:kern w:val="2"/>
              </w:rPr>
            </m:ctrlPr>
          </m:sSubPr>
          <m:e>
            <m:r>
              <w:rPr>
                <w:rFonts w:hint="eastAsia" w:ascii="Cambria Math" w:hAnsi="Cambria Math"/>
              </w:rPr>
              <m:t>d</m:t>
            </m:r>
            <m:ctrlPr>
              <w:rPr>
                <w:rFonts w:ascii="Cambria Math" w:hAnsi="Cambria Math"/>
                <w:i/>
                <w:kern w:val="2"/>
              </w:rPr>
            </m:ctrlPr>
          </m:e>
          <m:sub>
            <m:r>
              <m:rPr>
                <m:sty m:val="p"/>
              </m:rPr>
              <w:rPr>
                <w:rFonts w:ascii="Cambria Math" w:hAnsi="Cambria Math"/>
              </w:rPr>
              <m:t>BC</m:t>
            </m:r>
            <m:ctrlPr>
              <w:rPr>
                <w:rFonts w:ascii="Cambria Math" w:hAnsi="Cambria Math"/>
                <w:i/>
                <w:kern w:val="2"/>
              </w:rPr>
            </m:ctrlPr>
          </m:sub>
        </m:sSub>
      </m:oMath>
      <w:r>
        <w:rPr>
          <w:rFonts w:hint="eastAsia" w:ascii="Times New Roman"/>
          <w:kern w:val="2"/>
        </w:rPr>
        <w:t xml:space="preserve"> </w:t>
      </w:r>
      <w:r>
        <w:rPr>
          <w:rFonts w:ascii="Times New Roman"/>
        </w:rPr>
        <w:t>——</w:t>
      </w:r>
      <w:r>
        <w:rPr>
          <w:rFonts w:hint="eastAsia"/>
        </w:rPr>
        <w:t>BC线段的长度；</w:t>
      </w:r>
    </w:p>
    <w:p>
      <w:pPr>
        <w:pStyle w:val="231"/>
      </w:pPr>
      <m:oMath>
        <m:sSub>
          <m:sSubPr>
            <m:ctrlPr>
              <w:rPr>
                <w:rFonts w:ascii="Cambria Math" w:hAnsi="Cambria Math"/>
                <w:i/>
                <w:kern w:val="2"/>
              </w:rPr>
            </m:ctrlPr>
          </m:sSubPr>
          <m:e>
            <m:r>
              <w:rPr>
                <w:rFonts w:hint="eastAsia" w:ascii="Cambria Math" w:hAnsi="Cambria Math"/>
              </w:rPr>
              <m:t>d</m:t>
            </m:r>
            <m:ctrlPr>
              <w:rPr>
                <w:rFonts w:ascii="Cambria Math" w:hAnsi="Cambria Math"/>
                <w:i/>
                <w:kern w:val="2"/>
              </w:rPr>
            </m:ctrlPr>
          </m:e>
          <m:sub>
            <m:r>
              <m:rPr>
                <m:sty m:val="p"/>
              </m:rPr>
              <w:rPr>
                <w:rFonts w:ascii="Cambria Math" w:hAnsi="Cambria Math"/>
              </w:rPr>
              <m:t>BD</m:t>
            </m:r>
            <m:ctrlPr>
              <w:rPr>
                <w:rFonts w:ascii="Cambria Math" w:hAnsi="Cambria Math"/>
                <w:i/>
                <w:kern w:val="2"/>
              </w:rPr>
            </m:ctrlPr>
          </m:sub>
        </m:sSub>
      </m:oMath>
      <w:r>
        <w:rPr>
          <w:rFonts w:hint="eastAsia" w:ascii="Times New Roman"/>
          <w:kern w:val="2"/>
        </w:rPr>
        <w:t xml:space="preserve"> </w:t>
      </w:r>
      <w:r>
        <w:rPr>
          <w:rFonts w:ascii="Times New Roman"/>
        </w:rPr>
        <w:t>——</w:t>
      </w:r>
      <w:r>
        <w:rPr>
          <w:rFonts w:hint="eastAsia"/>
        </w:rPr>
        <w:t>BD线段的长度；</w:t>
      </w:r>
    </w:p>
    <w:p>
      <w:pPr>
        <w:pStyle w:val="231"/>
      </w:pPr>
      <m:oMath>
        <m:sSub>
          <m:sSubPr>
            <m:ctrlPr>
              <w:rPr>
                <w:rFonts w:ascii="Cambria Math" w:hAnsi="Cambria Math"/>
                <w:i/>
                <w:kern w:val="2"/>
              </w:rPr>
            </m:ctrlPr>
          </m:sSubPr>
          <m:e>
            <m:r>
              <w:rPr>
                <w:rFonts w:ascii="Cambria Math" w:hAnsi="Cambria Math"/>
              </w:rPr>
              <m:t>F</m:t>
            </m:r>
            <m:ctrlPr>
              <w:rPr>
                <w:rFonts w:ascii="Cambria Math" w:hAnsi="Cambria Math"/>
                <w:i/>
                <w:kern w:val="2"/>
              </w:rPr>
            </m:ctrlPr>
          </m:e>
          <m:sub>
            <m:r>
              <w:rPr>
                <w:rFonts w:ascii="Cambria Math" w:hAnsi="Cambria Math"/>
              </w:rPr>
              <m:t>C</m:t>
            </m:r>
            <m:ctrlPr>
              <w:rPr>
                <w:rFonts w:ascii="Cambria Math" w:hAnsi="Cambria Math"/>
                <w:i/>
                <w:kern w:val="2"/>
              </w:rPr>
            </m:ctrlPr>
          </m:sub>
        </m:sSub>
      </m:oMath>
      <w:r>
        <w:rPr>
          <w:rFonts w:hint="eastAsia" w:ascii="Times New Roman"/>
          <w:kern w:val="2"/>
        </w:rPr>
        <w:t xml:space="preserve"> </w:t>
      </w:r>
      <w:r>
        <w:rPr>
          <w:rFonts w:ascii="Times New Roman"/>
          <w:kern w:val="2"/>
          <w:vertAlign w:val="subscript"/>
        </w:rPr>
        <w:t xml:space="preserve"> </w:t>
      </w:r>
      <w:r>
        <w:rPr>
          <w:rFonts w:ascii="Times New Roman"/>
          <w:kern w:val="2"/>
          <w:sz w:val="20"/>
          <w:szCs w:val="20"/>
          <w:vertAlign w:val="subscript"/>
        </w:rPr>
        <w:t xml:space="preserve"> </w:t>
      </w:r>
      <w:r>
        <w:rPr>
          <w:rFonts w:ascii="Times New Roman"/>
        </w:rPr>
        <w:t>——</w:t>
      </w:r>
      <w:r>
        <w:rPr>
          <w:rFonts w:hint="eastAsia"/>
        </w:rPr>
        <w:t>综合燃料消耗量值；</w:t>
      </w:r>
    </w:p>
    <w:p>
      <w:pPr>
        <w:pStyle w:val="231"/>
      </w:pPr>
      <m:oMath>
        <m:sSub>
          <m:sSubPr>
            <m:ctrlPr>
              <w:rPr>
                <w:rFonts w:ascii="Cambria Math" w:hAnsi="Cambria Math"/>
                <w:i/>
                <w:kern w:val="2"/>
              </w:rPr>
            </m:ctrlPr>
          </m:sSubPr>
          <m:e>
            <m:r>
              <w:rPr>
                <w:rFonts w:ascii="Cambria Math" w:hAnsi="Cambria Math"/>
              </w:rPr>
              <m:t>F</m:t>
            </m:r>
            <m:ctrlPr>
              <w:rPr>
                <w:rFonts w:ascii="Cambria Math" w:hAnsi="Cambria Math"/>
                <w:i/>
                <w:kern w:val="2"/>
              </w:rPr>
            </m:ctrlPr>
          </m:e>
          <m:sub>
            <m:r>
              <w:rPr>
                <w:rFonts w:ascii="Cambria Math" w:hAnsi="Cambria Math"/>
              </w:rPr>
              <m:t>B</m:t>
            </m:r>
            <m:ctrlPr>
              <w:rPr>
                <w:rFonts w:ascii="Cambria Math" w:hAnsi="Cambria Math"/>
                <w:i/>
                <w:kern w:val="2"/>
              </w:rPr>
            </m:ctrlPr>
          </m:sub>
        </m:sSub>
      </m:oMath>
      <w:r>
        <w:rPr>
          <w:rFonts w:hint="eastAsia" w:ascii="Times New Roman"/>
          <w:kern w:val="2"/>
        </w:rPr>
        <w:t xml:space="preserve"> </w:t>
      </w:r>
      <w:r>
        <w:rPr>
          <w:rFonts w:ascii="Times New Roman"/>
          <w:kern w:val="2"/>
          <w:vertAlign w:val="subscript"/>
        </w:rPr>
        <w:t xml:space="preserve"> </w:t>
      </w:r>
      <w:r>
        <w:rPr>
          <w:rFonts w:ascii="Times New Roman"/>
          <w:kern w:val="2"/>
          <w:sz w:val="20"/>
          <w:szCs w:val="20"/>
          <w:vertAlign w:val="subscript"/>
        </w:rPr>
        <w:t xml:space="preserve"> </w:t>
      </w:r>
      <w:r>
        <w:rPr>
          <w:rFonts w:ascii="Times New Roman"/>
        </w:rPr>
        <w:t>——</w:t>
      </w:r>
      <w:r>
        <w:rPr>
          <w:rFonts w:hint="eastAsia"/>
        </w:rPr>
        <w:t>B点燃料消耗量数值；</w:t>
      </w:r>
    </w:p>
    <w:p>
      <w:pPr>
        <w:pStyle w:val="231"/>
      </w:pPr>
      <m:oMath>
        <m:sSub>
          <m:sSubPr>
            <m:ctrlPr>
              <w:rPr>
                <w:rFonts w:ascii="Cambria Math" w:hAnsi="Cambria Math"/>
                <w:i/>
                <w:kern w:val="2"/>
              </w:rPr>
            </m:ctrlPr>
          </m:sSubPr>
          <m:e>
            <m:r>
              <w:rPr>
                <w:rFonts w:ascii="Cambria Math" w:hAnsi="Cambria Math"/>
              </w:rPr>
              <m:t>F</m:t>
            </m:r>
            <m:ctrlPr>
              <w:rPr>
                <w:rFonts w:ascii="Cambria Math" w:hAnsi="Cambria Math"/>
                <w:i/>
                <w:kern w:val="2"/>
              </w:rPr>
            </m:ctrlPr>
          </m:e>
          <m:sub>
            <m:r>
              <w:rPr>
                <w:rFonts w:ascii="Cambria Math" w:hAnsi="Cambria Math"/>
              </w:rPr>
              <m:t>D</m:t>
            </m:r>
            <m:ctrlPr>
              <w:rPr>
                <w:rFonts w:ascii="Cambria Math" w:hAnsi="Cambria Math"/>
                <w:i/>
                <w:kern w:val="2"/>
              </w:rPr>
            </m:ctrlPr>
          </m:sub>
        </m:sSub>
      </m:oMath>
      <w:r>
        <w:rPr>
          <w:rFonts w:hint="eastAsia" w:ascii="Times New Roman"/>
          <w:kern w:val="2"/>
        </w:rPr>
        <w:t xml:space="preserve"> </w:t>
      </w:r>
      <w:r>
        <w:rPr>
          <w:rFonts w:ascii="Times New Roman"/>
          <w:kern w:val="2"/>
          <w:vertAlign w:val="subscript"/>
        </w:rPr>
        <w:t xml:space="preserve"> </w:t>
      </w:r>
      <w:r>
        <w:rPr>
          <w:rFonts w:ascii="Times New Roman"/>
          <w:kern w:val="2"/>
          <w:sz w:val="20"/>
          <w:szCs w:val="20"/>
          <w:vertAlign w:val="subscript"/>
        </w:rPr>
        <w:t xml:space="preserve"> </w:t>
      </w:r>
      <w:r>
        <w:rPr>
          <w:rFonts w:ascii="Times New Roman"/>
        </w:rPr>
        <w:t>——</w:t>
      </w:r>
      <w:r>
        <w:rPr>
          <w:rFonts w:hint="eastAsia"/>
        </w:rPr>
        <w:t>D点燃料消耗量数值。</w:t>
      </w:r>
    </w:p>
    <w:p>
      <w:pPr>
        <w:pStyle w:val="231"/>
        <w:rPr>
          <w:rFonts w:hAnsi="宋体"/>
        </w:rPr>
      </w:pPr>
      <w:r>
        <w:rPr>
          <w:rFonts w:hint="eastAsia" w:hAnsi="宋体"/>
        </w:rPr>
        <w:t>综合</w:t>
      </w:r>
      <w:r>
        <w:rPr>
          <w:rFonts w:hAnsi="宋体"/>
        </w:rPr>
        <w:t>燃料消耗量值</w:t>
      </w:r>
      <w:r>
        <w:rPr>
          <w:rFonts w:hint="eastAsia" w:hAnsi="宋体"/>
        </w:rPr>
        <w:t>应</w:t>
      </w:r>
      <w:r>
        <w:rPr>
          <w:rFonts w:hAnsi="宋体"/>
        </w:rPr>
        <w:t>位于C位置倒三角形图案的上方</w:t>
      </w:r>
      <w:r>
        <w:rPr>
          <w:rFonts w:hint="eastAsia" w:hAnsi="宋体"/>
        </w:rPr>
        <w:t>。如果综合燃料消耗量小于领跑值，C位置的</w:t>
      </w:r>
      <w:r>
        <w:rPr>
          <w:rFonts w:hAnsi="宋体"/>
        </w:rPr>
        <w:t>倒三角形</w:t>
      </w:r>
      <w:r>
        <w:rPr>
          <w:rFonts w:hint="eastAsia" w:hAnsi="宋体"/>
        </w:rPr>
        <w:t>图案应指向图中的</w:t>
      </w:r>
      <w:r>
        <w:rPr>
          <w:rFonts w:hAnsi="宋体"/>
        </w:rPr>
        <w:t>A位置</w:t>
      </w:r>
      <w:r>
        <w:rPr>
          <w:rFonts w:hint="eastAsia" w:hAnsi="宋体"/>
        </w:rPr>
        <w:t>；如果综合燃料消耗量大于限值，C位置的</w:t>
      </w:r>
      <w:r>
        <w:rPr>
          <w:rFonts w:hAnsi="宋体"/>
        </w:rPr>
        <w:t>倒三角形</w:t>
      </w:r>
      <w:r>
        <w:rPr>
          <w:rFonts w:hint="eastAsia" w:hAnsi="宋体"/>
        </w:rPr>
        <w:t>图案应指向图中</w:t>
      </w:r>
      <w:r>
        <w:rPr>
          <w:rFonts w:hAnsi="宋体"/>
        </w:rPr>
        <w:t>的E位置</w:t>
      </w:r>
      <w:r>
        <w:rPr>
          <w:rFonts w:hint="eastAsia" w:hAnsi="宋体"/>
        </w:rPr>
        <w:t>。</w:t>
      </w:r>
    </w:p>
    <w:p>
      <w:pPr>
        <w:pStyle w:val="67"/>
        <w:spacing w:before="156" w:after="156"/>
      </w:pPr>
      <w:r>
        <w:rPr>
          <w:rFonts w:hint="eastAsia"/>
        </w:rPr>
        <w:t>说明区</w:t>
      </w:r>
    </w:p>
    <w:p>
      <w:pPr>
        <w:pStyle w:val="96"/>
        <w:spacing w:before="0" w:beforeLines="0" w:after="0" w:afterLines="0"/>
        <w:rPr>
          <w:rFonts w:ascii="宋体" w:hAnsi="宋体" w:eastAsia="宋体"/>
        </w:rPr>
      </w:pPr>
      <w:r>
        <w:rPr>
          <w:rFonts w:hint="eastAsia" w:ascii="宋体" w:hAnsi="宋体" w:eastAsia="宋体"/>
        </w:rPr>
        <w:t>“说明区”位于标识下部。“说明区”左侧为二维码，中间为燃料消耗量试验所采用的国家标准（含年代号和名称）</w:t>
      </w:r>
      <w:bookmarkStart w:id="68" w:name="_Hlk70552794"/>
      <w:r>
        <w:rPr>
          <w:rFonts w:hint="eastAsia" w:ascii="宋体" w:hAnsi="宋体" w:eastAsia="宋体"/>
        </w:rPr>
        <w:t>、</w:t>
      </w:r>
      <w:r>
        <w:rPr>
          <w:rFonts w:hint="eastAsia" w:ascii="宋体" w:hAnsi="宋体" w:eastAsia="宋体"/>
          <w:szCs w:val="21"/>
        </w:rPr>
        <w:t>预估能源成本的计算</w:t>
      </w:r>
      <w:bookmarkEnd w:id="68"/>
      <w:r>
        <w:rPr>
          <w:rFonts w:hint="eastAsia" w:ascii="宋体" w:hAnsi="宋体" w:eastAsia="宋体"/>
          <w:szCs w:val="21"/>
        </w:rPr>
        <w:t>、</w:t>
      </w:r>
      <w:r>
        <w:rPr>
          <w:rFonts w:hint="eastAsia" w:ascii="宋体" w:hAnsi="宋体" w:eastAsia="宋体"/>
        </w:rPr>
        <w:t>影响燃料消耗量和能源成本的因素</w:t>
      </w:r>
      <w:bookmarkStart w:id="69" w:name="_Hlk70552851"/>
      <w:r>
        <w:rPr>
          <w:rFonts w:hint="eastAsia" w:ascii="宋体" w:hAnsi="宋体" w:eastAsia="宋体"/>
        </w:rPr>
        <w:t>以及有关C</w:t>
      </w:r>
      <w:r>
        <w:rPr>
          <w:rFonts w:ascii="宋体" w:hAnsi="宋体" w:eastAsia="宋体"/>
        </w:rPr>
        <w:t>O</w:t>
      </w:r>
      <w:r>
        <w:rPr>
          <w:rFonts w:ascii="宋体" w:hAnsi="宋体" w:eastAsia="宋体"/>
          <w:vertAlign w:val="subscript"/>
        </w:rPr>
        <w:t>2</w:t>
      </w:r>
      <w:bookmarkEnd w:id="69"/>
      <w:r>
        <w:rPr>
          <w:rFonts w:hint="eastAsia" w:ascii="宋体" w:hAnsi="宋体" w:eastAsia="宋体"/>
        </w:rPr>
        <w:t>的表述，右侧为图</w:t>
      </w:r>
      <w:r>
        <w:rPr>
          <w:rFonts w:ascii="宋体" w:hAnsi="宋体" w:eastAsia="宋体"/>
        </w:rPr>
        <w:t>B</w:t>
      </w:r>
      <w:r>
        <w:rPr>
          <w:rFonts w:hint="eastAsia" w:ascii="宋体" w:hAnsi="宋体" w:eastAsia="宋体"/>
        </w:rPr>
        <w:t>.</w:t>
      </w:r>
      <w:r>
        <w:rPr>
          <w:rFonts w:ascii="宋体" w:hAnsi="宋体" w:eastAsia="宋体"/>
        </w:rPr>
        <w:t>7</w:t>
      </w:r>
      <w:r>
        <w:rPr>
          <w:rFonts w:hint="eastAsia" w:ascii="宋体" w:hAnsi="宋体" w:eastAsia="宋体"/>
        </w:rPr>
        <w:t>所示的“标识类别图案”。</w:t>
      </w:r>
    </w:p>
    <w:p>
      <w:pPr>
        <w:pStyle w:val="166"/>
      </w:pPr>
      <w:r>
        <w:rPr>
          <w:rFonts w:hint="eastAsia"/>
        </w:rPr>
        <w:t>对汽油、柴油、两用燃料及双燃料汽车，具体内容如下：</w:t>
      </w:r>
    </w:p>
    <w:p>
      <w:pPr>
        <w:pStyle w:val="231"/>
        <w:rPr>
          <w:rFonts w:hAnsi="宋体"/>
        </w:rPr>
      </w:pPr>
      <w:r>
        <w:rPr>
          <w:rFonts w:hint="eastAsia" w:hAnsi="宋体"/>
        </w:rPr>
        <w:t>本标识所采用的燃料消耗量数据系根据GB/T 19233—X</w:t>
      </w:r>
      <w:r>
        <w:rPr>
          <w:rFonts w:hAnsi="宋体"/>
        </w:rPr>
        <w:t>XXX</w:t>
      </w:r>
      <w:r>
        <w:rPr>
          <w:rFonts w:hint="eastAsia" w:hAnsi="宋体"/>
        </w:rPr>
        <w:t>《轻型汽车燃料消耗量试验方法》测定。预估能源成本的计算系基于汽油XX.X</w:t>
      </w:r>
      <w:r>
        <w:rPr>
          <w:rFonts w:hAnsi="宋体"/>
        </w:rPr>
        <w:t>X</w:t>
      </w:r>
      <w:r>
        <w:rPr>
          <w:rFonts w:hint="eastAsia" w:hAnsi="宋体"/>
        </w:rPr>
        <w:t>元/升、柴油XX.X</w:t>
      </w:r>
      <w:r>
        <w:rPr>
          <w:rFonts w:hAnsi="宋体"/>
        </w:rPr>
        <w:t>X</w:t>
      </w:r>
      <w:r>
        <w:rPr>
          <w:rFonts w:hint="eastAsia" w:hAnsi="宋体"/>
        </w:rPr>
        <w:t>元/升。</w:t>
      </w:r>
    </w:p>
    <w:p>
      <w:pPr>
        <w:pStyle w:val="231"/>
        <w:rPr>
          <w:rFonts w:hAnsi="宋体"/>
        </w:rPr>
      </w:pPr>
      <w:r>
        <w:rPr>
          <w:rFonts w:hint="eastAsia" w:hAnsi="宋体"/>
        </w:rPr>
        <w:t>由于驾驶习惯、道路状况、气候条件、海拔、燃料品质、燃油价格等因素的影响，实际使用数据可能与本标识不同。</w:t>
      </w:r>
    </w:p>
    <w:p>
      <w:pPr>
        <w:pStyle w:val="231"/>
        <w:rPr>
          <w:rFonts w:hAnsi="宋体"/>
        </w:rPr>
      </w:pPr>
      <w:bookmarkStart w:id="70" w:name="_Hlk71494381"/>
      <w:r>
        <w:rPr>
          <w:rFonts w:hint="eastAsia" w:hAnsi="宋体"/>
        </w:rPr>
        <w:t>CO</w:t>
      </w:r>
      <w:r>
        <w:rPr>
          <w:rFonts w:hint="eastAsia" w:hAnsi="宋体"/>
          <w:vertAlign w:val="subscript"/>
        </w:rPr>
        <w:t>2</w:t>
      </w:r>
      <w:r>
        <w:rPr>
          <w:rFonts w:hint="eastAsia" w:hAnsi="宋体"/>
        </w:rPr>
        <w:t>是主要温室气体之一。</w:t>
      </w:r>
    </w:p>
    <w:bookmarkEnd w:id="70"/>
    <w:p>
      <w:pPr>
        <w:pStyle w:val="231"/>
        <w:rPr>
          <w:rFonts w:hAnsi="宋体"/>
        </w:rPr>
      </w:pPr>
      <w:r>
        <w:rPr>
          <w:rFonts w:hint="eastAsia" w:hAnsi="宋体"/>
        </w:rPr>
        <w:t>为避免标识影响视野，请在购买车辆后去除标识。</w:t>
      </w:r>
    </w:p>
    <w:p>
      <w:pPr>
        <w:pStyle w:val="166"/>
      </w:pPr>
      <w:r>
        <w:rPr>
          <w:rFonts w:hint="eastAsia"/>
        </w:rPr>
        <w:t>对不可外接充电式混合动力汽车，具体内容如下：</w:t>
      </w:r>
    </w:p>
    <w:p>
      <w:pPr>
        <w:pStyle w:val="231"/>
        <w:rPr>
          <w:rFonts w:hAnsi="宋体"/>
        </w:rPr>
      </w:pPr>
      <w:r>
        <w:rPr>
          <w:rFonts w:hint="eastAsia" w:hAnsi="宋体"/>
        </w:rPr>
        <w:t>本标识所采用的燃料消耗量数据系根据GB/T 19753—X</w:t>
      </w:r>
      <w:r>
        <w:rPr>
          <w:rFonts w:hAnsi="宋体"/>
        </w:rPr>
        <w:t>XXX</w:t>
      </w:r>
      <w:r>
        <w:rPr>
          <w:rFonts w:hint="eastAsia" w:hAnsi="宋体"/>
        </w:rPr>
        <w:t>《轻型混合动力电动汽车能量消耗量试验方法》测定。预估能源成本的计算系基于汽油XX.X</w:t>
      </w:r>
      <w:r>
        <w:rPr>
          <w:rFonts w:hAnsi="宋体"/>
        </w:rPr>
        <w:t>X</w:t>
      </w:r>
      <w:r>
        <w:rPr>
          <w:rFonts w:hint="eastAsia" w:hAnsi="宋体"/>
        </w:rPr>
        <w:t>元/升、柴油XX.X</w:t>
      </w:r>
      <w:r>
        <w:rPr>
          <w:rFonts w:hAnsi="宋体"/>
        </w:rPr>
        <w:t>X</w:t>
      </w:r>
      <w:r>
        <w:rPr>
          <w:rFonts w:hint="eastAsia" w:hAnsi="宋体"/>
        </w:rPr>
        <w:t>元/升。</w:t>
      </w:r>
    </w:p>
    <w:p>
      <w:pPr>
        <w:pStyle w:val="231"/>
        <w:rPr>
          <w:rFonts w:hAnsi="宋体"/>
        </w:rPr>
      </w:pPr>
      <w:r>
        <w:rPr>
          <w:rFonts w:hint="eastAsia" w:hAnsi="宋体"/>
        </w:rPr>
        <w:t>由于驾驶习惯、道路状况、气候条件、海拔、燃料品质、燃油价格等因素的影响，实际使用数据可能与本标识不同。</w:t>
      </w:r>
    </w:p>
    <w:p>
      <w:pPr>
        <w:pStyle w:val="231"/>
        <w:rPr>
          <w:rFonts w:hAnsi="宋体"/>
        </w:rPr>
      </w:pPr>
      <w:r>
        <w:rPr>
          <w:rFonts w:hint="eastAsia" w:hAnsi="宋体"/>
        </w:rPr>
        <w:t>CO</w:t>
      </w:r>
      <w:r>
        <w:rPr>
          <w:rFonts w:hint="eastAsia" w:hAnsi="宋体"/>
          <w:vertAlign w:val="subscript"/>
        </w:rPr>
        <w:t>2</w:t>
      </w:r>
      <w:r>
        <w:rPr>
          <w:rFonts w:hint="eastAsia" w:hAnsi="宋体"/>
        </w:rPr>
        <w:t>是主要温室气体之一。</w:t>
      </w:r>
    </w:p>
    <w:p>
      <w:pPr>
        <w:pStyle w:val="231"/>
        <w:rPr>
          <w:rFonts w:hAnsi="宋体"/>
        </w:rPr>
      </w:pPr>
      <w:r>
        <w:rPr>
          <w:rFonts w:hint="eastAsia" w:hAnsi="宋体"/>
        </w:rPr>
        <w:t>为避免标识影响视野，请在购买车辆后去除标识。</w:t>
      </w:r>
    </w:p>
    <w:p>
      <w:pPr>
        <w:pStyle w:val="67"/>
        <w:spacing w:before="156" w:after="156"/>
      </w:pPr>
      <w:r>
        <w:rPr>
          <w:rFonts w:hint="eastAsia"/>
        </w:rPr>
        <w:t>附加信息区</w:t>
      </w:r>
    </w:p>
    <w:p>
      <w:pPr>
        <w:pStyle w:val="58"/>
        <w:ind w:firstLine="420"/>
      </w:pPr>
      <w:r>
        <w:rPr>
          <w:rFonts w:hint="eastAsia"/>
        </w:rPr>
        <w:t>“附加信息区”位于标识底端，主要内容包括标识启用日期以及政府主管部门规定的附加信息，如备案号。</w:t>
      </w:r>
    </w:p>
    <w:p>
      <w:pPr>
        <w:pStyle w:val="107"/>
        <w:spacing w:before="156" w:after="156"/>
      </w:pPr>
      <w:bookmarkStart w:id="71" w:name="_Toc62723382"/>
      <w:r>
        <w:rPr>
          <w:rFonts w:hint="eastAsia"/>
        </w:rPr>
        <w:t>标识的规格和图案要求</w:t>
      </w:r>
      <w:bookmarkEnd w:id="71"/>
    </w:p>
    <w:p>
      <w:pPr>
        <w:pStyle w:val="67"/>
        <w:spacing w:before="0" w:beforeLines="0" w:after="0" w:afterLines="0"/>
        <w:rPr>
          <w:rFonts w:ascii="宋体" w:hAnsi="宋体" w:eastAsia="宋体"/>
        </w:rPr>
      </w:pPr>
      <w:r>
        <w:rPr>
          <w:rFonts w:hint="eastAsia" w:ascii="宋体" w:hAnsi="宋体" w:eastAsia="宋体"/>
        </w:rPr>
        <w:t>标识尺寸至少为GB/T 788规定的A5（148㎜×210㎜）幅面，也可采用A4（210㎜×297㎜）幅面，或在其他幅面中使用尺寸为A5或A4幅面的标识并保证其格式符合要求。</w:t>
      </w:r>
    </w:p>
    <w:p>
      <w:pPr>
        <w:pStyle w:val="67"/>
        <w:spacing w:before="0" w:beforeLines="0" w:after="0" w:afterLines="0"/>
        <w:rPr>
          <w:rFonts w:ascii="宋体" w:hAnsi="宋体" w:eastAsia="宋体"/>
        </w:rPr>
      </w:pPr>
      <w:r>
        <w:rPr>
          <w:rFonts w:hint="eastAsia" w:ascii="宋体" w:hAnsi="宋体" w:eastAsia="宋体"/>
        </w:rPr>
        <w:t>标识背景为GB/T 3181规定的淡黄色，对应编号为Y06；“企业标志”区域以及标注燃料消耗量、</w:t>
      </w:r>
      <w:bookmarkStart w:id="72" w:name="_Hlk70553727"/>
      <w:r>
        <w:rPr>
          <w:rFonts w:hint="eastAsia" w:ascii="宋体" w:hAnsi="宋体" w:eastAsia="宋体"/>
        </w:rPr>
        <w:t>预估能源成本、C</w:t>
      </w:r>
      <w:r>
        <w:rPr>
          <w:rFonts w:ascii="宋体" w:hAnsi="宋体" w:eastAsia="宋体"/>
        </w:rPr>
        <w:t>O</w:t>
      </w:r>
      <w:r>
        <w:rPr>
          <w:rFonts w:ascii="宋体" w:hAnsi="宋体" w:eastAsia="宋体"/>
          <w:vertAlign w:val="subscript"/>
        </w:rPr>
        <w:t>2</w:t>
      </w:r>
      <w:r>
        <w:rPr>
          <w:rFonts w:hint="eastAsia" w:ascii="宋体" w:hAnsi="宋体" w:eastAsia="宋体"/>
        </w:rPr>
        <w:t>排放量信息</w:t>
      </w:r>
      <w:bookmarkEnd w:id="72"/>
      <w:r>
        <w:rPr>
          <w:rFonts w:hint="eastAsia" w:ascii="宋体" w:hAnsi="宋体" w:eastAsia="宋体"/>
        </w:rPr>
        <w:t>的区域背景为白色。</w:t>
      </w:r>
    </w:p>
    <w:p>
      <w:pPr>
        <w:pStyle w:val="67"/>
        <w:spacing w:before="0" w:beforeLines="0" w:after="0" w:afterLines="0"/>
        <w:rPr>
          <w:rFonts w:ascii="宋体" w:hAnsi="宋体" w:eastAsia="宋体"/>
        </w:rPr>
      </w:pPr>
      <w:r>
        <w:rPr>
          <w:rFonts w:hint="eastAsia" w:ascii="宋体" w:hAnsi="宋体" w:eastAsia="宋体"/>
        </w:rPr>
        <w:t>A5幅面标识各功能区的布局和尺寸应符合图</w:t>
      </w:r>
      <w:r>
        <w:rPr>
          <w:rFonts w:ascii="宋体" w:hAnsi="宋体" w:eastAsia="宋体"/>
        </w:rPr>
        <w:t>B</w:t>
      </w:r>
      <w:r>
        <w:rPr>
          <w:rFonts w:hint="eastAsia" w:ascii="宋体" w:hAnsi="宋体" w:eastAsia="宋体"/>
        </w:rPr>
        <w:t>.</w:t>
      </w:r>
      <w:r>
        <w:rPr>
          <w:rFonts w:ascii="宋体" w:hAnsi="宋体" w:eastAsia="宋体"/>
        </w:rPr>
        <w:t>5</w:t>
      </w:r>
      <w:r>
        <w:rPr>
          <w:rFonts w:hint="eastAsia" w:ascii="宋体" w:hAnsi="宋体" w:eastAsia="宋体"/>
        </w:rPr>
        <w:t>的要求。标识所使用的文字和数字全部为黑色，对应的字体、字号要求见表1。A4幅面标识应相应放大。</w:t>
      </w:r>
    </w:p>
    <w:p>
      <w:pPr>
        <w:pStyle w:val="114"/>
        <w:spacing w:before="156" w:after="156"/>
      </w:pPr>
      <w:r>
        <w:rPr>
          <w:rFonts w:hint="eastAsia"/>
        </w:rPr>
        <w:t>各功能区对应的字体和字号</w:t>
      </w:r>
    </w:p>
    <w:tbl>
      <w:tblPr>
        <w:tblStyle w:val="28"/>
        <w:tblW w:w="9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9"/>
        <w:gridCol w:w="739"/>
        <w:gridCol w:w="1352"/>
        <w:gridCol w:w="3681"/>
        <w:gridCol w:w="1127"/>
        <w:gridCol w:w="17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478" w:type="dxa"/>
            <w:gridSpan w:val="2"/>
            <w:tcBorders>
              <w:top w:val="single" w:color="000000" w:sz="8" w:space="0"/>
              <w:left w:val="single" w:color="000000" w:sz="8" w:space="0"/>
              <w:bottom w:val="single" w:color="000000" w:sz="4" w:space="0"/>
              <w:right w:val="single" w:color="000000" w:sz="4" w:space="0"/>
            </w:tcBorders>
            <w:vAlign w:val="center"/>
          </w:tcPr>
          <w:p>
            <w:pPr>
              <w:spacing w:before="15" w:beforeLines="5" w:after="15" w:afterLines="5"/>
              <w:jc w:val="center"/>
              <w:rPr>
                <w:rFonts w:ascii="宋体" w:hAnsi="宋体"/>
                <w:b/>
                <w:bCs/>
                <w:sz w:val="18"/>
                <w:szCs w:val="18"/>
              </w:rPr>
            </w:pPr>
            <w:r>
              <w:rPr>
                <w:rFonts w:hint="eastAsia" w:ascii="宋体" w:hAnsi="宋体"/>
                <w:b/>
                <w:bCs/>
                <w:sz w:val="18"/>
                <w:szCs w:val="18"/>
              </w:rPr>
              <w:t>功能区</w:t>
            </w:r>
          </w:p>
        </w:tc>
        <w:tc>
          <w:tcPr>
            <w:tcW w:w="5033" w:type="dxa"/>
            <w:gridSpan w:val="2"/>
            <w:tcBorders>
              <w:top w:val="single" w:color="000000" w:sz="8" w:space="0"/>
              <w:left w:val="single" w:color="000000" w:sz="4" w:space="0"/>
              <w:bottom w:val="single" w:color="000000" w:sz="8" w:space="0"/>
              <w:right w:val="single" w:color="000000" w:sz="4" w:space="0"/>
            </w:tcBorders>
            <w:vAlign w:val="center"/>
          </w:tcPr>
          <w:p>
            <w:pPr>
              <w:spacing w:before="15" w:beforeLines="5" w:after="15" w:afterLines="5"/>
              <w:jc w:val="center"/>
              <w:rPr>
                <w:rFonts w:ascii="宋体" w:hAnsi="宋体"/>
                <w:b/>
                <w:bCs/>
                <w:sz w:val="18"/>
                <w:szCs w:val="18"/>
              </w:rPr>
            </w:pPr>
            <w:r>
              <w:rPr>
                <w:rFonts w:hint="eastAsia" w:ascii="宋体" w:hAnsi="宋体"/>
                <w:b/>
                <w:bCs/>
                <w:sz w:val="18"/>
                <w:szCs w:val="18"/>
              </w:rPr>
              <w:t>内容</w:t>
            </w:r>
          </w:p>
        </w:tc>
        <w:tc>
          <w:tcPr>
            <w:tcW w:w="1127" w:type="dxa"/>
            <w:tcBorders>
              <w:top w:val="single" w:color="000000" w:sz="8" w:space="0"/>
              <w:left w:val="single" w:color="000000" w:sz="4" w:space="0"/>
              <w:bottom w:val="single" w:color="000000" w:sz="8" w:space="0"/>
              <w:right w:val="single" w:color="000000" w:sz="4" w:space="0"/>
            </w:tcBorders>
            <w:vAlign w:val="center"/>
          </w:tcPr>
          <w:p>
            <w:pPr>
              <w:spacing w:before="15" w:beforeLines="5" w:after="15" w:afterLines="5"/>
              <w:jc w:val="center"/>
              <w:rPr>
                <w:rFonts w:ascii="宋体" w:hAnsi="宋体"/>
                <w:b/>
                <w:bCs/>
                <w:sz w:val="18"/>
                <w:szCs w:val="18"/>
              </w:rPr>
            </w:pPr>
            <w:r>
              <w:rPr>
                <w:rFonts w:hint="eastAsia" w:ascii="宋体" w:hAnsi="宋体"/>
                <w:b/>
                <w:bCs/>
                <w:sz w:val="18"/>
                <w:szCs w:val="18"/>
              </w:rPr>
              <w:t>字体</w:t>
            </w:r>
          </w:p>
        </w:tc>
        <w:tc>
          <w:tcPr>
            <w:tcW w:w="1722" w:type="dxa"/>
            <w:tcBorders>
              <w:top w:val="single" w:color="000000" w:sz="8" w:space="0"/>
              <w:left w:val="single" w:color="000000" w:sz="4" w:space="0"/>
              <w:bottom w:val="single" w:color="000000" w:sz="8" w:space="0"/>
              <w:right w:val="single" w:color="000000" w:sz="8" w:space="0"/>
            </w:tcBorders>
            <w:vAlign w:val="center"/>
          </w:tcPr>
          <w:p>
            <w:pPr>
              <w:spacing w:before="15" w:beforeLines="5" w:after="15" w:afterLines="5"/>
              <w:jc w:val="center"/>
              <w:rPr>
                <w:rFonts w:ascii="宋体" w:hAnsi="宋体"/>
                <w:b/>
                <w:bCs/>
                <w:sz w:val="18"/>
                <w:szCs w:val="18"/>
              </w:rPr>
            </w:pPr>
            <w:r>
              <w:rPr>
                <w:rFonts w:hint="eastAsia" w:ascii="宋体" w:hAnsi="宋体"/>
                <w:b/>
                <w:bCs/>
                <w:sz w:val="18"/>
                <w:szCs w:val="18"/>
              </w:rPr>
              <w:t>字号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 w:hRule="atLeast"/>
          <w:jc w:val="center"/>
        </w:trPr>
        <w:tc>
          <w:tcPr>
            <w:tcW w:w="1478" w:type="dxa"/>
            <w:gridSpan w:val="2"/>
            <w:vMerge w:val="restart"/>
            <w:tcBorders>
              <w:top w:val="single" w:color="000000" w:sz="8" w:space="0"/>
              <w:left w:val="single" w:color="000000" w:sz="8" w:space="0"/>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标题区</w:t>
            </w:r>
            <w:r>
              <w:rPr>
                <w:rFonts w:ascii="宋体" w:hAnsi="宋体"/>
                <w:sz w:val="18"/>
                <w:szCs w:val="18"/>
                <w:vertAlign w:val="superscript"/>
              </w:rPr>
              <w:t>a</w:t>
            </w:r>
          </w:p>
        </w:tc>
        <w:tc>
          <w:tcPr>
            <w:tcW w:w="1352" w:type="dxa"/>
            <w:vMerge w:val="restart"/>
            <w:tcBorders>
              <w:top w:val="single" w:color="000000" w:sz="8"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文字</w:t>
            </w:r>
          </w:p>
        </w:tc>
        <w:tc>
          <w:tcPr>
            <w:tcW w:w="3681" w:type="dxa"/>
            <w:tcBorders>
              <w:top w:val="single" w:color="000000" w:sz="8"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中文</w:t>
            </w:r>
          </w:p>
        </w:tc>
        <w:tc>
          <w:tcPr>
            <w:tcW w:w="1127" w:type="dxa"/>
            <w:tcBorders>
              <w:top w:val="single" w:color="000000" w:sz="8"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黑体加粗</w:t>
            </w:r>
          </w:p>
        </w:tc>
        <w:tc>
          <w:tcPr>
            <w:tcW w:w="1722" w:type="dxa"/>
            <w:tcBorders>
              <w:top w:val="single" w:color="000000" w:sz="8"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小一号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2"/>
            <w:vMerge w:val="continue"/>
            <w:tcBorders>
              <w:top w:val="nil"/>
              <w:left w:val="single" w:color="000000" w:sz="8" w:space="0"/>
              <w:bottom w:val="single" w:color="000000" w:sz="4" w:space="0"/>
              <w:right w:val="single" w:color="000000" w:sz="4" w:space="0"/>
            </w:tcBorders>
            <w:vAlign w:val="center"/>
          </w:tcPr>
          <w:p>
            <w:pPr>
              <w:widowControl/>
              <w:jc w:val="left"/>
              <w:rPr>
                <w:rFonts w:ascii="宋体" w:hAnsi="宋体"/>
                <w:sz w:val="18"/>
                <w:szCs w:val="18"/>
              </w:rPr>
            </w:pPr>
          </w:p>
        </w:tc>
        <w:tc>
          <w:tcPr>
            <w:tcW w:w="1352" w:type="dxa"/>
            <w:vMerge w:val="continue"/>
            <w:tcBorders>
              <w:top w:val="nil"/>
              <w:left w:val="nil"/>
              <w:bottom w:val="single" w:color="000000" w:sz="4" w:space="0"/>
              <w:right w:val="single" w:color="000000" w:sz="4" w:space="0"/>
            </w:tcBorders>
            <w:vAlign w:val="center"/>
          </w:tcPr>
          <w:p>
            <w:pPr>
              <w:widowControl/>
              <w:jc w:val="left"/>
              <w:rPr>
                <w:rFonts w:ascii="宋体" w:hAnsi="宋体"/>
                <w:sz w:val="18"/>
                <w:szCs w:val="18"/>
              </w:rPr>
            </w:pPr>
          </w:p>
        </w:tc>
        <w:tc>
          <w:tcPr>
            <w:tcW w:w="3681"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英文</w:t>
            </w:r>
          </w:p>
        </w:tc>
        <w:tc>
          <w:tcPr>
            <w:tcW w:w="1127"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黑体加粗</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小四号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9" w:type="dxa"/>
            <w:vMerge w:val="restart"/>
            <w:tcBorders>
              <w:top w:val="nil"/>
              <w:left w:val="single" w:color="000000" w:sz="8" w:space="0"/>
              <w:right w:val="single" w:color="auto" w:sz="4" w:space="0"/>
            </w:tcBorders>
            <w:vAlign w:val="center"/>
          </w:tcPr>
          <w:p>
            <w:pPr>
              <w:spacing w:line="320" w:lineRule="exact"/>
              <w:jc w:val="center"/>
              <w:rPr>
                <w:rFonts w:ascii="宋体" w:hAnsi="宋体"/>
                <w:sz w:val="18"/>
                <w:szCs w:val="18"/>
              </w:rPr>
            </w:pPr>
            <w:r>
              <w:rPr>
                <w:rFonts w:hint="eastAsia" w:ascii="宋体" w:hAnsi="宋体"/>
                <w:sz w:val="18"/>
                <w:szCs w:val="18"/>
              </w:rPr>
              <w:t>信息区</w:t>
            </w:r>
            <w:r>
              <w:rPr>
                <w:rFonts w:ascii="宋体" w:hAnsi="宋体"/>
                <w:sz w:val="18"/>
                <w:szCs w:val="18"/>
                <w:vertAlign w:val="superscript"/>
              </w:rPr>
              <w:t>b</w:t>
            </w:r>
          </w:p>
        </w:tc>
        <w:tc>
          <w:tcPr>
            <w:tcW w:w="739" w:type="dxa"/>
            <w:vMerge w:val="restart"/>
            <w:tcBorders>
              <w:top w:val="nil"/>
              <w:left w:val="single" w:color="auto" w:sz="4" w:space="0"/>
              <w:right w:val="single" w:color="000000" w:sz="4" w:space="0"/>
            </w:tcBorders>
            <w:vAlign w:val="center"/>
          </w:tcPr>
          <w:p>
            <w:pPr>
              <w:spacing w:line="320" w:lineRule="exact"/>
              <w:jc w:val="center"/>
              <w:rPr>
                <w:rFonts w:ascii="宋体" w:hAnsi="宋体"/>
                <w:sz w:val="18"/>
                <w:szCs w:val="18"/>
              </w:rPr>
            </w:pPr>
            <w:r>
              <w:rPr>
                <w:rFonts w:hint="eastAsia" w:ascii="宋体" w:hAnsi="宋体"/>
                <w:sz w:val="18"/>
                <w:szCs w:val="18"/>
              </w:rPr>
              <w:t>车型基本信息区</w:t>
            </w:r>
          </w:p>
        </w:tc>
        <w:tc>
          <w:tcPr>
            <w:tcW w:w="1352" w:type="dxa"/>
            <w:vMerge w:val="restart"/>
            <w:tcBorders>
              <w:top w:val="nil"/>
              <w:left w:val="nil"/>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文字</w:t>
            </w:r>
          </w:p>
        </w:tc>
        <w:tc>
          <w:tcPr>
            <w:tcW w:w="3681"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中文</w:t>
            </w:r>
          </w:p>
        </w:tc>
        <w:tc>
          <w:tcPr>
            <w:tcW w:w="1127"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highlight w:val="yellow"/>
              </w:rPr>
            </w:pPr>
            <w:r>
              <w:rPr>
                <w:rFonts w:hint="eastAsia" w:ascii="宋体" w:hAnsi="宋体"/>
                <w:sz w:val="18"/>
                <w:szCs w:val="18"/>
              </w:rPr>
              <w:t>五号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9" w:type="dxa"/>
            <w:vMerge w:val="continue"/>
            <w:tcBorders>
              <w:left w:val="single" w:color="000000" w:sz="8" w:space="0"/>
              <w:right w:val="single" w:color="auto" w:sz="4" w:space="0"/>
            </w:tcBorders>
            <w:vAlign w:val="center"/>
          </w:tcPr>
          <w:p>
            <w:pPr>
              <w:spacing w:before="15" w:beforeLines="5" w:after="15" w:afterLines="5"/>
              <w:jc w:val="center"/>
              <w:rPr>
                <w:rFonts w:ascii="宋体" w:hAnsi="宋体"/>
                <w:sz w:val="18"/>
                <w:szCs w:val="18"/>
              </w:rPr>
            </w:pPr>
          </w:p>
        </w:tc>
        <w:tc>
          <w:tcPr>
            <w:tcW w:w="739" w:type="dxa"/>
            <w:vMerge w:val="continue"/>
            <w:tcBorders>
              <w:left w:val="single" w:color="auto" w:sz="4" w:space="0"/>
              <w:right w:val="single" w:color="000000" w:sz="4" w:space="0"/>
            </w:tcBorders>
            <w:vAlign w:val="center"/>
          </w:tcPr>
          <w:p>
            <w:pPr>
              <w:spacing w:before="15" w:beforeLines="5" w:after="15" w:afterLines="5"/>
              <w:jc w:val="center"/>
              <w:rPr>
                <w:rFonts w:ascii="宋体" w:hAnsi="宋体"/>
                <w:sz w:val="18"/>
                <w:szCs w:val="18"/>
              </w:rPr>
            </w:pPr>
          </w:p>
        </w:tc>
        <w:tc>
          <w:tcPr>
            <w:tcW w:w="1352" w:type="dxa"/>
            <w:vMerge w:val="continue"/>
            <w:tcBorders>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p>
        </w:tc>
        <w:tc>
          <w:tcPr>
            <w:tcW w:w="3681"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英文</w:t>
            </w:r>
          </w:p>
        </w:tc>
        <w:tc>
          <w:tcPr>
            <w:tcW w:w="1127"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highlight w:val="yellow"/>
              </w:rPr>
            </w:pPr>
            <w:r>
              <w:rPr>
                <w:rFonts w:hint="eastAsia" w:ascii="宋体" w:hAnsi="宋体"/>
                <w:sz w:val="18"/>
                <w:szCs w:val="18"/>
              </w:rPr>
              <w:t>五号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3" w:hRule="atLeast"/>
          <w:jc w:val="center"/>
        </w:trPr>
        <w:tc>
          <w:tcPr>
            <w:tcW w:w="739" w:type="dxa"/>
            <w:vMerge w:val="continue"/>
            <w:tcBorders>
              <w:left w:val="single" w:color="000000" w:sz="8" w:space="0"/>
              <w:right w:val="single" w:color="auto" w:sz="4" w:space="0"/>
            </w:tcBorders>
            <w:vAlign w:val="center"/>
          </w:tcPr>
          <w:p>
            <w:pPr>
              <w:spacing w:before="15" w:beforeLines="5" w:after="15" w:afterLines="5"/>
              <w:jc w:val="center"/>
              <w:rPr>
                <w:rFonts w:ascii="宋体" w:hAnsi="宋体"/>
                <w:sz w:val="18"/>
                <w:szCs w:val="18"/>
              </w:rPr>
            </w:pPr>
          </w:p>
        </w:tc>
        <w:tc>
          <w:tcPr>
            <w:tcW w:w="739" w:type="dxa"/>
            <w:vMerge w:val="continue"/>
            <w:tcBorders>
              <w:left w:val="single" w:color="auto" w:sz="4" w:space="0"/>
              <w:right w:val="single" w:color="000000" w:sz="4" w:space="0"/>
            </w:tcBorders>
            <w:vAlign w:val="center"/>
          </w:tcPr>
          <w:p>
            <w:pPr>
              <w:spacing w:before="15" w:beforeLines="5" w:after="15" w:afterLines="5"/>
              <w:jc w:val="center"/>
              <w:rPr>
                <w:rFonts w:ascii="宋体" w:hAnsi="宋体"/>
                <w:sz w:val="18"/>
                <w:szCs w:val="18"/>
              </w:rPr>
            </w:pPr>
          </w:p>
        </w:tc>
        <w:tc>
          <w:tcPr>
            <w:tcW w:w="5033" w:type="dxa"/>
            <w:gridSpan w:val="2"/>
            <w:tcBorders>
              <w:top w:val="nil"/>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数字</w:t>
            </w:r>
          </w:p>
        </w:tc>
        <w:tc>
          <w:tcPr>
            <w:tcW w:w="1127"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highlight w:val="yellow"/>
              </w:rPr>
            </w:pPr>
            <w:r>
              <w:rPr>
                <w:rFonts w:hint="eastAsia" w:ascii="宋体" w:hAnsi="宋体"/>
                <w:sz w:val="18"/>
                <w:szCs w:val="18"/>
              </w:rPr>
              <w:t>五号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39" w:type="dxa"/>
            <w:vMerge w:val="continue"/>
            <w:tcBorders>
              <w:left w:val="single" w:color="000000" w:sz="8" w:space="0"/>
              <w:right w:val="single" w:color="auto" w:sz="4" w:space="0"/>
            </w:tcBorders>
            <w:vAlign w:val="center"/>
          </w:tcPr>
          <w:p>
            <w:pPr>
              <w:spacing w:before="15" w:beforeLines="5" w:after="15" w:afterLines="5"/>
              <w:jc w:val="center"/>
              <w:rPr>
                <w:rFonts w:ascii="宋体" w:hAnsi="宋体"/>
                <w:sz w:val="18"/>
                <w:szCs w:val="18"/>
              </w:rPr>
            </w:pPr>
          </w:p>
        </w:tc>
        <w:tc>
          <w:tcPr>
            <w:tcW w:w="739" w:type="dxa"/>
            <w:vMerge w:val="restart"/>
            <w:tcBorders>
              <w:left w:val="single" w:color="auto" w:sz="4" w:space="0"/>
              <w:right w:val="single" w:color="000000" w:sz="4" w:space="0"/>
            </w:tcBorders>
            <w:vAlign w:val="center"/>
          </w:tcPr>
          <w:p>
            <w:pPr>
              <w:spacing w:line="320" w:lineRule="exact"/>
              <w:jc w:val="center"/>
              <w:rPr>
                <w:rFonts w:ascii="宋体" w:hAnsi="宋体"/>
                <w:sz w:val="18"/>
                <w:szCs w:val="18"/>
              </w:rPr>
            </w:pPr>
            <w:r>
              <w:rPr>
                <w:rFonts w:hint="eastAsia" w:ascii="宋体" w:hAnsi="宋体"/>
                <w:sz w:val="18"/>
                <w:szCs w:val="18"/>
              </w:rPr>
              <w:t>能耗信息区</w:t>
            </w:r>
          </w:p>
        </w:tc>
        <w:tc>
          <w:tcPr>
            <w:tcW w:w="1352" w:type="dxa"/>
            <w:vMerge w:val="restart"/>
            <w:tcBorders>
              <w:top w:val="nil"/>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文字</w:t>
            </w:r>
          </w:p>
        </w:tc>
        <w:tc>
          <w:tcPr>
            <w:tcW w:w="3681"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中文</w:t>
            </w:r>
          </w:p>
        </w:tc>
        <w:tc>
          <w:tcPr>
            <w:tcW w:w="1127"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小四号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left w:val="single" w:color="000000" w:sz="8" w:space="0"/>
              <w:right w:val="single" w:color="auto" w:sz="4" w:space="0"/>
            </w:tcBorders>
            <w:vAlign w:val="center"/>
          </w:tcPr>
          <w:p>
            <w:pPr>
              <w:widowControl/>
              <w:jc w:val="left"/>
              <w:rPr>
                <w:rFonts w:ascii="宋体" w:hAnsi="宋体"/>
                <w:sz w:val="18"/>
                <w:szCs w:val="18"/>
              </w:rPr>
            </w:pPr>
          </w:p>
        </w:tc>
        <w:tc>
          <w:tcPr>
            <w:tcW w:w="0" w:type="auto"/>
            <w:vMerge w:val="continue"/>
            <w:tcBorders>
              <w:left w:val="single" w:color="auto" w:sz="4" w:space="0"/>
              <w:right w:val="single" w:color="000000" w:sz="4" w:space="0"/>
            </w:tcBorders>
            <w:vAlign w:val="center"/>
          </w:tcPr>
          <w:p>
            <w:pPr>
              <w:widowControl/>
              <w:jc w:val="left"/>
              <w:rPr>
                <w:rFonts w:ascii="宋体" w:hAnsi="宋体"/>
                <w:sz w:val="18"/>
                <w:szCs w:val="18"/>
              </w:rPr>
            </w:pPr>
          </w:p>
        </w:tc>
        <w:tc>
          <w:tcPr>
            <w:tcW w:w="1352" w:type="dxa"/>
            <w:vMerge w:val="continue"/>
            <w:tcBorders>
              <w:top w:val="nil"/>
              <w:left w:val="nil"/>
              <w:bottom w:val="single" w:color="000000" w:sz="4" w:space="0"/>
              <w:right w:val="single" w:color="000000" w:sz="4" w:space="0"/>
            </w:tcBorders>
            <w:vAlign w:val="center"/>
          </w:tcPr>
          <w:p>
            <w:pPr>
              <w:widowControl/>
              <w:jc w:val="left"/>
              <w:rPr>
                <w:rFonts w:ascii="宋体" w:hAnsi="宋体"/>
                <w:sz w:val="18"/>
                <w:szCs w:val="18"/>
              </w:rPr>
            </w:pPr>
          </w:p>
        </w:tc>
        <w:tc>
          <w:tcPr>
            <w:tcW w:w="3681"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英文</w:t>
            </w:r>
          </w:p>
        </w:tc>
        <w:tc>
          <w:tcPr>
            <w:tcW w:w="1127"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小四号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left w:val="single" w:color="000000" w:sz="8" w:space="0"/>
              <w:right w:val="single" w:color="auto" w:sz="4" w:space="0"/>
            </w:tcBorders>
            <w:vAlign w:val="center"/>
          </w:tcPr>
          <w:p>
            <w:pPr>
              <w:widowControl/>
              <w:jc w:val="left"/>
              <w:rPr>
                <w:rFonts w:ascii="宋体" w:hAnsi="宋体"/>
                <w:sz w:val="18"/>
                <w:szCs w:val="18"/>
              </w:rPr>
            </w:pPr>
          </w:p>
        </w:tc>
        <w:tc>
          <w:tcPr>
            <w:tcW w:w="0" w:type="auto"/>
            <w:vMerge w:val="continue"/>
            <w:tcBorders>
              <w:left w:val="single" w:color="auto" w:sz="4" w:space="0"/>
              <w:right w:val="single" w:color="000000" w:sz="4" w:space="0"/>
            </w:tcBorders>
            <w:vAlign w:val="center"/>
          </w:tcPr>
          <w:p>
            <w:pPr>
              <w:widowControl/>
              <w:jc w:val="left"/>
              <w:rPr>
                <w:rFonts w:ascii="宋体" w:hAnsi="宋体"/>
                <w:sz w:val="18"/>
                <w:szCs w:val="18"/>
              </w:rPr>
            </w:pPr>
          </w:p>
        </w:tc>
        <w:tc>
          <w:tcPr>
            <w:tcW w:w="1352" w:type="dxa"/>
            <w:vMerge w:val="restart"/>
            <w:tcBorders>
              <w:top w:val="nil"/>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数字</w:t>
            </w:r>
          </w:p>
        </w:tc>
        <w:tc>
          <w:tcPr>
            <w:tcW w:w="3681"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综合燃料消耗量值</w:t>
            </w:r>
          </w:p>
        </w:tc>
        <w:tc>
          <w:tcPr>
            <w:tcW w:w="1127"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黑体加粗</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小初号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left w:val="single" w:color="000000" w:sz="8" w:space="0"/>
              <w:right w:val="single" w:color="auto" w:sz="4" w:space="0"/>
            </w:tcBorders>
            <w:vAlign w:val="center"/>
          </w:tcPr>
          <w:p>
            <w:pPr>
              <w:widowControl/>
              <w:jc w:val="left"/>
              <w:rPr>
                <w:rFonts w:ascii="宋体" w:hAnsi="宋体"/>
                <w:sz w:val="18"/>
                <w:szCs w:val="18"/>
              </w:rPr>
            </w:pPr>
          </w:p>
        </w:tc>
        <w:tc>
          <w:tcPr>
            <w:tcW w:w="0" w:type="auto"/>
            <w:vMerge w:val="continue"/>
            <w:tcBorders>
              <w:left w:val="single" w:color="auto" w:sz="4" w:space="0"/>
              <w:right w:val="single" w:color="000000" w:sz="4" w:space="0"/>
            </w:tcBorders>
            <w:vAlign w:val="center"/>
          </w:tcPr>
          <w:p>
            <w:pPr>
              <w:widowControl/>
              <w:jc w:val="left"/>
              <w:rPr>
                <w:rFonts w:ascii="宋体" w:hAnsi="宋体"/>
                <w:sz w:val="18"/>
                <w:szCs w:val="18"/>
              </w:rPr>
            </w:pPr>
          </w:p>
        </w:tc>
        <w:tc>
          <w:tcPr>
            <w:tcW w:w="1352" w:type="dxa"/>
            <w:vMerge w:val="continue"/>
            <w:tcBorders>
              <w:top w:val="nil"/>
              <w:left w:val="nil"/>
              <w:bottom w:val="single" w:color="000000" w:sz="4" w:space="0"/>
              <w:right w:val="single" w:color="000000" w:sz="4" w:space="0"/>
            </w:tcBorders>
            <w:vAlign w:val="center"/>
          </w:tcPr>
          <w:p>
            <w:pPr>
              <w:widowControl/>
              <w:jc w:val="left"/>
              <w:rPr>
                <w:rFonts w:ascii="宋体" w:hAnsi="宋体"/>
                <w:sz w:val="18"/>
                <w:szCs w:val="18"/>
              </w:rPr>
            </w:pPr>
          </w:p>
        </w:tc>
        <w:tc>
          <w:tcPr>
            <w:tcW w:w="3681" w:type="dxa"/>
            <w:tcBorders>
              <w:top w:val="single" w:color="000000" w:sz="4" w:space="0"/>
              <w:left w:val="nil"/>
              <w:bottom w:val="single" w:color="000000" w:sz="4" w:space="0"/>
              <w:right w:val="single" w:color="000000" w:sz="4" w:space="0"/>
            </w:tcBorders>
            <w:vAlign w:val="center"/>
          </w:tcPr>
          <w:p>
            <w:pPr>
              <w:spacing w:line="320" w:lineRule="exact"/>
              <w:jc w:val="center"/>
              <w:rPr>
                <w:rFonts w:ascii="宋体" w:hAnsi="宋体"/>
                <w:sz w:val="18"/>
                <w:szCs w:val="18"/>
              </w:rPr>
            </w:pPr>
            <w:r>
              <w:rPr>
                <w:rFonts w:hint="eastAsia" w:ascii="宋体" w:hAnsi="宋体"/>
                <w:sz w:val="18"/>
                <w:szCs w:val="18"/>
              </w:rPr>
              <w:t>各速度段燃料消耗量值、开启空调制冷、低温、高海拔环境下综合燃料消耗量数值</w:t>
            </w:r>
            <w:r>
              <w:rPr>
                <w:rFonts w:ascii="宋体" w:hAnsi="宋体"/>
                <w:sz w:val="18"/>
                <w:szCs w:val="18"/>
                <w:vertAlign w:val="superscript"/>
              </w:rPr>
              <w:t>c</w:t>
            </w:r>
            <w:r>
              <w:rPr>
                <w:rFonts w:ascii="宋体" w:hAnsi="宋体"/>
                <w:sz w:val="18"/>
                <w:szCs w:val="18"/>
              </w:rPr>
              <w:t xml:space="preserve"> </w:t>
            </w:r>
          </w:p>
        </w:tc>
        <w:tc>
          <w:tcPr>
            <w:tcW w:w="1127"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小四号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left w:val="single" w:color="000000" w:sz="8" w:space="0"/>
              <w:right w:val="single" w:color="auto" w:sz="4" w:space="0"/>
            </w:tcBorders>
            <w:vAlign w:val="center"/>
          </w:tcPr>
          <w:p>
            <w:pPr>
              <w:widowControl/>
              <w:jc w:val="left"/>
              <w:rPr>
                <w:rFonts w:ascii="宋体" w:hAnsi="宋体"/>
                <w:sz w:val="18"/>
                <w:szCs w:val="18"/>
              </w:rPr>
            </w:pPr>
          </w:p>
        </w:tc>
        <w:tc>
          <w:tcPr>
            <w:tcW w:w="0" w:type="auto"/>
            <w:vMerge w:val="continue"/>
            <w:tcBorders>
              <w:left w:val="single" w:color="auto" w:sz="4" w:space="0"/>
              <w:right w:val="single" w:color="000000" w:sz="4" w:space="0"/>
            </w:tcBorders>
            <w:vAlign w:val="center"/>
          </w:tcPr>
          <w:p>
            <w:pPr>
              <w:widowControl/>
              <w:jc w:val="left"/>
              <w:rPr>
                <w:rFonts w:ascii="宋体" w:hAnsi="宋体"/>
                <w:sz w:val="18"/>
                <w:szCs w:val="18"/>
              </w:rPr>
            </w:pPr>
          </w:p>
        </w:tc>
        <w:tc>
          <w:tcPr>
            <w:tcW w:w="1352" w:type="dxa"/>
            <w:vMerge w:val="continue"/>
            <w:tcBorders>
              <w:top w:val="nil"/>
              <w:left w:val="nil"/>
              <w:bottom w:val="single" w:color="000000" w:sz="4" w:space="0"/>
              <w:right w:val="single" w:color="000000" w:sz="4" w:space="0"/>
            </w:tcBorders>
            <w:vAlign w:val="center"/>
          </w:tcPr>
          <w:p>
            <w:pPr>
              <w:widowControl/>
              <w:jc w:val="left"/>
              <w:rPr>
                <w:rFonts w:ascii="宋体" w:hAnsi="宋体"/>
                <w:sz w:val="18"/>
                <w:szCs w:val="18"/>
              </w:rPr>
            </w:pPr>
          </w:p>
        </w:tc>
        <w:tc>
          <w:tcPr>
            <w:tcW w:w="3681"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预估能源成本数值、C</w:t>
            </w:r>
            <w:r>
              <w:rPr>
                <w:rFonts w:ascii="宋体" w:hAnsi="宋体"/>
                <w:sz w:val="18"/>
                <w:szCs w:val="18"/>
              </w:rPr>
              <w:t>O</w:t>
            </w:r>
            <w:r>
              <w:rPr>
                <w:rFonts w:ascii="宋体" w:hAnsi="宋体"/>
                <w:sz w:val="18"/>
                <w:szCs w:val="18"/>
                <w:vertAlign w:val="subscript"/>
              </w:rPr>
              <w:t>2</w:t>
            </w:r>
            <w:r>
              <w:rPr>
                <w:rFonts w:hint="eastAsia" w:ascii="宋体" w:hAnsi="宋体"/>
                <w:sz w:val="18"/>
                <w:szCs w:val="18"/>
              </w:rPr>
              <w:t>排放量数值</w:t>
            </w:r>
          </w:p>
        </w:tc>
        <w:tc>
          <w:tcPr>
            <w:tcW w:w="1127"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小四号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left w:val="single" w:color="000000" w:sz="8" w:space="0"/>
              <w:right w:val="single" w:color="auto" w:sz="4" w:space="0"/>
            </w:tcBorders>
            <w:vAlign w:val="center"/>
          </w:tcPr>
          <w:p>
            <w:pPr>
              <w:widowControl/>
              <w:jc w:val="left"/>
              <w:rPr>
                <w:rFonts w:ascii="宋体" w:hAnsi="宋体"/>
                <w:sz w:val="18"/>
                <w:szCs w:val="18"/>
              </w:rPr>
            </w:pPr>
          </w:p>
        </w:tc>
        <w:tc>
          <w:tcPr>
            <w:tcW w:w="0" w:type="auto"/>
            <w:vMerge w:val="continue"/>
            <w:tcBorders>
              <w:left w:val="single" w:color="auto" w:sz="4" w:space="0"/>
              <w:right w:val="single" w:color="000000" w:sz="4" w:space="0"/>
            </w:tcBorders>
            <w:vAlign w:val="center"/>
          </w:tcPr>
          <w:p>
            <w:pPr>
              <w:widowControl/>
              <w:jc w:val="left"/>
              <w:rPr>
                <w:rFonts w:ascii="宋体" w:hAnsi="宋体"/>
                <w:sz w:val="18"/>
                <w:szCs w:val="18"/>
              </w:rPr>
            </w:pPr>
          </w:p>
        </w:tc>
        <w:tc>
          <w:tcPr>
            <w:tcW w:w="1352" w:type="dxa"/>
            <w:vMerge w:val="continue"/>
            <w:tcBorders>
              <w:top w:val="nil"/>
              <w:left w:val="nil"/>
              <w:bottom w:val="single" w:color="000000" w:sz="4" w:space="0"/>
              <w:right w:val="single" w:color="000000" w:sz="4" w:space="0"/>
            </w:tcBorders>
            <w:vAlign w:val="center"/>
          </w:tcPr>
          <w:p>
            <w:pPr>
              <w:widowControl/>
              <w:jc w:val="left"/>
              <w:rPr>
                <w:rFonts w:ascii="宋体" w:hAnsi="宋体"/>
                <w:sz w:val="18"/>
                <w:szCs w:val="18"/>
              </w:rPr>
            </w:pPr>
          </w:p>
        </w:tc>
        <w:tc>
          <w:tcPr>
            <w:tcW w:w="3681"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highlight w:val="yellow"/>
              </w:rPr>
            </w:pPr>
            <w:r>
              <w:rPr>
                <w:rFonts w:hint="eastAsia" w:ascii="宋体" w:hAnsi="宋体"/>
                <w:sz w:val="18"/>
                <w:szCs w:val="18"/>
              </w:rPr>
              <w:t>与限值比较数值</w:t>
            </w:r>
          </w:p>
        </w:tc>
        <w:tc>
          <w:tcPr>
            <w:tcW w:w="1127"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highlight w:val="yellow"/>
              </w:rPr>
            </w:pPr>
            <w:r>
              <w:rPr>
                <w:rFonts w:hint="eastAsia" w:ascii="宋体" w:hAnsi="宋体"/>
                <w:sz w:val="18"/>
                <w:szCs w:val="18"/>
              </w:rPr>
              <w:t>小四号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left w:val="single" w:color="000000" w:sz="8" w:space="0"/>
              <w:bottom w:val="single" w:color="000000" w:sz="4" w:space="0"/>
              <w:right w:val="single" w:color="auto" w:sz="4" w:space="0"/>
            </w:tcBorders>
            <w:vAlign w:val="center"/>
          </w:tcPr>
          <w:p>
            <w:pPr>
              <w:widowControl/>
              <w:jc w:val="left"/>
              <w:rPr>
                <w:rFonts w:ascii="宋体" w:hAnsi="宋体"/>
                <w:sz w:val="18"/>
                <w:szCs w:val="18"/>
              </w:rPr>
            </w:pPr>
          </w:p>
        </w:tc>
        <w:tc>
          <w:tcPr>
            <w:tcW w:w="0" w:type="auto"/>
            <w:vMerge w:val="continue"/>
            <w:tcBorders>
              <w:left w:val="single" w:color="auto" w:sz="4" w:space="0"/>
              <w:bottom w:val="single" w:color="000000" w:sz="4" w:space="0"/>
              <w:right w:val="single" w:color="000000" w:sz="4" w:space="0"/>
            </w:tcBorders>
            <w:vAlign w:val="center"/>
          </w:tcPr>
          <w:p>
            <w:pPr>
              <w:widowControl/>
              <w:jc w:val="left"/>
              <w:rPr>
                <w:rFonts w:ascii="宋体" w:hAnsi="宋体"/>
                <w:sz w:val="18"/>
                <w:szCs w:val="18"/>
              </w:rPr>
            </w:pPr>
          </w:p>
        </w:tc>
        <w:tc>
          <w:tcPr>
            <w:tcW w:w="1352" w:type="dxa"/>
            <w:vMerge w:val="continue"/>
            <w:tcBorders>
              <w:top w:val="nil"/>
              <w:left w:val="nil"/>
              <w:bottom w:val="single" w:color="000000" w:sz="4" w:space="0"/>
              <w:right w:val="single" w:color="000000" w:sz="4" w:space="0"/>
            </w:tcBorders>
            <w:vAlign w:val="center"/>
          </w:tcPr>
          <w:p>
            <w:pPr>
              <w:widowControl/>
              <w:jc w:val="left"/>
              <w:rPr>
                <w:rFonts w:ascii="宋体" w:hAnsi="宋体"/>
                <w:sz w:val="18"/>
                <w:szCs w:val="18"/>
              </w:rPr>
            </w:pPr>
          </w:p>
        </w:tc>
        <w:tc>
          <w:tcPr>
            <w:tcW w:w="3681"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highlight w:val="yellow"/>
              </w:rPr>
            </w:pPr>
            <w:r>
              <w:rPr>
                <w:rFonts w:hint="eastAsia" w:ascii="宋体" w:hAnsi="宋体"/>
                <w:sz w:val="18"/>
                <w:szCs w:val="18"/>
              </w:rPr>
              <w:t>连续比较标识数值</w:t>
            </w:r>
            <w:r>
              <w:rPr>
                <w:rFonts w:ascii="宋体" w:hAnsi="宋体"/>
                <w:sz w:val="18"/>
                <w:szCs w:val="18"/>
                <w:vertAlign w:val="superscript"/>
              </w:rPr>
              <w:t>d</w:t>
            </w:r>
          </w:p>
        </w:tc>
        <w:tc>
          <w:tcPr>
            <w:tcW w:w="1127"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highlight w:val="yellow"/>
              </w:rPr>
            </w:pPr>
            <w:r>
              <w:rPr>
                <w:rFonts w:hint="eastAsia" w:ascii="宋体" w:hAnsi="宋体"/>
                <w:sz w:val="18"/>
                <w:szCs w:val="18"/>
              </w:rPr>
              <w:t>四号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8" w:type="dxa"/>
            <w:gridSpan w:val="2"/>
            <w:vMerge w:val="restart"/>
            <w:tcBorders>
              <w:top w:val="nil"/>
              <w:left w:val="single" w:color="000000" w:sz="8"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说明区</w:t>
            </w:r>
          </w:p>
        </w:tc>
        <w:tc>
          <w:tcPr>
            <w:tcW w:w="1352" w:type="dxa"/>
            <w:vMerge w:val="restart"/>
            <w:tcBorders>
              <w:top w:val="nil"/>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文字</w:t>
            </w:r>
          </w:p>
        </w:tc>
        <w:tc>
          <w:tcPr>
            <w:tcW w:w="3681"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中文</w:t>
            </w:r>
          </w:p>
        </w:tc>
        <w:tc>
          <w:tcPr>
            <w:tcW w:w="1127"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五号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2"/>
            <w:vMerge w:val="continue"/>
            <w:tcBorders>
              <w:left w:val="single" w:color="000000" w:sz="8" w:space="0"/>
              <w:right w:val="single" w:color="000000" w:sz="4" w:space="0"/>
            </w:tcBorders>
            <w:vAlign w:val="center"/>
          </w:tcPr>
          <w:p>
            <w:pPr>
              <w:jc w:val="center"/>
              <w:rPr>
                <w:rFonts w:ascii="宋体" w:hAnsi="宋体"/>
                <w:sz w:val="18"/>
                <w:szCs w:val="18"/>
              </w:rPr>
            </w:pPr>
          </w:p>
        </w:tc>
        <w:tc>
          <w:tcPr>
            <w:tcW w:w="1352" w:type="dxa"/>
            <w:vMerge w:val="continue"/>
            <w:tcBorders>
              <w:top w:val="nil"/>
              <w:left w:val="nil"/>
              <w:bottom w:val="single" w:color="000000" w:sz="4" w:space="0"/>
              <w:right w:val="single" w:color="000000" w:sz="4" w:space="0"/>
            </w:tcBorders>
            <w:vAlign w:val="center"/>
          </w:tcPr>
          <w:p>
            <w:pPr>
              <w:widowControl/>
              <w:jc w:val="left"/>
              <w:rPr>
                <w:rFonts w:ascii="宋体" w:hAnsi="宋体"/>
                <w:sz w:val="18"/>
                <w:szCs w:val="18"/>
              </w:rPr>
            </w:pPr>
          </w:p>
        </w:tc>
        <w:tc>
          <w:tcPr>
            <w:tcW w:w="3681"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英文</w:t>
            </w:r>
          </w:p>
        </w:tc>
        <w:tc>
          <w:tcPr>
            <w:tcW w:w="1127"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五号</w:t>
            </w:r>
          </w:p>
        </w:tc>
      </w:tr>
    </w:tbl>
    <w:p>
      <w:pPr>
        <w:pStyle w:val="114"/>
        <w:numPr>
          <w:ilvl w:val="0"/>
          <w:numId w:val="0"/>
        </w:numPr>
        <w:spacing w:before="156" w:after="156"/>
      </w:pPr>
      <w:r>
        <w:rPr>
          <w:rFonts w:hint="eastAsia"/>
        </w:rPr>
        <w:t>表2</w:t>
      </w:r>
      <w:r>
        <w:rPr>
          <w:rFonts w:hint="eastAsia" w:hAnsi="宋体"/>
        </w:rPr>
        <w:t>　</w:t>
      </w:r>
      <w:r>
        <w:rPr>
          <w:rFonts w:hint="eastAsia"/>
        </w:rPr>
        <w:t>各功能区对应的字体和字号（续）</w:t>
      </w:r>
    </w:p>
    <w:tbl>
      <w:tblPr>
        <w:tblStyle w:val="28"/>
        <w:tblW w:w="9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78"/>
        <w:gridCol w:w="1352"/>
        <w:gridCol w:w="3681"/>
        <w:gridCol w:w="1127"/>
        <w:gridCol w:w="17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Borders>
              <w:left w:val="single" w:color="000000" w:sz="8" w:space="0"/>
              <w:bottom w:val="single" w:color="000000" w:sz="4" w:space="0"/>
              <w:right w:val="single" w:color="000000" w:sz="4" w:space="0"/>
            </w:tcBorders>
            <w:vAlign w:val="center"/>
          </w:tcPr>
          <w:p>
            <w:pPr>
              <w:widowControl/>
              <w:jc w:val="center"/>
              <w:rPr>
                <w:rFonts w:ascii="宋体" w:hAnsi="宋体"/>
                <w:b/>
                <w:bCs/>
                <w:sz w:val="18"/>
                <w:szCs w:val="18"/>
              </w:rPr>
            </w:pPr>
            <w:r>
              <w:rPr>
                <w:rFonts w:hint="eastAsia" w:ascii="宋体" w:hAnsi="宋体"/>
                <w:b/>
                <w:bCs/>
                <w:sz w:val="18"/>
                <w:szCs w:val="18"/>
              </w:rPr>
              <w:t>功能区</w:t>
            </w:r>
          </w:p>
        </w:tc>
        <w:tc>
          <w:tcPr>
            <w:tcW w:w="5033" w:type="dxa"/>
            <w:gridSpan w:val="2"/>
            <w:tcBorders>
              <w:top w:val="single" w:color="auto" w:sz="4" w:space="0"/>
              <w:left w:val="nil"/>
              <w:bottom w:val="single" w:color="000000" w:sz="4" w:space="0"/>
              <w:right w:val="single" w:color="000000" w:sz="4" w:space="0"/>
            </w:tcBorders>
            <w:vAlign w:val="center"/>
          </w:tcPr>
          <w:p>
            <w:pPr>
              <w:spacing w:before="15" w:beforeLines="5" w:after="15" w:afterLines="5"/>
              <w:jc w:val="center"/>
              <w:rPr>
                <w:rFonts w:ascii="宋体" w:hAnsi="宋体"/>
                <w:b/>
                <w:bCs/>
                <w:sz w:val="18"/>
                <w:szCs w:val="18"/>
              </w:rPr>
            </w:pPr>
            <w:r>
              <w:rPr>
                <w:rFonts w:hint="eastAsia" w:ascii="宋体" w:hAnsi="宋体"/>
                <w:b/>
                <w:bCs/>
                <w:sz w:val="18"/>
                <w:szCs w:val="18"/>
              </w:rPr>
              <w:t>内容</w:t>
            </w:r>
          </w:p>
        </w:tc>
        <w:tc>
          <w:tcPr>
            <w:tcW w:w="1127" w:type="dxa"/>
            <w:tcBorders>
              <w:top w:val="single" w:color="auto" w:sz="4" w:space="0"/>
              <w:left w:val="nil"/>
              <w:bottom w:val="single" w:color="000000" w:sz="4" w:space="0"/>
              <w:right w:val="single" w:color="000000" w:sz="4" w:space="0"/>
            </w:tcBorders>
            <w:vAlign w:val="center"/>
          </w:tcPr>
          <w:p>
            <w:pPr>
              <w:spacing w:before="15" w:beforeLines="5" w:after="15" w:afterLines="5"/>
              <w:jc w:val="center"/>
              <w:rPr>
                <w:rFonts w:ascii="宋体" w:hAnsi="宋体"/>
                <w:b/>
                <w:bCs/>
                <w:sz w:val="18"/>
                <w:szCs w:val="18"/>
              </w:rPr>
            </w:pPr>
            <w:r>
              <w:rPr>
                <w:rFonts w:hint="eastAsia" w:ascii="宋体" w:hAnsi="宋体"/>
                <w:b/>
                <w:bCs/>
                <w:sz w:val="18"/>
                <w:szCs w:val="18"/>
              </w:rPr>
              <w:t>字体</w:t>
            </w:r>
          </w:p>
        </w:tc>
        <w:tc>
          <w:tcPr>
            <w:tcW w:w="1722" w:type="dxa"/>
            <w:tcBorders>
              <w:top w:val="single" w:color="auto" w:sz="4" w:space="0"/>
              <w:left w:val="nil"/>
              <w:bottom w:val="single" w:color="000000" w:sz="4" w:space="0"/>
              <w:right w:val="single" w:color="000000" w:sz="8" w:space="0"/>
            </w:tcBorders>
            <w:vAlign w:val="center"/>
          </w:tcPr>
          <w:p>
            <w:pPr>
              <w:spacing w:before="15" w:beforeLines="5" w:after="15" w:afterLines="5"/>
              <w:jc w:val="center"/>
              <w:rPr>
                <w:rFonts w:ascii="宋体" w:hAnsi="宋体"/>
                <w:b/>
                <w:bCs/>
                <w:sz w:val="18"/>
                <w:szCs w:val="18"/>
              </w:rPr>
            </w:pPr>
            <w:r>
              <w:rPr>
                <w:rFonts w:hint="eastAsia" w:ascii="宋体" w:hAnsi="宋体"/>
                <w:b/>
                <w:bCs/>
                <w:sz w:val="18"/>
                <w:szCs w:val="18"/>
              </w:rPr>
              <w:t>字号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Borders>
              <w:left w:val="single" w:color="000000" w:sz="8" w:space="0"/>
              <w:bottom w:val="single" w:color="000000" w:sz="4" w:space="0"/>
              <w:right w:val="single" w:color="000000" w:sz="4" w:space="0"/>
            </w:tcBorders>
            <w:vAlign w:val="center"/>
          </w:tcPr>
          <w:p>
            <w:pPr>
              <w:widowControl/>
              <w:jc w:val="center"/>
              <w:rPr>
                <w:rFonts w:ascii="宋体" w:hAnsi="宋体"/>
                <w:sz w:val="18"/>
                <w:szCs w:val="18"/>
              </w:rPr>
            </w:pPr>
          </w:p>
        </w:tc>
        <w:tc>
          <w:tcPr>
            <w:tcW w:w="5033" w:type="dxa"/>
            <w:gridSpan w:val="2"/>
            <w:tcBorders>
              <w:top w:val="nil"/>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数字</w:t>
            </w:r>
          </w:p>
        </w:tc>
        <w:tc>
          <w:tcPr>
            <w:tcW w:w="1127" w:type="dxa"/>
            <w:tcBorders>
              <w:top w:val="nil"/>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nil"/>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五号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8" w:type="dxa"/>
            <w:vMerge w:val="restart"/>
            <w:tcBorders>
              <w:top w:val="single" w:color="000000" w:sz="4" w:space="0"/>
              <w:left w:val="single" w:color="000000" w:sz="8"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附加信息区</w:t>
            </w:r>
            <w:r>
              <w:rPr>
                <w:rFonts w:ascii="宋体" w:hAnsi="宋体"/>
                <w:sz w:val="18"/>
                <w:szCs w:val="18"/>
                <w:vertAlign w:val="superscript"/>
              </w:rPr>
              <w:t>e</w:t>
            </w:r>
          </w:p>
        </w:tc>
        <w:tc>
          <w:tcPr>
            <w:tcW w:w="1352" w:type="dxa"/>
            <w:vMerge w:val="restart"/>
            <w:tcBorders>
              <w:top w:val="single" w:color="000000" w:sz="4" w:space="0"/>
              <w:left w:val="nil"/>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文字</w:t>
            </w:r>
          </w:p>
        </w:tc>
        <w:tc>
          <w:tcPr>
            <w:tcW w:w="3681"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中文</w:t>
            </w:r>
          </w:p>
        </w:tc>
        <w:tc>
          <w:tcPr>
            <w:tcW w:w="1127"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五号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8" w:type="dxa"/>
            <w:vMerge w:val="continue"/>
            <w:tcBorders>
              <w:left w:val="single" w:color="000000" w:sz="8" w:space="0"/>
              <w:right w:val="single" w:color="000000" w:sz="4" w:space="0"/>
            </w:tcBorders>
            <w:vAlign w:val="center"/>
          </w:tcPr>
          <w:p>
            <w:pPr>
              <w:widowControl/>
              <w:jc w:val="center"/>
              <w:rPr>
                <w:rFonts w:ascii="宋体" w:hAnsi="宋体"/>
                <w:sz w:val="18"/>
                <w:szCs w:val="18"/>
              </w:rPr>
            </w:pPr>
          </w:p>
        </w:tc>
        <w:tc>
          <w:tcPr>
            <w:tcW w:w="1352" w:type="dxa"/>
            <w:vMerge w:val="continue"/>
            <w:tcBorders>
              <w:left w:val="nil"/>
              <w:bottom w:val="single" w:color="000000" w:sz="4" w:space="0"/>
              <w:right w:val="single" w:color="000000" w:sz="4" w:space="0"/>
            </w:tcBorders>
            <w:vAlign w:val="center"/>
          </w:tcPr>
          <w:p>
            <w:pPr>
              <w:widowControl/>
              <w:jc w:val="center"/>
              <w:rPr>
                <w:rFonts w:ascii="宋体" w:hAnsi="宋体"/>
                <w:sz w:val="18"/>
                <w:szCs w:val="18"/>
              </w:rPr>
            </w:pPr>
          </w:p>
        </w:tc>
        <w:tc>
          <w:tcPr>
            <w:tcW w:w="3681"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英文</w:t>
            </w:r>
          </w:p>
        </w:tc>
        <w:tc>
          <w:tcPr>
            <w:tcW w:w="1127"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五号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8" w:type="dxa"/>
            <w:vMerge w:val="continue"/>
            <w:tcBorders>
              <w:left w:val="single" w:color="000000" w:sz="8" w:space="0"/>
              <w:bottom w:val="single" w:color="000000" w:sz="8" w:space="0"/>
              <w:right w:val="single" w:color="000000" w:sz="4" w:space="0"/>
            </w:tcBorders>
            <w:vAlign w:val="center"/>
          </w:tcPr>
          <w:p>
            <w:pPr>
              <w:widowControl/>
              <w:jc w:val="center"/>
              <w:rPr>
                <w:rFonts w:ascii="宋体" w:hAnsi="宋体"/>
                <w:sz w:val="18"/>
                <w:szCs w:val="18"/>
              </w:rPr>
            </w:pPr>
          </w:p>
        </w:tc>
        <w:tc>
          <w:tcPr>
            <w:tcW w:w="5033" w:type="dxa"/>
            <w:gridSpan w:val="2"/>
            <w:tcBorders>
              <w:top w:val="single" w:color="000000" w:sz="4" w:space="0"/>
              <w:left w:val="nil"/>
              <w:bottom w:val="single" w:color="000000" w:sz="8"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数字</w:t>
            </w:r>
          </w:p>
        </w:tc>
        <w:tc>
          <w:tcPr>
            <w:tcW w:w="1127" w:type="dxa"/>
            <w:tcBorders>
              <w:top w:val="single" w:color="000000" w:sz="4" w:space="0"/>
              <w:left w:val="nil"/>
              <w:bottom w:val="single" w:color="000000" w:sz="8"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8"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五号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0" w:type="dxa"/>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pStyle w:val="103"/>
            </w:pPr>
            <w:r>
              <w:rPr>
                <w:rFonts w:hint="eastAsia"/>
              </w:rPr>
              <w:t>标题区不包括“企业标志”，“企业标志”字体、字号及颜色由生产企业自行确定。</w:t>
            </w:r>
          </w:p>
          <w:p>
            <w:pPr>
              <w:pStyle w:val="103"/>
            </w:pPr>
            <w:r>
              <w:rPr>
                <w:rFonts w:hint="eastAsia"/>
              </w:rPr>
              <w:t>标题区与信息区间的水平线粗细为</w:t>
            </w:r>
            <w:r>
              <w:t>3磅。</w:t>
            </w:r>
          </w:p>
          <w:p>
            <w:pPr>
              <w:pStyle w:val="103"/>
            </w:pPr>
            <w:r>
              <w:rPr>
                <w:rFonts w:hint="eastAsia"/>
              </w:rPr>
              <w:t>燃料消耗量基本信息和扩展信息之间的点划线粗细为</w:t>
            </w:r>
            <w:r>
              <w:t>0.5磅。</w:t>
            </w:r>
          </w:p>
          <w:p>
            <w:pPr>
              <w:pStyle w:val="103"/>
            </w:pPr>
            <w:r>
              <w:rPr>
                <w:rFonts w:hint="eastAsia"/>
              </w:rPr>
              <w:t>连续比较标识标尺水平线条粗细为</w:t>
            </w:r>
            <w:r>
              <w:t>3磅，垂直长线条粗细为2磅，垂直短线条粗细为1磅。三角形图案为边长为4mm的等边三角形。</w:t>
            </w:r>
          </w:p>
          <w:p>
            <w:pPr>
              <w:pStyle w:val="103"/>
            </w:pPr>
            <w:r>
              <w:rPr>
                <w:rFonts w:hint="eastAsia"/>
              </w:rPr>
              <w:t>说明区与附加信息区间的水平线粗细为</w:t>
            </w:r>
            <w:r>
              <w:t>1磅。</w:t>
            </w:r>
          </w:p>
        </w:tc>
      </w:tr>
    </w:tbl>
    <w:p>
      <w:pPr>
        <w:pStyle w:val="67"/>
        <w:spacing w:before="156" w:after="0" w:afterLines="0"/>
        <w:rPr>
          <w:rFonts w:ascii="宋体" w:hAnsi="宋体" w:eastAsia="宋体"/>
        </w:rPr>
      </w:pPr>
      <w:bookmarkStart w:id="73" w:name="_Toc62723383"/>
      <w:r>
        <w:rPr>
          <w:rFonts w:hint="eastAsia" w:ascii="宋体" w:hAnsi="宋体" w:eastAsia="宋体"/>
        </w:rPr>
        <w:t>标识“说明区”的二维码(如图B.</w:t>
      </w:r>
      <w:r>
        <w:rPr>
          <w:rFonts w:ascii="宋体" w:hAnsi="宋体" w:eastAsia="宋体"/>
        </w:rPr>
        <w:t>8</w:t>
      </w:r>
      <w:r>
        <w:rPr>
          <w:rFonts w:hint="eastAsia" w:ascii="宋体" w:hAnsi="宋体" w:eastAsia="宋体"/>
        </w:rPr>
        <w:t>所示)中应包含“</w:t>
      </w:r>
      <w:bookmarkStart w:id="74" w:name="_Hlk76032555"/>
      <w:r>
        <w:rPr>
          <w:rFonts w:hint="eastAsia" w:ascii="宋体" w:hAnsi="宋体" w:eastAsia="宋体"/>
        </w:rPr>
        <w:t>中国汽车能源消耗量查询网站</w:t>
      </w:r>
      <w:bookmarkEnd w:id="74"/>
      <w:r>
        <w:rPr>
          <w:rFonts w:hint="eastAsia" w:ascii="宋体" w:hAnsi="宋体" w:eastAsia="宋体"/>
        </w:rPr>
        <w:t>”的链接网址（</w:t>
      </w:r>
      <w:r>
        <w:rPr>
          <w:rFonts w:ascii="宋体" w:hAnsi="宋体" w:eastAsia="宋体"/>
        </w:rPr>
        <w:t>https://yhgscx.miit.gov.cn/fuel-consumption-web/mainPage</w:t>
      </w:r>
      <w:r>
        <w:rPr>
          <w:rFonts w:hint="eastAsia" w:ascii="宋体" w:hAnsi="宋体" w:eastAsia="宋体"/>
        </w:rPr>
        <w:t>），编码规则应符合GB/T 18284的规定。</w:t>
      </w:r>
    </w:p>
    <w:p>
      <w:pPr>
        <w:pStyle w:val="107"/>
        <w:spacing w:before="156" w:after="156"/>
      </w:pPr>
      <w:r>
        <w:rPr>
          <w:rFonts w:hint="eastAsia"/>
        </w:rPr>
        <w:t>标识的材质</w:t>
      </w:r>
      <w:bookmarkEnd w:id="73"/>
    </w:p>
    <w:p>
      <w:pPr>
        <w:pStyle w:val="231"/>
        <w:rPr>
          <w:rFonts w:hAnsi="宋体"/>
        </w:rPr>
      </w:pPr>
      <w:r>
        <w:rPr>
          <w:rFonts w:hint="eastAsia" w:hAnsi="宋体"/>
        </w:rPr>
        <w:t>标识应采用纸质或塑料材质，具有一定的强度，易于粘贴和保持，并易于去除。</w:t>
      </w:r>
    </w:p>
    <w:p>
      <w:pPr>
        <w:pStyle w:val="107"/>
        <w:spacing w:before="156" w:after="156"/>
      </w:pPr>
      <w:bookmarkStart w:id="75" w:name="_Toc62723384"/>
      <w:r>
        <w:rPr>
          <w:rFonts w:hint="eastAsia"/>
        </w:rPr>
        <w:t>标识的粘贴</w:t>
      </w:r>
      <w:bookmarkEnd w:id="75"/>
    </w:p>
    <w:p>
      <w:pPr>
        <w:pStyle w:val="231"/>
        <w:rPr>
          <w:rFonts w:hAnsi="宋体"/>
        </w:rPr>
      </w:pPr>
      <w:r>
        <w:rPr>
          <w:rFonts w:hint="eastAsia" w:hAnsi="宋体"/>
        </w:rPr>
        <w:t>标识应粘贴在车辆内部，粘贴位置为侧车窗或风挡玻璃上、不对驾驶员视野构成影响的显著部位。为便于从车外阅读，标识的图案和内容应朝外。</w:t>
      </w:r>
    </w:p>
    <w:p>
      <w:pPr>
        <w:pStyle w:val="58"/>
        <w:ind w:firstLine="0" w:firstLineChars="0"/>
        <w:jc w:val="center"/>
      </w:pPr>
    </w:p>
    <w:p>
      <w:pPr>
        <w:pStyle w:val="58"/>
        <w:ind w:firstLine="0" w:firstLineChars="0"/>
        <w:jc w:val="center"/>
        <w:sectPr>
          <w:pgSz w:w="11906" w:h="16838"/>
          <w:pgMar w:top="567" w:right="1134" w:bottom="1134" w:left="1134" w:header="1418" w:footer="1134" w:gutter="284"/>
          <w:pgNumType w:start="1"/>
          <w:cols w:space="425" w:num="1"/>
          <w:formProt w:val="0"/>
          <w:docGrid w:type="lines" w:linePitch="312" w:charSpace="0"/>
        </w:sectPr>
      </w:pPr>
    </w:p>
    <w:bookmarkEnd w:id="27"/>
    <w:p>
      <w:pPr>
        <w:pStyle w:val="200"/>
      </w:pPr>
      <w:bookmarkStart w:id="76" w:name="BookMark5"/>
    </w:p>
    <w:p>
      <w:pPr>
        <w:pStyle w:val="201"/>
      </w:pPr>
    </w:p>
    <w:p>
      <w:pPr>
        <w:pStyle w:val="78"/>
        <w:spacing w:before="78" w:after="156"/>
      </w:pPr>
      <w:r>
        <w:br w:type="textWrapping"/>
      </w:r>
      <w:r>
        <w:rPr>
          <w:rFonts w:hint="eastAsia"/>
        </w:rPr>
        <w:t>（规范性）</w:t>
      </w:r>
      <w:r>
        <w:br w:type="textWrapping"/>
      </w:r>
      <w:r>
        <w:rPr>
          <w:rFonts w:hint="eastAsia"/>
        </w:rPr>
        <w:t>电子化标识</w:t>
      </w:r>
    </w:p>
    <w:p>
      <w:pPr>
        <w:pStyle w:val="80"/>
        <w:spacing w:before="156" w:after="156"/>
      </w:pPr>
      <w:r>
        <w:rPr>
          <w:rFonts w:hint="eastAsia"/>
        </w:rPr>
        <w:t>电子化标识组成</w:t>
      </w:r>
    </w:p>
    <w:p>
      <w:pPr>
        <w:pStyle w:val="58"/>
        <w:ind w:firstLine="420"/>
      </w:pPr>
      <w:r>
        <w:rPr>
          <w:rFonts w:hint="eastAsia"/>
        </w:rPr>
        <w:t>电子化标识</w:t>
      </w:r>
      <w:bookmarkStart w:id="77" w:name="脚注"/>
      <w:bookmarkEnd w:id="77"/>
      <w:r>
        <w:rPr>
          <w:rStyle w:val="35"/>
        </w:rPr>
        <w:footnoteReference w:id="4"/>
      </w:r>
      <w:r>
        <w:rPr>
          <w:vertAlign w:val="superscript"/>
        </w:rPr>
        <w:t>)</w:t>
      </w:r>
      <w:r>
        <w:rPr>
          <w:rFonts w:hint="eastAsia"/>
        </w:rPr>
        <w:t>应包括电子标识载体和电子标识。</w:t>
      </w:r>
    </w:p>
    <w:p>
      <w:pPr>
        <w:pStyle w:val="80"/>
        <w:spacing w:before="156" w:after="156"/>
      </w:pPr>
      <w:r>
        <w:rPr>
          <w:rFonts w:hint="eastAsia"/>
        </w:rPr>
        <w:t>电子标识载体</w:t>
      </w:r>
    </w:p>
    <w:p>
      <w:pPr>
        <w:pStyle w:val="81"/>
        <w:spacing w:before="156" w:after="156"/>
      </w:pPr>
      <w:r>
        <w:rPr>
          <w:rFonts w:hint="eastAsia"/>
        </w:rPr>
        <w:t>载体内容</w:t>
      </w:r>
    </w:p>
    <w:p>
      <w:pPr>
        <w:pStyle w:val="231"/>
        <w:spacing w:before="31" w:beforeLines="10" w:after="31" w:afterLines="10"/>
        <w:rPr>
          <w:rFonts w:hAnsi="宋体"/>
          <w:kern w:val="2"/>
        </w:rPr>
      </w:pPr>
      <w:r>
        <w:rPr>
          <w:rFonts w:hint="eastAsia" w:hAnsi="宋体"/>
          <w:kern w:val="2"/>
        </w:rPr>
        <w:t>电子标识载体至少应包含下列信息：</w:t>
      </w:r>
    </w:p>
    <w:p>
      <w:pPr>
        <w:pStyle w:val="176"/>
        <w:numPr>
          <w:ilvl w:val="0"/>
          <w:numId w:val="35"/>
        </w:numPr>
        <w:ind w:left="0" w:firstLine="420" w:firstLineChars="200"/>
      </w:pPr>
      <w:r>
        <w:rPr>
          <w:rFonts w:hint="eastAsia"/>
        </w:rPr>
        <w:t>车辆型号；</w:t>
      </w:r>
    </w:p>
    <w:p>
      <w:pPr>
        <w:pStyle w:val="176"/>
        <w:numPr>
          <w:ilvl w:val="0"/>
          <w:numId w:val="35"/>
        </w:numPr>
        <w:ind w:left="0" w:firstLine="420" w:firstLineChars="200"/>
      </w:pPr>
      <w:r>
        <w:rPr>
          <w:rFonts w:hint="eastAsia"/>
        </w:rPr>
        <w:t>燃料消耗量，单位为L/100</w:t>
      </w:r>
      <w:r>
        <w:t xml:space="preserve"> </w:t>
      </w:r>
      <w:r>
        <w:rPr>
          <w:rFonts w:hint="eastAsia"/>
        </w:rPr>
        <w:t>km；</w:t>
      </w:r>
    </w:p>
    <w:p>
      <w:pPr>
        <w:pStyle w:val="176"/>
        <w:numPr>
          <w:ilvl w:val="0"/>
          <w:numId w:val="35"/>
        </w:numPr>
        <w:ind w:left="0" w:firstLine="420" w:firstLineChars="200"/>
      </w:pPr>
      <w:r>
        <w:rPr>
          <w:rFonts w:hint="eastAsia"/>
        </w:rPr>
        <w:t>预估能源成本，单位为元/百千米；</w:t>
      </w:r>
    </w:p>
    <w:p>
      <w:pPr>
        <w:pStyle w:val="176"/>
        <w:numPr>
          <w:ilvl w:val="0"/>
          <w:numId w:val="35"/>
        </w:numPr>
        <w:ind w:left="0" w:firstLine="420" w:firstLineChars="200"/>
      </w:pPr>
      <w:r>
        <w:rPr>
          <w:rFonts w:hint="eastAsia"/>
        </w:rPr>
        <w:t>C</w:t>
      </w:r>
      <w:r>
        <w:t>O</w:t>
      </w:r>
      <w:r>
        <w:rPr>
          <w:vertAlign w:val="subscript"/>
        </w:rPr>
        <w:t>2</w:t>
      </w:r>
      <w:r>
        <w:rPr>
          <w:rFonts w:hint="eastAsia"/>
        </w:rPr>
        <w:t>排放量，单位为g/</w:t>
      </w:r>
      <w:r>
        <w:t>km</w:t>
      </w:r>
      <w:r>
        <w:rPr>
          <w:rFonts w:hint="eastAsia"/>
        </w:rPr>
        <w:t>；</w:t>
      </w:r>
    </w:p>
    <w:p>
      <w:pPr>
        <w:pStyle w:val="176"/>
        <w:numPr>
          <w:ilvl w:val="0"/>
          <w:numId w:val="35"/>
        </w:numPr>
        <w:ind w:left="0" w:firstLine="420" w:firstLineChars="200"/>
      </w:pPr>
      <w:r>
        <w:rPr>
          <w:rFonts w:hint="eastAsia"/>
        </w:rPr>
        <w:t>可链接至</w:t>
      </w:r>
      <w:bookmarkStart w:id="78" w:name="_Hlk75267974"/>
      <w:r>
        <w:rPr>
          <w:rFonts w:hint="eastAsia"/>
        </w:rPr>
        <w:t>附录A.</w:t>
      </w:r>
      <w:r>
        <w:t>3</w:t>
      </w:r>
      <w:r>
        <w:rPr>
          <w:rFonts w:hint="eastAsia"/>
        </w:rPr>
        <w:t>规定的</w:t>
      </w:r>
      <w:bookmarkEnd w:id="78"/>
      <w:r>
        <w:rPr>
          <w:rFonts w:hint="eastAsia"/>
        </w:rPr>
        <w:t>电子标识的二维码、标识类别图案；</w:t>
      </w:r>
    </w:p>
    <w:p>
      <w:pPr>
        <w:pStyle w:val="176"/>
        <w:numPr>
          <w:ilvl w:val="0"/>
          <w:numId w:val="35"/>
        </w:numPr>
        <w:ind w:left="0" w:firstLine="420" w:firstLineChars="200"/>
        <w:rPr>
          <w:rFonts w:hAnsi="宋体"/>
          <w:kern w:val="2"/>
        </w:rPr>
      </w:pPr>
      <w:r>
        <w:rPr>
          <w:rFonts w:hint="eastAsia"/>
        </w:rPr>
        <w:t>标识启用日期以及政府主管部门规定的附加信息等其他信息。</w:t>
      </w:r>
    </w:p>
    <w:p>
      <w:pPr>
        <w:pStyle w:val="81"/>
        <w:spacing w:before="156" w:after="156"/>
      </w:pPr>
      <w:r>
        <w:rPr>
          <w:rFonts w:hint="eastAsia"/>
        </w:rPr>
        <w:t>主要数据</w:t>
      </w:r>
    </w:p>
    <w:p>
      <w:pPr>
        <w:pStyle w:val="83"/>
        <w:spacing w:before="0" w:beforeLines="0" w:after="0" w:afterLines="0"/>
        <w:rPr>
          <w:rFonts w:ascii="宋体" w:hAnsi="宋体" w:eastAsia="宋体"/>
        </w:rPr>
      </w:pPr>
      <w:r>
        <w:rPr>
          <w:rFonts w:hint="eastAsia" w:ascii="宋体" w:hAnsi="宋体" w:eastAsia="宋体"/>
        </w:rPr>
        <w:t>对汽油、柴油、两用燃料及双燃料汽车，燃料消耗量数据是指按照GB/T 19233—2</w:t>
      </w:r>
      <w:r>
        <w:rPr>
          <w:rFonts w:ascii="宋体" w:hAnsi="宋体" w:eastAsia="宋体"/>
        </w:rPr>
        <w:t>020</w:t>
      </w:r>
      <w:r>
        <w:rPr>
          <w:rFonts w:hint="eastAsia" w:ascii="宋体" w:hAnsi="宋体" w:eastAsia="宋体"/>
        </w:rPr>
        <w:t>测定的综合燃料消耗量型式认证值；对不可外接充电式混合动力汽车，燃料消耗量数据是指按照GB/T 19753—2</w:t>
      </w:r>
      <w:r>
        <w:rPr>
          <w:rFonts w:ascii="宋体" w:hAnsi="宋体" w:eastAsia="宋体"/>
        </w:rPr>
        <w:t>021</w:t>
      </w:r>
      <w:r>
        <w:rPr>
          <w:rFonts w:hint="eastAsia" w:ascii="宋体" w:hAnsi="宋体" w:eastAsia="宋体"/>
        </w:rPr>
        <w:t>测定的“N</w:t>
      </w:r>
      <w:r>
        <w:rPr>
          <w:rFonts w:ascii="宋体" w:hAnsi="宋体" w:eastAsia="宋体"/>
        </w:rPr>
        <w:t>OVC-HEV</w:t>
      </w:r>
      <w:r>
        <w:rPr>
          <w:rFonts w:hint="eastAsia" w:ascii="宋体" w:hAnsi="宋体" w:eastAsia="宋体"/>
        </w:rPr>
        <w:t>燃料消耗量”型式认证值。燃料消耗量数据圆整（四舍五入）至小数点后两位。</w:t>
      </w:r>
    </w:p>
    <w:p>
      <w:pPr>
        <w:pStyle w:val="83"/>
        <w:spacing w:before="0" w:beforeLines="0" w:after="0" w:afterLines="0"/>
        <w:rPr>
          <w:rFonts w:ascii="宋体" w:hAnsi="宋体" w:eastAsia="宋体"/>
        </w:rPr>
      </w:pPr>
      <w:r>
        <w:rPr>
          <w:rFonts w:hint="eastAsia" w:ascii="宋体" w:hAnsi="宋体" w:eastAsia="宋体"/>
        </w:rPr>
        <w:t>预估能源成本数据按照6</w:t>
      </w:r>
      <w:r>
        <w:rPr>
          <w:rFonts w:ascii="宋体" w:hAnsi="宋体" w:eastAsia="宋体"/>
        </w:rPr>
        <w:t>.2</w:t>
      </w:r>
      <w:r>
        <w:rPr>
          <w:rFonts w:hint="eastAsia" w:ascii="宋体" w:hAnsi="宋体" w:eastAsia="宋体"/>
        </w:rPr>
        <w:t>计算得到。</w:t>
      </w:r>
    </w:p>
    <w:p>
      <w:pPr>
        <w:pStyle w:val="83"/>
        <w:spacing w:before="0" w:beforeLines="0" w:after="0" w:afterLines="0"/>
        <w:rPr>
          <w:rFonts w:ascii="宋体" w:hAnsi="宋体" w:eastAsia="宋体"/>
        </w:rPr>
      </w:pPr>
      <w:r>
        <w:rPr>
          <w:rFonts w:hint="eastAsia" w:ascii="宋体" w:hAnsi="宋体" w:eastAsia="宋体"/>
        </w:rPr>
        <w:t>C</w:t>
      </w:r>
      <w:r>
        <w:rPr>
          <w:rFonts w:ascii="宋体" w:hAnsi="宋体" w:eastAsia="宋体"/>
        </w:rPr>
        <w:t>O</w:t>
      </w:r>
      <w:r>
        <w:rPr>
          <w:rFonts w:ascii="宋体" w:hAnsi="宋体" w:eastAsia="宋体"/>
          <w:vertAlign w:val="subscript"/>
        </w:rPr>
        <w:t>2</w:t>
      </w:r>
      <w:r>
        <w:rPr>
          <w:rFonts w:hint="eastAsia" w:ascii="宋体" w:hAnsi="宋体" w:eastAsia="宋体"/>
        </w:rPr>
        <w:t>排放量数据按照6</w:t>
      </w:r>
      <w:r>
        <w:rPr>
          <w:rFonts w:ascii="宋体" w:hAnsi="宋体" w:eastAsia="宋体"/>
        </w:rPr>
        <w:t>.3</w:t>
      </w:r>
      <w:r>
        <w:rPr>
          <w:rFonts w:hint="eastAsia" w:ascii="宋体" w:hAnsi="宋体" w:eastAsia="宋体"/>
        </w:rPr>
        <w:t>计算得到。</w:t>
      </w:r>
    </w:p>
    <w:p>
      <w:pPr>
        <w:pStyle w:val="81"/>
        <w:spacing w:before="156" w:after="156"/>
      </w:pPr>
      <w:r>
        <w:rPr>
          <w:rFonts w:hint="eastAsia"/>
        </w:rPr>
        <w:t>载体要求</w:t>
      </w:r>
    </w:p>
    <w:p>
      <w:pPr>
        <w:pStyle w:val="83"/>
        <w:spacing w:before="156" w:after="156"/>
      </w:pPr>
      <w:r>
        <w:rPr>
          <w:rFonts w:hint="eastAsia"/>
        </w:rPr>
        <w:t>功能区划分</w:t>
      </w:r>
    </w:p>
    <w:p>
      <w:pPr>
        <w:pStyle w:val="84"/>
        <w:spacing w:before="156" w:after="156"/>
      </w:pPr>
      <w:r>
        <w:rPr>
          <w:rFonts w:hint="eastAsia"/>
        </w:rPr>
        <w:t>概述</w:t>
      </w:r>
    </w:p>
    <w:p>
      <w:pPr>
        <w:pStyle w:val="58"/>
        <w:ind w:firstLine="420"/>
        <w:rPr>
          <w:szCs w:val="21"/>
        </w:rPr>
      </w:pPr>
      <w:r>
        <w:rPr>
          <w:rFonts w:hint="eastAsia"/>
        </w:rPr>
        <w:t>电子标识载体由“标题区”“信息区”“说明区”和“附加信息区”四个功能区组成，如图</w:t>
      </w:r>
      <w:r>
        <w:t>B</w:t>
      </w:r>
      <w:r>
        <w:rPr>
          <w:rFonts w:hint="eastAsia"/>
        </w:rPr>
        <w:t>.</w:t>
      </w:r>
      <w:r>
        <w:t>4</w:t>
      </w:r>
      <w:r>
        <w:rPr>
          <w:rFonts w:hint="eastAsia"/>
        </w:rPr>
        <w:t>所示。</w:t>
      </w:r>
    </w:p>
    <w:p>
      <w:pPr>
        <w:pStyle w:val="84"/>
        <w:spacing w:before="156" w:after="156"/>
      </w:pPr>
      <w:r>
        <w:rPr>
          <w:rFonts w:hint="eastAsia"/>
        </w:rPr>
        <w:t>标题区</w:t>
      </w:r>
    </w:p>
    <w:p>
      <w:pPr>
        <w:pStyle w:val="58"/>
        <w:ind w:firstLine="420"/>
      </w:pPr>
      <w:r>
        <w:rPr>
          <w:rFonts w:hint="eastAsia"/>
        </w:rPr>
        <w:t>“标题区”位于载体顶端，左侧为“企业标志”，右侧为“标识名称”。“标识名称”为“汽车能源消耗量标识”，对应英文为大写的“AUTOMOBILE ENERGY CONSUMPTION LABEL”，采用中文居上、英文居下的方式排列。</w:t>
      </w:r>
    </w:p>
    <w:p>
      <w:pPr>
        <w:pStyle w:val="84"/>
        <w:spacing w:before="156" w:after="156"/>
      </w:pPr>
      <w:r>
        <w:rPr>
          <w:rFonts w:hint="eastAsia"/>
        </w:rPr>
        <w:t>信息区</w:t>
      </w:r>
    </w:p>
    <w:p>
      <w:pPr>
        <w:pStyle w:val="58"/>
        <w:ind w:firstLine="420"/>
      </w:pPr>
      <w:r>
        <w:rPr>
          <w:rFonts w:hint="eastAsia"/>
        </w:rPr>
        <w:t>“信息区”位于载体中部，</w:t>
      </w:r>
      <w:bookmarkStart w:id="79" w:name="_Hlk76032805"/>
      <w:r>
        <w:rPr>
          <w:rFonts w:hint="eastAsia"/>
        </w:rPr>
        <w:t>包括车辆型号、综合燃料消耗量、预估能源成本、C</w:t>
      </w:r>
      <w:r>
        <w:t>O</w:t>
      </w:r>
      <w:r>
        <w:rPr>
          <w:vertAlign w:val="subscript"/>
        </w:rPr>
        <w:t>2</w:t>
      </w:r>
      <w:r>
        <w:rPr>
          <w:rFonts w:hint="eastAsia"/>
        </w:rPr>
        <w:t>排放量信息</w:t>
      </w:r>
      <w:bookmarkEnd w:id="79"/>
      <w:r>
        <w:rPr>
          <w:rFonts w:hint="eastAsia"/>
        </w:rPr>
        <w:t>。</w:t>
      </w:r>
    </w:p>
    <w:p>
      <w:pPr>
        <w:pStyle w:val="183"/>
      </w:pPr>
    </w:p>
    <w:p>
      <w:pPr>
        <w:pStyle w:val="183"/>
        <w:numPr>
          <w:ilvl w:val="0"/>
          <w:numId w:val="0"/>
        </w:numPr>
        <w:ind w:left="363"/>
      </w:pPr>
      <w:r>
        <w:rPr>
          <w:rFonts w:hint="eastAsia"/>
        </w:rPr>
        <w:t>车辆型号：</w:t>
      </w:r>
    </w:p>
    <w:p>
      <w:pPr>
        <w:pStyle w:val="183"/>
        <w:numPr>
          <w:ilvl w:val="0"/>
          <w:numId w:val="0"/>
        </w:numPr>
        <w:ind w:left="363"/>
      </w:pPr>
      <w:r>
        <w:rPr>
          <w:rFonts w:hint="eastAsia"/>
        </w:rPr>
        <w:t>综合燃料消耗量：××.×× L/100</w:t>
      </w:r>
      <w:r>
        <w:t xml:space="preserve"> </w:t>
      </w:r>
      <w:r>
        <w:rPr>
          <w:rFonts w:hint="eastAsia"/>
        </w:rPr>
        <w:t>km</w:t>
      </w:r>
    </w:p>
    <w:p>
      <w:pPr>
        <w:pStyle w:val="231"/>
        <w:ind w:firstLine="360"/>
        <w:rPr>
          <w:rFonts w:hAnsi="宋体"/>
          <w:sz w:val="18"/>
          <w:szCs w:val="18"/>
        </w:rPr>
      </w:pPr>
      <w:r>
        <w:rPr>
          <w:rFonts w:hint="eastAsia" w:hAnsi="宋体"/>
          <w:sz w:val="18"/>
          <w:szCs w:val="18"/>
        </w:rPr>
        <w:t>预估能源成本：×× 元/公里</w:t>
      </w:r>
    </w:p>
    <w:p>
      <w:pPr>
        <w:pStyle w:val="231"/>
        <w:ind w:firstLine="360"/>
        <w:rPr>
          <w:rFonts w:hAnsi="宋体"/>
          <w:sz w:val="18"/>
          <w:szCs w:val="18"/>
        </w:rPr>
      </w:pPr>
      <w:r>
        <w:rPr>
          <w:rFonts w:hint="eastAsia" w:hAnsi="宋体"/>
          <w:sz w:val="18"/>
          <w:szCs w:val="18"/>
        </w:rPr>
        <w:t>C</w:t>
      </w:r>
      <w:r>
        <w:rPr>
          <w:rFonts w:hAnsi="宋体"/>
          <w:sz w:val="18"/>
          <w:szCs w:val="18"/>
        </w:rPr>
        <w:t>O</w:t>
      </w:r>
      <w:r>
        <w:rPr>
          <w:rFonts w:hAnsi="宋体"/>
          <w:sz w:val="18"/>
          <w:szCs w:val="18"/>
          <w:vertAlign w:val="subscript"/>
        </w:rPr>
        <w:t>2</w:t>
      </w:r>
      <w:r>
        <w:rPr>
          <w:rFonts w:hint="eastAsia" w:hAnsi="宋体"/>
          <w:sz w:val="18"/>
          <w:szCs w:val="18"/>
        </w:rPr>
        <w:t>排放量：×× g/km</w:t>
      </w:r>
    </w:p>
    <w:p>
      <w:pPr>
        <w:pStyle w:val="84"/>
        <w:spacing w:before="156" w:after="156"/>
      </w:pPr>
      <w:r>
        <w:rPr>
          <w:rFonts w:hint="eastAsia"/>
        </w:rPr>
        <w:t>说明区</w:t>
      </w:r>
    </w:p>
    <w:p>
      <w:pPr>
        <w:pStyle w:val="58"/>
        <w:ind w:firstLine="420"/>
      </w:pPr>
      <w:r>
        <w:rPr>
          <w:rFonts w:hint="eastAsia"/>
        </w:rPr>
        <w:t>“说明区”位于载体下部。“说明区”左侧为二维码，右侧为图</w:t>
      </w:r>
      <w:r>
        <w:t>B</w:t>
      </w:r>
      <w:r>
        <w:rPr>
          <w:rFonts w:hint="eastAsia"/>
        </w:rPr>
        <w:t>.</w:t>
      </w:r>
      <w:r>
        <w:t>7</w:t>
      </w:r>
      <w:r>
        <w:rPr>
          <w:rFonts w:hint="eastAsia"/>
        </w:rPr>
        <w:t>所示的“标识类别图案”和车辆能源类型说明。</w:t>
      </w:r>
    </w:p>
    <w:p>
      <w:pPr>
        <w:pStyle w:val="84"/>
        <w:spacing w:before="156" w:after="156"/>
      </w:pPr>
      <w:r>
        <w:rPr>
          <w:rFonts w:hint="eastAsia"/>
        </w:rPr>
        <w:t>附加信息区</w:t>
      </w:r>
    </w:p>
    <w:p>
      <w:pPr>
        <w:pStyle w:val="58"/>
        <w:ind w:firstLine="420"/>
      </w:pPr>
      <w:r>
        <w:rPr>
          <w:rFonts w:hint="eastAsia"/>
        </w:rPr>
        <w:t>“附加信息区”位于载体底端，主要内容</w:t>
      </w:r>
      <w:bookmarkStart w:id="80" w:name="_Hlk76032889"/>
      <w:r>
        <w:rPr>
          <w:rFonts w:hint="eastAsia"/>
        </w:rPr>
        <w:t>包括标识启用日期以及政府主管部门规定的附加信息</w:t>
      </w:r>
      <w:bookmarkEnd w:id="80"/>
      <w:r>
        <w:rPr>
          <w:rFonts w:hint="eastAsia"/>
        </w:rPr>
        <w:t>，如备案号。</w:t>
      </w:r>
    </w:p>
    <w:p>
      <w:pPr>
        <w:pStyle w:val="83"/>
        <w:spacing w:before="156" w:after="156"/>
      </w:pPr>
      <w:r>
        <w:rPr>
          <w:rFonts w:hint="eastAsia"/>
        </w:rPr>
        <w:t>载体规格和图案要求</w:t>
      </w:r>
    </w:p>
    <w:p>
      <w:pPr>
        <w:pStyle w:val="84"/>
        <w:spacing w:before="0" w:beforeLines="0" w:after="0" w:afterLines="0"/>
        <w:rPr>
          <w:rFonts w:ascii="宋体" w:hAnsi="宋体" w:eastAsia="宋体"/>
        </w:rPr>
      </w:pPr>
      <w:r>
        <w:rPr>
          <w:rFonts w:hint="eastAsia" w:ascii="宋体" w:hAnsi="宋体" w:eastAsia="宋体"/>
        </w:rPr>
        <w:t>载体尺寸为</w:t>
      </w:r>
      <w:r>
        <w:rPr>
          <w:rFonts w:ascii="宋体" w:hAnsi="宋体" w:eastAsia="宋体"/>
        </w:rPr>
        <w:t>75</w:t>
      </w:r>
      <w:r>
        <w:rPr>
          <w:rFonts w:hint="eastAsia" w:ascii="宋体" w:hAnsi="宋体" w:eastAsia="宋体"/>
        </w:rPr>
        <w:t>㎜×</w:t>
      </w:r>
      <w:r>
        <w:rPr>
          <w:rFonts w:ascii="宋体" w:hAnsi="宋体" w:eastAsia="宋体"/>
        </w:rPr>
        <w:t>75</w:t>
      </w:r>
      <w:r>
        <w:rPr>
          <w:rFonts w:hint="eastAsia" w:ascii="宋体" w:hAnsi="宋体" w:eastAsia="宋体"/>
        </w:rPr>
        <w:t>㎜。</w:t>
      </w:r>
    </w:p>
    <w:p>
      <w:pPr>
        <w:pStyle w:val="84"/>
        <w:spacing w:before="0" w:beforeLines="0" w:after="0" w:afterLines="0"/>
        <w:rPr>
          <w:rFonts w:ascii="宋体" w:hAnsi="宋体" w:eastAsia="宋体"/>
        </w:rPr>
      </w:pPr>
      <w:r>
        <w:rPr>
          <w:rFonts w:hint="eastAsia" w:ascii="宋体" w:hAnsi="宋体" w:eastAsia="宋体"/>
        </w:rPr>
        <w:t>载体背景为GB/T 3181规定的淡黄色，对应编号为Y06；“企业标志”区域背景为白色。</w:t>
      </w:r>
    </w:p>
    <w:p>
      <w:pPr>
        <w:pStyle w:val="84"/>
        <w:spacing w:before="0" w:beforeLines="0" w:after="0" w:afterLines="0"/>
        <w:rPr>
          <w:rFonts w:ascii="宋体" w:hAnsi="宋体" w:eastAsia="宋体"/>
        </w:rPr>
      </w:pPr>
      <w:r>
        <w:rPr>
          <w:rFonts w:hint="eastAsia" w:ascii="宋体" w:hAnsi="宋体" w:eastAsia="宋体"/>
        </w:rPr>
        <w:t>载体各功能区的布局和尺寸应符合图</w:t>
      </w:r>
      <w:r>
        <w:rPr>
          <w:rFonts w:ascii="宋体" w:hAnsi="宋体" w:eastAsia="宋体"/>
        </w:rPr>
        <w:t>B</w:t>
      </w:r>
      <w:r>
        <w:rPr>
          <w:rFonts w:hint="eastAsia" w:ascii="宋体" w:hAnsi="宋体" w:eastAsia="宋体"/>
        </w:rPr>
        <w:t>.</w:t>
      </w:r>
      <w:r>
        <w:rPr>
          <w:rFonts w:ascii="宋体" w:hAnsi="宋体" w:eastAsia="宋体"/>
        </w:rPr>
        <w:t>6</w:t>
      </w:r>
      <w:r>
        <w:rPr>
          <w:rFonts w:hint="eastAsia" w:ascii="宋体" w:hAnsi="宋体" w:eastAsia="宋体"/>
        </w:rPr>
        <w:t>的要求。载体所使用的文字和数字全部为黑色，对应的字体、字号要求见表</w:t>
      </w:r>
      <w:r>
        <w:rPr>
          <w:rFonts w:ascii="宋体" w:hAnsi="宋体" w:eastAsia="宋体"/>
        </w:rPr>
        <w:t>A</w:t>
      </w:r>
      <w:r>
        <w:rPr>
          <w:rFonts w:hint="eastAsia" w:ascii="宋体" w:hAnsi="宋体" w:eastAsia="宋体"/>
        </w:rPr>
        <w:t>.1。</w:t>
      </w:r>
    </w:p>
    <w:p>
      <w:pPr>
        <w:pStyle w:val="84"/>
        <w:spacing w:before="0" w:beforeLines="0" w:after="0" w:afterLines="0"/>
        <w:rPr>
          <w:rFonts w:ascii="宋体" w:hAnsi="宋体" w:eastAsia="宋体"/>
        </w:rPr>
      </w:pPr>
      <w:r>
        <w:rPr>
          <w:rFonts w:hint="eastAsia" w:ascii="宋体" w:hAnsi="宋体" w:eastAsia="宋体"/>
        </w:rPr>
        <w:t>载体“说明区”的二维码应链接至附录</w:t>
      </w:r>
      <w:r>
        <w:rPr>
          <w:rFonts w:ascii="宋体" w:hAnsi="宋体" w:eastAsia="宋体"/>
        </w:rPr>
        <w:t>A</w:t>
      </w:r>
      <w:r>
        <w:rPr>
          <w:rFonts w:hint="eastAsia" w:ascii="宋体" w:hAnsi="宋体" w:eastAsia="宋体"/>
        </w:rPr>
        <w:t>.</w:t>
      </w:r>
      <w:r>
        <w:rPr>
          <w:rFonts w:ascii="宋体" w:hAnsi="宋体" w:eastAsia="宋体"/>
        </w:rPr>
        <w:t>3</w:t>
      </w:r>
      <w:r>
        <w:rPr>
          <w:rFonts w:hint="eastAsia" w:ascii="宋体" w:hAnsi="宋体" w:eastAsia="宋体"/>
        </w:rPr>
        <w:t>规定的电子标识，编码规则应符合GB/T 18284的规定。</w:t>
      </w:r>
    </w:p>
    <w:p>
      <w:pPr>
        <w:pStyle w:val="79"/>
        <w:numPr>
          <w:ilvl w:val="0"/>
          <w:numId w:val="0"/>
        </w:numPr>
        <w:spacing w:before="156" w:after="156"/>
      </w:pPr>
      <w:r>
        <w:rPr>
          <w:rFonts w:hint="eastAsia"/>
        </w:rPr>
        <w:t>表</w:t>
      </w:r>
      <w:r>
        <w:t>A</w:t>
      </w:r>
      <w:r>
        <w:rPr>
          <w:rFonts w:hint="eastAsia"/>
        </w:rPr>
        <w:t>.1</w:t>
      </w:r>
      <w:r>
        <w:t xml:space="preserve"> </w:t>
      </w:r>
      <w:r>
        <w:rPr>
          <w:rFonts w:hint="eastAsia"/>
        </w:rPr>
        <w:t>各功能区对应的字体和字号</w:t>
      </w:r>
    </w:p>
    <w:tbl>
      <w:tblPr>
        <w:tblStyle w:val="28"/>
        <w:tblW w:w="9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78"/>
        <w:gridCol w:w="1352"/>
        <w:gridCol w:w="3539"/>
        <w:gridCol w:w="1269"/>
        <w:gridCol w:w="17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0" w:hRule="atLeast"/>
          <w:jc w:val="center"/>
        </w:trPr>
        <w:tc>
          <w:tcPr>
            <w:tcW w:w="1478" w:type="dxa"/>
            <w:tcBorders>
              <w:top w:val="single" w:color="000000" w:sz="8" w:space="0"/>
              <w:left w:val="single" w:color="000000" w:sz="8" w:space="0"/>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功能区</w:t>
            </w:r>
          </w:p>
        </w:tc>
        <w:tc>
          <w:tcPr>
            <w:tcW w:w="4891" w:type="dxa"/>
            <w:gridSpan w:val="2"/>
            <w:tcBorders>
              <w:top w:val="single" w:color="000000" w:sz="8" w:space="0"/>
              <w:left w:val="single" w:color="000000" w:sz="4" w:space="0"/>
              <w:bottom w:val="single" w:color="000000" w:sz="8"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内容</w:t>
            </w:r>
          </w:p>
        </w:tc>
        <w:tc>
          <w:tcPr>
            <w:tcW w:w="1269" w:type="dxa"/>
            <w:tcBorders>
              <w:top w:val="single" w:color="000000" w:sz="8" w:space="0"/>
              <w:left w:val="single" w:color="000000" w:sz="4" w:space="0"/>
              <w:bottom w:val="single" w:color="000000" w:sz="8"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字体</w:t>
            </w:r>
          </w:p>
        </w:tc>
        <w:tc>
          <w:tcPr>
            <w:tcW w:w="1722" w:type="dxa"/>
            <w:tcBorders>
              <w:top w:val="single" w:color="000000" w:sz="8" w:space="0"/>
              <w:left w:val="single" w:color="000000" w:sz="4" w:space="0"/>
              <w:bottom w:val="single" w:color="000000" w:sz="8"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字号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 w:hRule="atLeast"/>
          <w:jc w:val="center"/>
        </w:trPr>
        <w:tc>
          <w:tcPr>
            <w:tcW w:w="1478" w:type="dxa"/>
            <w:vMerge w:val="restart"/>
            <w:tcBorders>
              <w:top w:val="single" w:color="000000" w:sz="8" w:space="0"/>
              <w:left w:val="single" w:color="000000" w:sz="8" w:space="0"/>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标题区</w:t>
            </w:r>
            <w:r>
              <w:rPr>
                <w:rFonts w:ascii="宋体" w:hAnsi="宋体"/>
                <w:sz w:val="18"/>
                <w:szCs w:val="18"/>
                <w:vertAlign w:val="superscript"/>
              </w:rPr>
              <w:t>a</w:t>
            </w:r>
          </w:p>
        </w:tc>
        <w:tc>
          <w:tcPr>
            <w:tcW w:w="1352" w:type="dxa"/>
            <w:vMerge w:val="restart"/>
            <w:tcBorders>
              <w:top w:val="single" w:color="000000" w:sz="8"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文字</w:t>
            </w:r>
          </w:p>
        </w:tc>
        <w:tc>
          <w:tcPr>
            <w:tcW w:w="3539" w:type="dxa"/>
            <w:tcBorders>
              <w:top w:val="single" w:color="000000" w:sz="8"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中文</w:t>
            </w:r>
          </w:p>
        </w:tc>
        <w:tc>
          <w:tcPr>
            <w:tcW w:w="1269" w:type="dxa"/>
            <w:tcBorders>
              <w:top w:val="single" w:color="000000" w:sz="8"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黑体加粗</w:t>
            </w:r>
          </w:p>
        </w:tc>
        <w:tc>
          <w:tcPr>
            <w:tcW w:w="1722" w:type="dxa"/>
            <w:tcBorders>
              <w:top w:val="single" w:color="000000" w:sz="8"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小四号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op w:val="nil"/>
              <w:left w:val="single" w:color="000000" w:sz="8" w:space="0"/>
              <w:bottom w:val="single" w:color="000000" w:sz="4" w:space="0"/>
              <w:right w:val="single" w:color="000000" w:sz="4" w:space="0"/>
            </w:tcBorders>
            <w:vAlign w:val="center"/>
          </w:tcPr>
          <w:p>
            <w:pPr>
              <w:widowControl/>
              <w:jc w:val="left"/>
              <w:rPr>
                <w:rFonts w:ascii="宋体" w:hAnsi="宋体"/>
                <w:sz w:val="18"/>
                <w:szCs w:val="18"/>
              </w:rPr>
            </w:pPr>
          </w:p>
        </w:tc>
        <w:tc>
          <w:tcPr>
            <w:tcW w:w="1352" w:type="dxa"/>
            <w:vMerge w:val="continue"/>
            <w:tcBorders>
              <w:top w:val="nil"/>
              <w:left w:val="nil"/>
              <w:bottom w:val="single" w:color="000000" w:sz="4" w:space="0"/>
              <w:right w:val="single" w:color="000000" w:sz="4" w:space="0"/>
            </w:tcBorders>
            <w:vAlign w:val="center"/>
          </w:tcPr>
          <w:p>
            <w:pPr>
              <w:widowControl/>
              <w:jc w:val="left"/>
              <w:rPr>
                <w:rFonts w:ascii="宋体" w:hAnsi="宋体"/>
                <w:sz w:val="18"/>
                <w:szCs w:val="18"/>
              </w:rPr>
            </w:pPr>
          </w:p>
        </w:tc>
        <w:tc>
          <w:tcPr>
            <w:tcW w:w="3539"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英文</w:t>
            </w:r>
          </w:p>
        </w:tc>
        <w:tc>
          <w:tcPr>
            <w:tcW w:w="1269"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黑体加粗</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小六号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8" w:type="dxa"/>
            <w:vMerge w:val="restart"/>
            <w:tcBorders>
              <w:left w:val="single" w:color="000000" w:sz="8" w:space="0"/>
              <w:right w:val="single" w:color="000000" w:sz="4" w:space="0"/>
            </w:tcBorders>
            <w:vAlign w:val="center"/>
          </w:tcPr>
          <w:p>
            <w:pPr>
              <w:spacing w:line="320" w:lineRule="exact"/>
              <w:jc w:val="center"/>
              <w:rPr>
                <w:rFonts w:ascii="宋体" w:hAnsi="宋体"/>
                <w:sz w:val="18"/>
                <w:szCs w:val="18"/>
              </w:rPr>
            </w:pPr>
            <w:r>
              <w:rPr>
                <w:rFonts w:hint="eastAsia" w:ascii="宋体" w:hAnsi="宋体"/>
                <w:sz w:val="18"/>
                <w:szCs w:val="18"/>
              </w:rPr>
              <w:t>信息区</w:t>
            </w:r>
            <w:r>
              <w:rPr>
                <w:rFonts w:ascii="宋体" w:hAnsi="宋体"/>
                <w:sz w:val="18"/>
                <w:szCs w:val="18"/>
                <w:vertAlign w:val="superscript"/>
              </w:rPr>
              <w:t>b</w:t>
            </w:r>
          </w:p>
        </w:tc>
        <w:tc>
          <w:tcPr>
            <w:tcW w:w="1352" w:type="dxa"/>
            <w:vMerge w:val="restart"/>
            <w:tcBorders>
              <w:top w:val="nil"/>
              <w:left w:val="single" w:color="000000" w:sz="4" w:space="0"/>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文字</w:t>
            </w:r>
          </w:p>
        </w:tc>
        <w:tc>
          <w:tcPr>
            <w:tcW w:w="3539"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中文</w:t>
            </w:r>
          </w:p>
        </w:tc>
        <w:tc>
          <w:tcPr>
            <w:tcW w:w="1269"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五号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left w:val="single" w:color="000000" w:sz="8" w:space="0"/>
              <w:right w:val="single" w:color="000000" w:sz="4" w:space="0"/>
            </w:tcBorders>
            <w:vAlign w:val="center"/>
          </w:tcPr>
          <w:p>
            <w:pPr>
              <w:widowControl/>
              <w:jc w:val="left"/>
              <w:rPr>
                <w:rFonts w:ascii="宋体" w:hAnsi="宋体"/>
                <w:sz w:val="18"/>
                <w:szCs w:val="18"/>
              </w:rPr>
            </w:pPr>
          </w:p>
        </w:tc>
        <w:tc>
          <w:tcPr>
            <w:tcW w:w="135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sz w:val="18"/>
                <w:szCs w:val="18"/>
              </w:rPr>
            </w:pPr>
          </w:p>
        </w:tc>
        <w:tc>
          <w:tcPr>
            <w:tcW w:w="3539"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英文</w:t>
            </w:r>
          </w:p>
        </w:tc>
        <w:tc>
          <w:tcPr>
            <w:tcW w:w="1269"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五号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left w:val="single" w:color="000000" w:sz="8" w:space="0"/>
              <w:right w:val="single" w:color="000000" w:sz="4" w:space="0"/>
            </w:tcBorders>
            <w:vAlign w:val="center"/>
          </w:tcPr>
          <w:p>
            <w:pPr>
              <w:widowControl/>
              <w:jc w:val="left"/>
              <w:rPr>
                <w:rFonts w:ascii="宋体" w:hAnsi="宋体"/>
                <w:sz w:val="18"/>
                <w:szCs w:val="18"/>
              </w:rPr>
            </w:pPr>
          </w:p>
        </w:tc>
        <w:tc>
          <w:tcPr>
            <w:tcW w:w="1352" w:type="dxa"/>
            <w:vMerge w:val="restart"/>
            <w:tcBorders>
              <w:top w:val="nil"/>
              <w:left w:val="single" w:color="000000" w:sz="4" w:space="0"/>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数字</w:t>
            </w:r>
          </w:p>
        </w:tc>
        <w:tc>
          <w:tcPr>
            <w:tcW w:w="3539"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综合燃料消耗量数值</w:t>
            </w:r>
          </w:p>
        </w:tc>
        <w:tc>
          <w:tcPr>
            <w:tcW w:w="1269"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黑体加粗</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三号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left w:val="single" w:color="000000" w:sz="8" w:space="0"/>
              <w:right w:val="single" w:color="000000" w:sz="4" w:space="0"/>
            </w:tcBorders>
            <w:vAlign w:val="center"/>
          </w:tcPr>
          <w:p>
            <w:pPr>
              <w:widowControl/>
              <w:jc w:val="left"/>
              <w:rPr>
                <w:rFonts w:ascii="宋体" w:hAnsi="宋体"/>
                <w:sz w:val="18"/>
                <w:szCs w:val="18"/>
              </w:rPr>
            </w:pPr>
          </w:p>
        </w:tc>
        <w:tc>
          <w:tcPr>
            <w:tcW w:w="1352"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sz w:val="18"/>
                <w:szCs w:val="18"/>
              </w:rPr>
            </w:pPr>
          </w:p>
        </w:tc>
        <w:tc>
          <w:tcPr>
            <w:tcW w:w="3539"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预估能源成本数值、C</w:t>
            </w:r>
            <w:r>
              <w:rPr>
                <w:rFonts w:ascii="宋体" w:hAnsi="宋体"/>
                <w:sz w:val="18"/>
                <w:szCs w:val="18"/>
              </w:rPr>
              <w:t>O</w:t>
            </w:r>
            <w:r>
              <w:rPr>
                <w:rFonts w:ascii="宋体" w:hAnsi="宋体"/>
                <w:sz w:val="18"/>
                <w:szCs w:val="18"/>
                <w:vertAlign w:val="subscript"/>
              </w:rPr>
              <w:t>2</w:t>
            </w:r>
            <w:r>
              <w:rPr>
                <w:rFonts w:hint="eastAsia" w:ascii="宋体" w:hAnsi="宋体"/>
                <w:sz w:val="18"/>
                <w:szCs w:val="18"/>
              </w:rPr>
              <w:t>排放量数值</w:t>
            </w:r>
          </w:p>
        </w:tc>
        <w:tc>
          <w:tcPr>
            <w:tcW w:w="1269"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五号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8" w:type="dxa"/>
            <w:tcBorders>
              <w:top w:val="nil"/>
              <w:left w:val="single" w:color="000000" w:sz="8"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说明区</w:t>
            </w:r>
          </w:p>
        </w:tc>
        <w:tc>
          <w:tcPr>
            <w:tcW w:w="4891" w:type="dxa"/>
            <w:gridSpan w:val="2"/>
            <w:tcBorders>
              <w:top w:val="nil"/>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文字</w:t>
            </w:r>
          </w:p>
        </w:tc>
        <w:tc>
          <w:tcPr>
            <w:tcW w:w="1269"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六号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8" w:type="dxa"/>
            <w:vMerge w:val="restart"/>
            <w:tcBorders>
              <w:top w:val="single" w:color="000000" w:sz="4" w:space="0"/>
              <w:left w:val="single" w:color="000000" w:sz="8"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附加信息区</w:t>
            </w:r>
            <w:r>
              <w:rPr>
                <w:rFonts w:ascii="宋体" w:hAnsi="宋体"/>
                <w:sz w:val="18"/>
                <w:szCs w:val="18"/>
                <w:vertAlign w:val="superscript"/>
              </w:rPr>
              <w:t>c</w:t>
            </w:r>
          </w:p>
        </w:tc>
        <w:tc>
          <w:tcPr>
            <w:tcW w:w="1352" w:type="dxa"/>
            <w:vMerge w:val="restart"/>
            <w:tcBorders>
              <w:top w:val="single" w:color="000000" w:sz="4" w:space="0"/>
              <w:left w:val="nil"/>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文字</w:t>
            </w:r>
          </w:p>
        </w:tc>
        <w:tc>
          <w:tcPr>
            <w:tcW w:w="3539"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中文</w:t>
            </w:r>
          </w:p>
        </w:tc>
        <w:tc>
          <w:tcPr>
            <w:tcW w:w="1269"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六号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8" w:type="dxa"/>
            <w:vMerge w:val="continue"/>
            <w:tcBorders>
              <w:left w:val="single" w:color="000000" w:sz="8" w:space="0"/>
              <w:right w:val="single" w:color="000000" w:sz="4" w:space="0"/>
            </w:tcBorders>
            <w:vAlign w:val="center"/>
          </w:tcPr>
          <w:p>
            <w:pPr>
              <w:widowControl/>
              <w:jc w:val="center"/>
              <w:rPr>
                <w:rFonts w:ascii="宋体" w:hAnsi="宋体"/>
                <w:sz w:val="18"/>
                <w:szCs w:val="18"/>
              </w:rPr>
            </w:pPr>
          </w:p>
        </w:tc>
        <w:tc>
          <w:tcPr>
            <w:tcW w:w="1352" w:type="dxa"/>
            <w:vMerge w:val="continue"/>
            <w:tcBorders>
              <w:left w:val="nil"/>
              <w:bottom w:val="single" w:color="000000" w:sz="4" w:space="0"/>
              <w:right w:val="single" w:color="000000" w:sz="4" w:space="0"/>
            </w:tcBorders>
            <w:vAlign w:val="center"/>
          </w:tcPr>
          <w:p>
            <w:pPr>
              <w:widowControl/>
              <w:jc w:val="center"/>
              <w:rPr>
                <w:rFonts w:ascii="宋体" w:hAnsi="宋体"/>
                <w:sz w:val="18"/>
                <w:szCs w:val="18"/>
              </w:rPr>
            </w:pPr>
          </w:p>
        </w:tc>
        <w:tc>
          <w:tcPr>
            <w:tcW w:w="3539"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英文</w:t>
            </w:r>
          </w:p>
        </w:tc>
        <w:tc>
          <w:tcPr>
            <w:tcW w:w="1269" w:type="dxa"/>
            <w:tcBorders>
              <w:top w:val="single" w:color="000000" w:sz="4" w:space="0"/>
              <w:left w:val="nil"/>
              <w:bottom w:val="single" w:color="000000" w:sz="4"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4"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六号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8" w:type="dxa"/>
            <w:vMerge w:val="continue"/>
            <w:tcBorders>
              <w:left w:val="single" w:color="000000" w:sz="8" w:space="0"/>
              <w:bottom w:val="single" w:color="000000" w:sz="8" w:space="0"/>
              <w:right w:val="single" w:color="000000" w:sz="4" w:space="0"/>
            </w:tcBorders>
            <w:vAlign w:val="center"/>
          </w:tcPr>
          <w:p>
            <w:pPr>
              <w:widowControl/>
              <w:jc w:val="center"/>
              <w:rPr>
                <w:rFonts w:ascii="宋体" w:hAnsi="宋体"/>
                <w:sz w:val="18"/>
                <w:szCs w:val="18"/>
              </w:rPr>
            </w:pPr>
          </w:p>
        </w:tc>
        <w:tc>
          <w:tcPr>
            <w:tcW w:w="4891" w:type="dxa"/>
            <w:gridSpan w:val="2"/>
            <w:tcBorders>
              <w:top w:val="single" w:color="000000" w:sz="4" w:space="0"/>
              <w:left w:val="nil"/>
              <w:bottom w:val="single" w:color="000000" w:sz="8"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数字</w:t>
            </w:r>
          </w:p>
        </w:tc>
        <w:tc>
          <w:tcPr>
            <w:tcW w:w="1269" w:type="dxa"/>
            <w:tcBorders>
              <w:top w:val="single" w:color="000000" w:sz="4" w:space="0"/>
              <w:left w:val="nil"/>
              <w:bottom w:val="single" w:color="000000" w:sz="8" w:space="0"/>
              <w:right w:val="single" w:color="000000" w:sz="4"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黑体</w:t>
            </w:r>
          </w:p>
        </w:tc>
        <w:tc>
          <w:tcPr>
            <w:tcW w:w="1722" w:type="dxa"/>
            <w:tcBorders>
              <w:top w:val="single" w:color="000000" w:sz="4" w:space="0"/>
              <w:left w:val="nil"/>
              <w:bottom w:val="single" w:color="000000" w:sz="8" w:space="0"/>
              <w:right w:val="single" w:color="000000" w:sz="8" w:space="0"/>
            </w:tcBorders>
            <w:vAlign w:val="center"/>
          </w:tcPr>
          <w:p>
            <w:pPr>
              <w:spacing w:before="15" w:beforeLines="5" w:after="15" w:afterLines="5"/>
              <w:jc w:val="center"/>
              <w:rPr>
                <w:rFonts w:ascii="宋体" w:hAnsi="宋体"/>
                <w:sz w:val="18"/>
                <w:szCs w:val="18"/>
              </w:rPr>
            </w:pPr>
            <w:r>
              <w:rPr>
                <w:rFonts w:hint="eastAsia" w:ascii="宋体" w:hAnsi="宋体"/>
                <w:sz w:val="18"/>
                <w:szCs w:val="18"/>
              </w:rPr>
              <w:t>六号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360" w:type="dxa"/>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pStyle w:val="58"/>
              <w:ind w:firstLine="0" w:firstLineChars="0"/>
              <w:rPr>
                <w:sz w:val="18"/>
                <w:szCs w:val="18"/>
              </w:rPr>
            </w:pPr>
            <w:r>
              <w:rPr>
                <w:rFonts w:hint="eastAsia"/>
                <w:sz w:val="18"/>
                <w:szCs w:val="18"/>
                <w:vertAlign w:val="superscript"/>
              </w:rPr>
              <w:t>a</w:t>
            </w:r>
            <w:r>
              <w:rPr>
                <w:rFonts w:hint="eastAsia"/>
                <w:sz w:val="18"/>
                <w:szCs w:val="18"/>
              </w:rPr>
              <w:t xml:space="preserve"> 标题区不包括“企业标志”，“企业标志”字体、字号及颜色由生产企业自行确定。</w:t>
            </w:r>
          </w:p>
          <w:p>
            <w:pPr>
              <w:pStyle w:val="58"/>
              <w:ind w:firstLine="0" w:firstLineChars="0"/>
              <w:rPr>
                <w:sz w:val="18"/>
                <w:szCs w:val="18"/>
              </w:rPr>
            </w:pPr>
            <w:r>
              <w:rPr>
                <w:sz w:val="18"/>
                <w:szCs w:val="18"/>
                <w:vertAlign w:val="superscript"/>
              </w:rPr>
              <w:t>b</w:t>
            </w:r>
            <w:r>
              <w:rPr>
                <w:sz w:val="18"/>
                <w:szCs w:val="18"/>
              </w:rPr>
              <w:t xml:space="preserve"> </w:t>
            </w:r>
            <w:r>
              <w:rPr>
                <w:rFonts w:hint="eastAsia"/>
                <w:sz w:val="18"/>
                <w:szCs w:val="18"/>
              </w:rPr>
              <w:t>标题区与信息区间的水平线粗细为3磅。</w:t>
            </w:r>
          </w:p>
          <w:p>
            <w:pPr>
              <w:pStyle w:val="103"/>
              <w:numPr>
                <w:ilvl w:val="0"/>
                <w:numId w:val="0"/>
              </w:numPr>
            </w:pPr>
            <w:r>
              <w:rPr>
                <w:rFonts w:hint="eastAsia"/>
                <w:szCs w:val="18"/>
                <w:vertAlign w:val="superscript"/>
              </w:rPr>
              <w:t>c</w:t>
            </w:r>
            <w:r>
              <w:rPr>
                <w:szCs w:val="18"/>
              </w:rPr>
              <w:t xml:space="preserve"> </w:t>
            </w:r>
            <w:r>
              <w:rPr>
                <w:rFonts w:hint="eastAsia"/>
              </w:rPr>
              <w:t>说明区与附加信息区间的水平线粗细为1磅。</w:t>
            </w:r>
          </w:p>
        </w:tc>
      </w:tr>
    </w:tbl>
    <w:p>
      <w:pPr>
        <w:pStyle w:val="83"/>
        <w:spacing w:before="156" w:after="156"/>
      </w:pPr>
      <w:r>
        <w:rPr>
          <w:rFonts w:hint="eastAsia"/>
        </w:rPr>
        <w:t>载体的材质和粘贴要求</w:t>
      </w:r>
    </w:p>
    <w:p>
      <w:pPr>
        <w:pStyle w:val="58"/>
        <w:ind w:firstLine="420"/>
      </w:pPr>
      <w:r>
        <w:rPr>
          <w:rFonts w:hint="eastAsia"/>
        </w:rPr>
        <w:t>载体的材质和粘贴应符合7</w:t>
      </w:r>
      <w:r>
        <w:t>.3</w:t>
      </w:r>
      <w:r>
        <w:rPr>
          <w:rFonts w:hint="eastAsia"/>
        </w:rPr>
        <w:t>、7</w:t>
      </w:r>
      <w:r>
        <w:t>.4</w:t>
      </w:r>
      <w:r>
        <w:rPr>
          <w:rFonts w:hint="eastAsia"/>
        </w:rPr>
        <w:t>的规定。</w:t>
      </w:r>
    </w:p>
    <w:p>
      <w:pPr>
        <w:pStyle w:val="80"/>
        <w:spacing w:before="156" w:after="156"/>
      </w:pPr>
      <w:r>
        <w:rPr>
          <w:rFonts w:hint="eastAsia"/>
        </w:rPr>
        <w:t>电子标识</w:t>
      </w:r>
    </w:p>
    <w:p>
      <w:pPr>
        <w:pStyle w:val="58"/>
        <w:ind w:firstLine="420"/>
      </w:pPr>
      <w:r>
        <w:rPr>
          <w:rFonts w:hint="eastAsia"/>
        </w:rPr>
        <w:t>电子标识应包含第5</w:t>
      </w:r>
      <w:r>
        <w:rPr>
          <w:rFonts w:ascii="Times New Roman"/>
        </w:rPr>
        <w:t>~</w:t>
      </w:r>
      <w:r>
        <w:t>7</w:t>
      </w:r>
      <w:r>
        <w:rPr>
          <w:rFonts w:hint="eastAsia"/>
        </w:rPr>
        <w:t>章规定的标识的所有信息。</w:t>
      </w:r>
    </w:p>
    <w:p>
      <w:pPr>
        <w:pStyle w:val="58"/>
        <w:ind w:firstLine="420"/>
        <w:sectPr>
          <w:pgSz w:w="11906" w:h="16838"/>
          <w:pgMar w:top="567" w:right="1134" w:bottom="1134" w:left="1134" w:header="1418" w:footer="1134" w:gutter="284"/>
          <w:cols w:space="425" w:num="1"/>
          <w:formProt w:val="0"/>
          <w:docGrid w:type="lines" w:linePitch="312" w:charSpace="0"/>
        </w:sectPr>
      </w:pPr>
    </w:p>
    <w:p>
      <w:pPr>
        <w:pStyle w:val="78"/>
        <w:spacing w:before="78" w:after="156"/>
      </w:pPr>
      <w:r>
        <w:br w:type="textWrapping"/>
      </w:r>
      <w:bookmarkStart w:id="81" w:name="_Toc62723385"/>
      <w:r>
        <w:rPr>
          <w:rFonts w:hint="eastAsia"/>
        </w:rPr>
        <w:t>（规范性）</w:t>
      </w:r>
      <w:r>
        <w:br w:type="textWrapping"/>
      </w:r>
      <w:r>
        <w:rPr>
          <w:rFonts w:hint="eastAsia"/>
        </w:rPr>
        <w:t>标识各功能区图案要求</w:t>
      </w:r>
      <w:bookmarkEnd w:id="81"/>
    </w:p>
    <w:p>
      <w:pPr>
        <w:pStyle w:val="80"/>
        <w:spacing w:before="156" w:after="156"/>
      </w:pPr>
      <w:r>
        <w:rPr>
          <w:rFonts w:hint="eastAsia"/>
        </w:rPr>
        <w:t>各功能区分布示意图</w:t>
      </w:r>
    </w:p>
    <w:p>
      <w:pPr>
        <w:pStyle w:val="81"/>
        <w:spacing w:before="156" w:after="156"/>
      </w:pPr>
      <w:bookmarkStart w:id="82" w:name="_Hlk71497493"/>
      <w:r>
        <w:rPr>
          <w:rFonts w:hint="eastAsia"/>
        </w:rPr>
        <w:t>标识各功能区分布示意</w:t>
      </w:r>
      <w:bookmarkEnd w:id="82"/>
      <w:r>
        <w:rPr>
          <w:rFonts w:hint="eastAsia"/>
        </w:rPr>
        <w:t>图</w:t>
      </w:r>
    </w:p>
    <w:p>
      <w:pPr>
        <w:pStyle w:val="58"/>
        <w:ind w:firstLine="420"/>
      </w:pPr>
      <w:bookmarkStart w:id="83" w:name="_Hlk71497499"/>
      <w:r>
        <w:rPr>
          <w:rFonts w:hint="eastAsia"/>
        </w:rPr>
        <w:t>按照车型是否安装空调以及有无开启空调制冷状态、</w:t>
      </w:r>
      <w:r>
        <w:rPr>
          <w:rFonts w:hint="eastAsia" w:hAnsi="宋体"/>
        </w:rPr>
        <w:t>低温环境、高海拔环境下燃料消耗量试验结果，标识燃料消耗量扩展信息共有1</w:t>
      </w:r>
      <w:r>
        <w:rPr>
          <w:rFonts w:hAnsi="宋体"/>
        </w:rPr>
        <w:t>2</w:t>
      </w:r>
      <w:r>
        <w:rPr>
          <w:rFonts w:hint="eastAsia" w:hAnsi="宋体"/>
        </w:rPr>
        <w:t>种不同标注方法，此处仅给出</w:t>
      </w:r>
      <w:r>
        <w:rPr>
          <w:rFonts w:hAnsi="宋体"/>
        </w:rPr>
        <w:t>3</w:t>
      </w:r>
      <w:r>
        <w:rPr>
          <w:rFonts w:hint="eastAsia" w:hAnsi="宋体"/>
        </w:rPr>
        <w:t>种示例。</w:t>
      </w:r>
    </w:p>
    <w:p>
      <w:pPr>
        <w:pStyle w:val="185"/>
        <w:numPr>
          <w:ilvl w:val="0"/>
          <w:numId w:val="36"/>
        </w:numPr>
      </w:pPr>
      <w:bookmarkStart w:id="84" w:name="_Hlk75264798"/>
    </w:p>
    <w:p>
      <w:pPr>
        <w:pStyle w:val="184"/>
        <w:ind w:firstLine="360"/>
      </w:pPr>
      <w:r>
        <w:rPr>
          <w:rFonts w:hint="eastAsia"/>
        </w:rPr>
        <w:t>对于表1中序号4场景下的车型，其标识各功能区分布示意图见图</w:t>
      </w:r>
      <w:r>
        <w:t>B</w:t>
      </w:r>
      <w:r>
        <w:rPr>
          <w:rFonts w:hint="eastAsia"/>
        </w:rPr>
        <w:t>.</w:t>
      </w:r>
      <w:r>
        <w:t>1</w:t>
      </w:r>
      <w:r>
        <w:rPr>
          <w:rFonts w:hint="eastAsia"/>
        </w:rPr>
        <w:t>。</w:t>
      </w:r>
    </w:p>
    <w:bookmarkEnd w:id="83"/>
    <w:bookmarkEnd w:id="84"/>
    <w:p>
      <w:pPr>
        <w:pStyle w:val="58"/>
        <w:ind w:firstLine="0" w:firstLineChars="0"/>
        <w:jc w:val="center"/>
      </w:pPr>
      <w:r>
        <w:drawing>
          <wp:inline distT="0" distB="0" distL="0" distR="0">
            <wp:extent cx="5187315" cy="5718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23724" cy="5758719"/>
                    </a:xfrm>
                    <a:prstGeom prst="rect">
                      <a:avLst/>
                    </a:prstGeom>
                    <a:noFill/>
                    <a:ln>
                      <a:noFill/>
                    </a:ln>
                  </pic:spPr>
                </pic:pic>
              </a:graphicData>
            </a:graphic>
          </wp:inline>
        </w:drawing>
      </w:r>
    </w:p>
    <w:p>
      <w:pPr>
        <w:pStyle w:val="85"/>
        <w:numPr>
          <w:ilvl w:val="0"/>
          <w:numId w:val="0"/>
        </w:numPr>
        <w:spacing w:before="156" w:after="156"/>
        <w:rPr>
          <w:rFonts w:hAnsi="黑体"/>
          <w:kern w:val="2"/>
          <w:sz w:val="18"/>
          <w:szCs w:val="18"/>
        </w:rPr>
      </w:pPr>
      <w:bookmarkStart w:id="85" w:name="_Hlk75264988"/>
      <w:r>
        <w:rPr>
          <w:rFonts w:hint="eastAsia" w:hAnsi="黑体"/>
          <w:kern w:val="2"/>
          <w:sz w:val="18"/>
          <w:szCs w:val="18"/>
        </w:rPr>
        <w:t>图</w:t>
      </w:r>
      <w:r>
        <w:rPr>
          <w:rFonts w:hAnsi="黑体"/>
          <w:kern w:val="2"/>
          <w:sz w:val="18"/>
          <w:szCs w:val="18"/>
        </w:rPr>
        <w:t>B</w:t>
      </w:r>
      <w:r>
        <w:rPr>
          <w:rFonts w:hint="eastAsia" w:hAnsi="黑体"/>
          <w:kern w:val="2"/>
          <w:sz w:val="18"/>
          <w:szCs w:val="18"/>
        </w:rPr>
        <w:t>.</w:t>
      </w:r>
      <w:r>
        <w:rPr>
          <w:rFonts w:hAnsi="黑体"/>
          <w:kern w:val="2"/>
          <w:sz w:val="18"/>
          <w:szCs w:val="18"/>
        </w:rPr>
        <w:t xml:space="preserve">1 </w:t>
      </w:r>
      <w:r>
        <w:rPr>
          <w:rFonts w:hint="eastAsia" w:hAnsi="黑体"/>
          <w:kern w:val="2"/>
          <w:sz w:val="18"/>
          <w:szCs w:val="18"/>
        </w:rPr>
        <w:t>表1序号4场景车型标识各功能区分布示意图</w:t>
      </w:r>
    </w:p>
    <w:p>
      <w:pPr>
        <w:pStyle w:val="58"/>
        <w:ind w:firstLine="199" w:firstLineChars="95"/>
      </w:pPr>
    </w:p>
    <w:p>
      <w:pPr>
        <w:pStyle w:val="58"/>
        <w:ind w:firstLine="199" w:firstLineChars="95"/>
      </w:pPr>
    </w:p>
    <w:bookmarkEnd w:id="85"/>
    <w:p>
      <w:pPr>
        <w:pStyle w:val="185"/>
        <w:numPr>
          <w:ilvl w:val="0"/>
          <w:numId w:val="0"/>
        </w:numPr>
        <w:ind w:left="363"/>
        <w:rPr>
          <w:rFonts w:ascii="黑体" w:hAnsi="黑体" w:eastAsia="黑体"/>
        </w:rPr>
      </w:pPr>
      <w:r>
        <w:rPr>
          <w:rFonts w:hint="eastAsia" w:ascii="黑体" w:hAnsi="黑体" w:eastAsia="黑体"/>
        </w:rPr>
        <w:t>示例2：</w:t>
      </w:r>
    </w:p>
    <w:p>
      <w:pPr>
        <w:pStyle w:val="184"/>
        <w:ind w:firstLine="360"/>
      </w:pPr>
      <w:r>
        <w:rPr>
          <w:rFonts w:hint="eastAsia"/>
        </w:rPr>
        <w:t>对于表1中序号</w:t>
      </w:r>
      <w:r>
        <w:t>5</w:t>
      </w:r>
      <w:r>
        <w:rPr>
          <w:rFonts w:hint="eastAsia"/>
        </w:rPr>
        <w:t>场景下的车型，其标识各功能区分布示意图见图</w:t>
      </w:r>
      <w:r>
        <w:t>B</w:t>
      </w:r>
      <w:r>
        <w:rPr>
          <w:rFonts w:hint="eastAsia"/>
        </w:rPr>
        <w:t>.</w:t>
      </w:r>
      <w:r>
        <w:t>2</w:t>
      </w:r>
      <w:r>
        <w:rPr>
          <w:rFonts w:hint="eastAsia"/>
        </w:rPr>
        <w:t>。</w:t>
      </w:r>
    </w:p>
    <w:p>
      <w:pPr>
        <w:pStyle w:val="58"/>
        <w:spacing w:before="312" w:beforeLines="100"/>
        <w:ind w:firstLineChars="0"/>
        <w:jc w:val="center"/>
        <w:rPr>
          <w:rFonts w:ascii="黑体" w:hAnsi="黑体" w:eastAsia="黑体"/>
          <w:color w:val="FF0000"/>
          <w:kern w:val="2"/>
          <w:sz w:val="18"/>
          <w:szCs w:val="18"/>
        </w:rPr>
      </w:pPr>
      <w:r>
        <w:t xml:space="preserve"> </w:t>
      </w:r>
      <w:r>
        <w:drawing>
          <wp:inline distT="0" distB="0" distL="0" distR="0">
            <wp:extent cx="5184775" cy="57156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15041" cy="5749144"/>
                    </a:xfrm>
                    <a:prstGeom prst="rect">
                      <a:avLst/>
                    </a:prstGeom>
                    <a:noFill/>
                    <a:ln>
                      <a:noFill/>
                    </a:ln>
                  </pic:spPr>
                </pic:pic>
              </a:graphicData>
            </a:graphic>
          </wp:inline>
        </w:drawing>
      </w:r>
    </w:p>
    <w:p>
      <w:pPr>
        <w:pStyle w:val="85"/>
        <w:numPr>
          <w:ilvl w:val="0"/>
          <w:numId w:val="0"/>
        </w:numPr>
        <w:spacing w:before="156" w:after="156"/>
        <w:rPr>
          <w:rFonts w:hAnsi="黑体"/>
          <w:kern w:val="2"/>
          <w:sz w:val="18"/>
          <w:szCs w:val="18"/>
        </w:rPr>
      </w:pPr>
      <w:r>
        <w:rPr>
          <w:rFonts w:hint="eastAsia" w:hAnsi="黑体"/>
          <w:kern w:val="2"/>
          <w:sz w:val="18"/>
          <w:szCs w:val="18"/>
        </w:rPr>
        <w:t>图</w:t>
      </w:r>
      <w:r>
        <w:rPr>
          <w:rFonts w:hAnsi="黑体"/>
          <w:kern w:val="2"/>
          <w:sz w:val="18"/>
          <w:szCs w:val="18"/>
        </w:rPr>
        <w:t>B</w:t>
      </w:r>
      <w:r>
        <w:rPr>
          <w:rFonts w:hint="eastAsia" w:hAnsi="黑体"/>
          <w:kern w:val="2"/>
          <w:sz w:val="18"/>
          <w:szCs w:val="18"/>
        </w:rPr>
        <w:t>.</w:t>
      </w:r>
      <w:r>
        <w:rPr>
          <w:rFonts w:hAnsi="黑体"/>
          <w:kern w:val="2"/>
          <w:sz w:val="18"/>
          <w:szCs w:val="18"/>
        </w:rPr>
        <w:t xml:space="preserve">2 </w:t>
      </w:r>
      <w:r>
        <w:rPr>
          <w:rFonts w:hint="eastAsia" w:hAnsi="黑体"/>
          <w:kern w:val="2"/>
          <w:sz w:val="18"/>
          <w:szCs w:val="18"/>
        </w:rPr>
        <w:t>表1序号5场景车型标识各功能区分布示意图</w:t>
      </w:r>
    </w:p>
    <w:p>
      <w:pPr>
        <w:pStyle w:val="185"/>
        <w:numPr>
          <w:ilvl w:val="0"/>
          <w:numId w:val="0"/>
        </w:numPr>
        <w:ind w:left="363"/>
        <w:rPr>
          <w:rFonts w:ascii="黑体" w:hAnsi="黑体" w:eastAsia="黑体"/>
        </w:rPr>
      </w:pPr>
    </w:p>
    <w:p>
      <w:pPr>
        <w:pStyle w:val="185"/>
        <w:numPr>
          <w:ilvl w:val="0"/>
          <w:numId w:val="0"/>
        </w:numPr>
        <w:ind w:left="363"/>
        <w:rPr>
          <w:rFonts w:ascii="黑体" w:hAnsi="黑体" w:eastAsia="黑体"/>
        </w:rPr>
      </w:pPr>
    </w:p>
    <w:p>
      <w:pPr>
        <w:pStyle w:val="185"/>
        <w:numPr>
          <w:ilvl w:val="0"/>
          <w:numId w:val="0"/>
        </w:numPr>
        <w:ind w:left="363"/>
        <w:rPr>
          <w:rFonts w:ascii="黑体" w:hAnsi="黑体" w:eastAsia="黑体"/>
        </w:rPr>
      </w:pPr>
    </w:p>
    <w:p>
      <w:pPr>
        <w:pStyle w:val="185"/>
        <w:numPr>
          <w:ilvl w:val="0"/>
          <w:numId w:val="0"/>
        </w:numPr>
        <w:ind w:left="363"/>
        <w:rPr>
          <w:rFonts w:ascii="黑体" w:hAnsi="黑体" w:eastAsia="黑体"/>
        </w:rPr>
      </w:pPr>
    </w:p>
    <w:p>
      <w:pPr>
        <w:pStyle w:val="185"/>
        <w:numPr>
          <w:ilvl w:val="0"/>
          <w:numId w:val="0"/>
        </w:numPr>
        <w:ind w:left="363"/>
        <w:rPr>
          <w:rFonts w:ascii="黑体" w:hAnsi="黑体" w:eastAsia="黑体"/>
        </w:rPr>
      </w:pPr>
    </w:p>
    <w:p>
      <w:pPr>
        <w:pStyle w:val="185"/>
        <w:numPr>
          <w:ilvl w:val="0"/>
          <w:numId w:val="0"/>
        </w:numPr>
        <w:ind w:left="363"/>
        <w:rPr>
          <w:rFonts w:ascii="黑体" w:hAnsi="黑体" w:eastAsia="黑体"/>
        </w:rPr>
      </w:pPr>
    </w:p>
    <w:p>
      <w:pPr>
        <w:pStyle w:val="185"/>
        <w:numPr>
          <w:ilvl w:val="0"/>
          <w:numId w:val="0"/>
        </w:numPr>
        <w:ind w:left="363"/>
        <w:rPr>
          <w:rFonts w:ascii="黑体" w:hAnsi="黑体" w:eastAsia="黑体"/>
        </w:rPr>
      </w:pPr>
    </w:p>
    <w:p>
      <w:pPr>
        <w:pStyle w:val="185"/>
        <w:numPr>
          <w:ilvl w:val="0"/>
          <w:numId w:val="0"/>
        </w:numPr>
        <w:ind w:left="363"/>
        <w:rPr>
          <w:rFonts w:ascii="黑体" w:hAnsi="黑体" w:eastAsia="黑体"/>
        </w:rPr>
      </w:pPr>
    </w:p>
    <w:p>
      <w:pPr>
        <w:pStyle w:val="184"/>
        <w:ind w:firstLine="360"/>
      </w:pPr>
    </w:p>
    <w:p>
      <w:pPr>
        <w:pStyle w:val="185"/>
        <w:numPr>
          <w:ilvl w:val="0"/>
          <w:numId w:val="0"/>
        </w:numPr>
        <w:ind w:left="363"/>
        <w:rPr>
          <w:rFonts w:ascii="黑体" w:hAnsi="黑体" w:eastAsia="黑体"/>
        </w:rPr>
      </w:pPr>
    </w:p>
    <w:p>
      <w:pPr>
        <w:pStyle w:val="185"/>
        <w:numPr>
          <w:ilvl w:val="0"/>
          <w:numId w:val="0"/>
        </w:numPr>
        <w:ind w:left="363"/>
        <w:rPr>
          <w:rFonts w:ascii="黑体" w:hAnsi="黑体" w:eastAsia="黑体"/>
        </w:rPr>
      </w:pPr>
      <w:r>
        <w:rPr>
          <w:rFonts w:hint="eastAsia" w:ascii="黑体" w:hAnsi="黑体" w:eastAsia="黑体"/>
        </w:rPr>
        <w:t>示例</w:t>
      </w:r>
      <w:r>
        <w:rPr>
          <w:rFonts w:ascii="黑体" w:hAnsi="黑体" w:eastAsia="黑体"/>
        </w:rPr>
        <w:t>3</w:t>
      </w:r>
      <w:r>
        <w:rPr>
          <w:rFonts w:hint="eastAsia" w:ascii="黑体" w:hAnsi="黑体" w:eastAsia="黑体"/>
        </w:rPr>
        <w:t>：</w:t>
      </w:r>
    </w:p>
    <w:p>
      <w:pPr>
        <w:pStyle w:val="184"/>
        <w:ind w:firstLine="360"/>
      </w:pPr>
      <w:r>
        <w:rPr>
          <w:rFonts w:hint="eastAsia"/>
        </w:rPr>
        <w:t>对于表1中序号</w:t>
      </w:r>
      <w:r>
        <w:t>12</w:t>
      </w:r>
      <w:r>
        <w:rPr>
          <w:rFonts w:hint="eastAsia"/>
        </w:rPr>
        <w:t>场景下的车型，其标识各功能区分布示意图见图</w:t>
      </w:r>
      <w:r>
        <w:t>B</w:t>
      </w:r>
      <w:r>
        <w:rPr>
          <w:rFonts w:hint="eastAsia"/>
        </w:rPr>
        <w:t>.</w:t>
      </w:r>
      <w:r>
        <w:t>3</w:t>
      </w:r>
      <w:r>
        <w:rPr>
          <w:rFonts w:hint="eastAsia"/>
        </w:rPr>
        <w:t>。</w:t>
      </w:r>
    </w:p>
    <w:p>
      <w:pPr>
        <w:pStyle w:val="58"/>
        <w:ind w:firstLine="0" w:firstLineChars="0"/>
        <w:jc w:val="center"/>
      </w:pPr>
      <w:r>
        <w:drawing>
          <wp:inline distT="0" distB="0" distL="0" distR="0">
            <wp:extent cx="5177790" cy="570801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199586" cy="5732107"/>
                    </a:xfrm>
                    <a:prstGeom prst="rect">
                      <a:avLst/>
                    </a:prstGeom>
                    <a:noFill/>
                    <a:ln>
                      <a:noFill/>
                    </a:ln>
                  </pic:spPr>
                </pic:pic>
              </a:graphicData>
            </a:graphic>
          </wp:inline>
        </w:drawing>
      </w:r>
    </w:p>
    <w:p>
      <w:pPr>
        <w:pStyle w:val="85"/>
        <w:numPr>
          <w:ilvl w:val="0"/>
          <w:numId w:val="0"/>
        </w:numPr>
        <w:spacing w:before="156" w:after="156"/>
        <w:rPr>
          <w:rFonts w:hAnsi="黑体"/>
          <w:kern w:val="2"/>
          <w:sz w:val="18"/>
          <w:szCs w:val="18"/>
        </w:rPr>
      </w:pPr>
      <w:r>
        <w:rPr>
          <w:rFonts w:hint="eastAsia" w:hAnsi="黑体"/>
          <w:kern w:val="2"/>
          <w:sz w:val="18"/>
          <w:szCs w:val="18"/>
        </w:rPr>
        <w:t>图</w:t>
      </w:r>
      <w:r>
        <w:rPr>
          <w:rFonts w:hAnsi="黑体"/>
          <w:kern w:val="2"/>
          <w:sz w:val="18"/>
          <w:szCs w:val="18"/>
        </w:rPr>
        <w:t>B</w:t>
      </w:r>
      <w:r>
        <w:rPr>
          <w:rFonts w:hint="eastAsia" w:hAnsi="黑体"/>
          <w:kern w:val="2"/>
          <w:sz w:val="18"/>
          <w:szCs w:val="18"/>
        </w:rPr>
        <w:t>.</w:t>
      </w:r>
      <w:r>
        <w:rPr>
          <w:rFonts w:hAnsi="黑体"/>
          <w:kern w:val="2"/>
          <w:sz w:val="18"/>
          <w:szCs w:val="18"/>
        </w:rPr>
        <w:t xml:space="preserve">3 </w:t>
      </w:r>
      <w:r>
        <w:rPr>
          <w:rFonts w:hint="eastAsia" w:hAnsi="黑体"/>
          <w:kern w:val="2"/>
          <w:sz w:val="18"/>
          <w:szCs w:val="18"/>
        </w:rPr>
        <w:t>表1序号1</w:t>
      </w:r>
      <w:r>
        <w:rPr>
          <w:rFonts w:hAnsi="黑体"/>
          <w:kern w:val="2"/>
          <w:sz w:val="18"/>
          <w:szCs w:val="18"/>
        </w:rPr>
        <w:t>2</w:t>
      </w:r>
      <w:r>
        <w:rPr>
          <w:rFonts w:hint="eastAsia" w:hAnsi="黑体"/>
          <w:kern w:val="2"/>
          <w:sz w:val="18"/>
          <w:szCs w:val="18"/>
        </w:rPr>
        <w:t>场景车型标识各功能区分布示意图</w:t>
      </w: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81"/>
        <w:spacing w:before="156" w:after="156"/>
      </w:pPr>
      <w:bookmarkStart w:id="86" w:name="_Hlk71497962"/>
      <w:r>
        <w:rPr>
          <w:rFonts w:hint="eastAsia"/>
        </w:rPr>
        <w:t>电子标识载体各功能区分布示意</w:t>
      </w:r>
      <w:bookmarkEnd w:id="86"/>
      <w:r>
        <w:rPr>
          <w:rFonts w:hint="eastAsia"/>
        </w:rPr>
        <w:t>图</w:t>
      </w:r>
    </w:p>
    <w:p>
      <w:pPr>
        <w:pStyle w:val="58"/>
        <w:ind w:firstLine="420"/>
      </w:pPr>
      <w:bookmarkStart w:id="87" w:name="_Hlk71497986"/>
      <w:r>
        <w:rPr>
          <w:rFonts w:hint="eastAsia"/>
        </w:rPr>
        <w:t>电子标识载体各功能区分布示意图见图</w:t>
      </w:r>
      <w:r>
        <w:t>B</w:t>
      </w:r>
      <w:r>
        <w:rPr>
          <w:rFonts w:hint="eastAsia"/>
        </w:rPr>
        <w:t>.</w:t>
      </w:r>
      <w:bookmarkEnd w:id="87"/>
      <w:r>
        <w:t>4</w:t>
      </w:r>
      <w:r>
        <w:rPr>
          <w:rFonts w:hint="eastAsia"/>
        </w:rPr>
        <w:t>。</w:t>
      </w:r>
    </w:p>
    <w:p>
      <w:pPr>
        <w:pStyle w:val="58"/>
        <w:spacing w:before="156" w:beforeLines="50"/>
        <w:ind w:firstLine="0" w:firstLineChars="0"/>
        <w:jc w:val="center"/>
      </w:pPr>
      <w:r>
        <w:drawing>
          <wp:inline distT="0" distB="0" distL="0" distR="0">
            <wp:extent cx="4613275" cy="332486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613557" cy="3325492"/>
                    </a:xfrm>
                    <a:prstGeom prst="rect">
                      <a:avLst/>
                    </a:prstGeom>
                    <a:noFill/>
                    <a:ln>
                      <a:noFill/>
                    </a:ln>
                  </pic:spPr>
                </pic:pic>
              </a:graphicData>
            </a:graphic>
          </wp:inline>
        </w:drawing>
      </w:r>
    </w:p>
    <w:p>
      <w:pPr>
        <w:pStyle w:val="85"/>
        <w:numPr>
          <w:ilvl w:val="0"/>
          <w:numId w:val="0"/>
        </w:numPr>
        <w:spacing w:before="156" w:after="156"/>
      </w:pPr>
      <w:r>
        <w:rPr>
          <w:rFonts w:hint="eastAsia"/>
        </w:rPr>
        <w:t>图</w:t>
      </w:r>
      <w:r>
        <w:t>B</w:t>
      </w:r>
      <w:r>
        <w:rPr>
          <w:rFonts w:hint="eastAsia"/>
        </w:rPr>
        <w:t>.</w:t>
      </w:r>
      <w:r>
        <w:t xml:space="preserve">4 </w:t>
      </w:r>
      <w:r>
        <w:rPr>
          <w:rFonts w:hint="eastAsia"/>
        </w:rPr>
        <w:t>电子标识载体各功能区分布示意图</w:t>
      </w: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80"/>
        <w:spacing w:before="156" w:after="156"/>
      </w:pPr>
      <w:bookmarkStart w:id="88" w:name="_Hlk71498225"/>
      <w:r>
        <w:rPr>
          <w:rFonts w:hint="eastAsia"/>
        </w:rPr>
        <w:t>各功能区规格要</w:t>
      </w:r>
      <w:bookmarkEnd w:id="88"/>
      <w:r>
        <w:rPr>
          <w:rFonts w:hint="eastAsia"/>
        </w:rPr>
        <w:t>求</w:t>
      </w:r>
    </w:p>
    <w:p>
      <w:pPr>
        <w:pStyle w:val="81"/>
        <w:spacing w:before="156" w:after="156"/>
      </w:pPr>
      <w:bookmarkStart w:id="89" w:name="_Hlk71498242"/>
      <w:r>
        <w:rPr>
          <w:rFonts w:hint="eastAsia"/>
        </w:rPr>
        <w:t>标识各功能区规格</w:t>
      </w:r>
      <w:bookmarkEnd w:id="89"/>
      <w:r>
        <w:rPr>
          <w:rFonts w:hint="eastAsia"/>
        </w:rPr>
        <w:t>要求</w:t>
      </w:r>
    </w:p>
    <w:p>
      <w:pPr>
        <w:pStyle w:val="58"/>
        <w:ind w:firstLine="420"/>
      </w:pPr>
      <w:bookmarkStart w:id="90" w:name="_Hlk71498271"/>
      <w:r>
        <w:rPr>
          <w:rFonts w:hint="eastAsia"/>
        </w:rPr>
        <w:t>标识各功能区规格要求见图</w:t>
      </w:r>
      <w:r>
        <w:t>B</w:t>
      </w:r>
      <w:r>
        <w:rPr>
          <w:rFonts w:hint="eastAsia"/>
        </w:rPr>
        <w:t>.</w:t>
      </w:r>
      <w:bookmarkEnd w:id="90"/>
      <w:r>
        <w:t>5</w:t>
      </w:r>
      <w:r>
        <w:rPr>
          <w:rFonts w:hint="eastAsia"/>
        </w:rPr>
        <w:t>。</w:t>
      </w:r>
    </w:p>
    <w:p>
      <w:pPr>
        <w:pStyle w:val="231"/>
        <w:spacing w:before="156" w:beforeLines="50"/>
        <w:ind w:firstLine="300"/>
        <w:jc w:val="right"/>
        <w:rPr>
          <w:sz w:val="15"/>
          <w:szCs w:val="15"/>
        </w:rPr>
      </w:pPr>
      <w:r>
        <w:rPr>
          <w:rFonts w:hint="eastAsia" w:hAnsi="宋体"/>
          <w:sz w:val="15"/>
          <w:szCs w:val="15"/>
        </w:rPr>
        <w:t>单位为毫米</w:t>
      </w:r>
    </w:p>
    <w:p>
      <w:pPr>
        <w:pStyle w:val="231"/>
        <w:ind w:firstLine="0" w:firstLineChars="0"/>
        <w:jc w:val="center"/>
      </w:pPr>
      <w:r>
        <w:drawing>
          <wp:inline distT="0" distB="0" distL="0" distR="0">
            <wp:extent cx="4655185" cy="59143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702046" cy="5973316"/>
                    </a:xfrm>
                    <a:prstGeom prst="rect">
                      <a:avLst/>
                    </a:prstGeom>
                    <a:noFill/>
                    <a:ln>
                      <a:noFill/>
                    </a:ln>
                  </pic:spPr>
                </pic:pic>
              </a:graphicData>
            </a:graphic>
          </wp:inline>
        </w:drawing>
      </w:r>
    </w:p>
    <w:p>
      <w:pPr>
        <w:pStyle w:val="85"/>
        <w:numPr>
          <w:ilvl w:val="0"/>
          <w:numId w:val="0"/>
        </w:numPr>
        <w:spacing w:before="0" w:beforeLines="0" w:after="156"/>
      </w:pPr>
      <w:r>
        <w:rPr>
          <w:rFonts w:hint="eastAsia"/>
        </w:rPr>
        <w:t>图</w:t>
      </w:r>
      <w:r>
        <w:t>B</w:t>
      </w:r>
      <w:r>
        <w:rPr>
          <w:rFonts w:hint="eastAsia"/>
        </w:rPr>
        <w:t>.</w:t>
      </w:r>
      <w:r>
        <w:t xml:space="preserve">5 </w:t>
      </w:r>
      <w:r>
        <w:rPr>
          <w:rFonts w:hint="eastAsia"/>
        </w:rPr>
        <w:t>标识各功能区规格要求</w:t>
      </w: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81"/>
        <w:spacing w:before="156" w:after="156"/>
      </w:pPr>
      <w:bookmarkStart w:id="91" w:name="_Hlk71498500"/>
      <w:r>
        <w:rPr>
          <w:rFonts w:hint="eastAsia"/>
        </w:rPr>
        <w:t>电子标识载体各功能区规格要</w:t>
      </w:r>
      <w:bookmarkEnd w:id="91"/>
      <w:r>
        <w:rPr>
          <w:rFonts w:hint="eastAsia"/>
        </w:rPr>
        <w:t>求</w:t>
      </w:r>
    </w:p>
    <w:p>
      <w:pPr>
        <w:pStyle w:val="58"/>
        <w:ind w:firstLine="420"/>
      </w:pPr>
      <w:bookmarkStart w:id="92" w:name="_Hlk71498515"/>
      <w:r>
        <w:rPr>
          <w:rFonts w:hint="eastAsia"/>
        </w:rPr>
        <w:t>电子标识载体各功能区规格要求见图</w:t>
      </w:r>
      <w:r>
        <w:t>B</w:t>
      </w:r>
      <w:r>
        <w:rPr>
          <w:rFonts w:hint="eastAsia"/>
        </w:rPr>
        <w:t>.</w:t>
      </w:r>
      <w:bookmarkEnd w:id="92"/>
      <w:r>
        <w:t>6</w:t>
      </w:r>
      <w:r>
        <w:rPr>
          <w:rFonts w:hint="eastAsia"/>
        </w:rPr>
        <w:t>。</w:t>
      </w:r>
    </w:p>
    <w:p>
      <w:pPr>
        <w:pStyle w:val="231"/>
        <w:spacing w:before="156" w:beforeLines="50"/>
        <w:ind w:firstLine="300"/>
        <w:jc w:val="right"/>
        <w:rPr>
          <w:sz w:val="15"/>
          <w:szCs w:val="15"/>
        </w:rPr>
      </w:pPr>
      <w:r>
        <w:rPr>
          <w:rFonts w:hint="eastAsia" w:hAnsi="宋体"/>
          <w:sz w:val="15"/>
          <w:szCs w:val="15"/>
        </w:rPr>
        <w:t>单位为毫米</w:t>
      </w:r>
    </w:p>
    <w:p>
      <w:pPr>
        <w:pStyle w:val="58"/>
        <w:ind w:firstLine="420"/>
        <w:jc w:val="center"/>
      </w:pPr>
      <w:r>
        <w:drawing>
          <wp:inline distT="0" distB="0" distL="0" distR="0">
            <wp:extent cx="4225925" cy="36626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236814" cy="3672000"/>
                    </a:xfrm>
                    <a:prstGeom prst="rect">
                      <a:avLst/>
                    </a:prstGeom>
                    <a:noFill/>
                    <a:ln>
                      <a:noFill/>
                    </a:ln>
                  </pic:spPr>
                </pic:pic>
              </a:graphicData>
            </a:graphic>
          </wp:inline>
        </w:drawing>
      </w:r>
    </w:p>
    <w:p>
      <w:pPr>
        <w:pStyle w:val="85"/>
        <w:numPr>
          <w:ilvl w:val="0"/>
          <w:numId w:val="0"/>
        </w:numPr>
        <w:spacing w:before="156" w:after="156"/>
      </w:pPr>
      <w:r>
        <w:rPr>
          <w:rFonts w:hint="eastAsia"/>
        </w:rPr>
        <w:t>图</w:t>
      </w:r>
      <w:r>
        <w:t>B</w:t>
      </w:r>
      <w:r>
        <w:rPr>
          <w:rFonts w:hint="eastAsia"/>
        </w:rPr>
        <w:t>.</w:t>
      </w:r>
      <w:r>
        <w:t xml:space="preserve">6 </w:t>
      </w:r>
      <w:r>
        <w:rPr>
          <w:rFonts w:hint="eastAsia"/>
        </w:rPr>
        <w:t>电子标识载体各功能区规格要求</w:t>
      </w:r>
    </w:p>
    <w:p>
      <w:pPr>
        <w:pStyle w:val="58"/>
        <w:ind w:firstLine="420"/>
        <w:jc w:val="right"/>
      </w:pPr>
    </w:p>
    <w:p>
      <w:pPr>
        <w:pStyle w:val="58"/>
        <w:ind w:firstLine="420"/>
        <w:jc w:val="right"/>
      </w:pPr>
    </w:p>
    <w:p>
      <w:pPr>
        <w:pStyle w:val="58"/>
        <w:ind w:firstLine="420"/>
        <w:jc w:val="right"/>
      </w:pPr>
    </w:p>
    <w:p>
      <w:pPr>
        <w:pStyle w:val="58"/>
        <w:ind w:firstLine="420"/>
        <w:jc w:val="right"/>
      </w:pPr>
    </w:p>
    <w:p>
      <w:pPr>
        <w:pStyle w:val="58"/>
        <w:ind w:firstLine="420"/>
        <w:jc w:val="right"/>
      </w:pPr>
    </w:p>
    <w:p>
      <w:pPr>
        <w:pStyle w:val="58"/>
        <w:ind w:firstLine="420"/>
        <w:jc w:val="right"/>
      </w:pPr>
    </w:p>
    <w:p>
      <w:pPr>
        <w:pStyle w:val="58"/>
        <w:ind w:firstLine="420"/>
        <w:jc w:val="right"/>
      </w:pPr>
    </w:p>
    <w:p>
      <w:pPr>
        <w:pStyle w:val="58"/>
        <w:ind w:firstLine="420"/>
        <w:jc w:val="right"/>
      </w:pPr>
    </w:p>
    <w:p>
      <w:pPr>
        <w:pStyle w:val="58"/>
        <w:ind w:firstLine="420"/>
        <w:jc w:val="right"/>
      </w:pPr>
    </w:p>
    <w:p>
      <w:pPr>
        <w:pStyle w:val="58"/>
        <w:ind w:firstLine="420"/>
        <w:jc w:val="right"/>
      </w:pPr>
    </w:p>
    <w:p>
      <w:pPr>
        <w:pStyle w:val="58"/>
        <w:ind w:firstLine="420"/>
        <w:jc w:val="right"/>
      </w:pPr>
    </w:p>
    <w:p>
      <w:pPr>
        <w:pStyle w:val="58"/>
        <w:ind w:firstLine="420"/>
        <w:jc w:val="right"/>
      </w:pPr>
    </w:p>
    <w:p>
      <w:pPr>
        <w:pStyle w:val="58"/>
        <w:ind w:firstLine="420"/>
        <w:jc w:val="right"/>
      </w:pPr>
    </w:p>
    <w:p>
      <w:pPr>
        <w:pStyle w:val="58"/>
        <w:ind w:firstLine="420"/>
        <w:jc w:val="right"/>
      </w:pPr>
    </w:p>
    <w:p>
      <w:pPr>
        <w:pStyle w:val="58"/>
        <w:ind w:firstLine="420"/>
        <w:jc w:val="right"/>
      </w:pPr>
    </w:p>
    <w:p>
      <w:pPr>
        <w:pStyle w:val="58"/>
        <w:ind w:firstLine="420"/>
        <w:jc w:val="right"/>
      </w:pPr>
    </w:p>
    <w:p>
      <w:pPr>
        <w:pStyle w:val="58"/>
        <w:ind w:firstLine="420"/>
        <w:jc w:val="right"/>
      </w:pPr>
    </w:p>
    <w:p>
      <w:pPr>
        <w:pStyle w:val="58"/>
        <w:ind w:firstLine="420"/>
        <w:jc w:val="right"/>
      </w:pPr>
    </w:p>
    <w:p>
      <w:pPr>
        <w:pStyle w:val="58"/>
        <w:ind w:firstLine="420"/>
        <w:jc w:val="right"/>
      </w:pPr>
    </w:p>
    <w:p>
      <w:pPr>
        <w:pStyle w:val="80"/>
        <w:spacing w:before="156" w:after="156"/>
      </w:pPr>
      <w:r>
        <w:rPr>
          <w:rFonts w:hint="eastAsia"/>
        </w:rPr>
        <w:t>标识类别图案和二维码</w:t>
      </w:r>
    </w:p>
    <w:p>
      <w:pPr>
        <w:pStyle w:val="58"/>
        <w:ind w:firstLine="420"/>
      </w:pPr>
      <w:r>
        <w:rPr>
          <w:rFonts w:hint="eastAsia"/>
        </w:rPr>
        <w:t>标识类别图案和7</w:t>
      </w:r>
      <w:r>
        <w:t>.2.4</w:t>
      </w:r>
      <w:r>
        <w:rPr>
          <w:rFonts w:hint="eastAsia"/>
        </w:rPr>
        <w:t>中规定的标识二维码示意图分别如图B</w:t>
      </w:r>
      <w:r>
        <w:t>.7</w:t>
      </w:r>
      <w:r>
        <w:rPr>
          <w:rFonts w:hint="eastAsia"/>
        </w:rPr>
        <w:t>和图B</w:t>
      </w:r>
      <w:r>
        <w:t>.8</w:t>
      </w:r>
      <w:r>
        <w:rPr>
          <w:rFonts w:hint="eastAsia"/>
        </w:rPr>
        <w:t>所示。</w:t>
      </w:r>
    </w:p>
    <w:p>
      <w:pPr>
        <w:pStyle w:val="240"/>
        <w:spacing w:before="156" w:afterLines="0"/>
        <w:ind w:left="-710" w:firstLine="567" w:firstLineChars="270"/>
      </w:pPr>
      <w:r>
        <w:drawing>
          <wp:inline distT="0" distB="0" distL="0" distR="0">
            <wp:extent cx="3124200" cy="43091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rcRect t="526" b="263"/>
                    <a:stretch>
                      <a:fillRect/>
                    </a:stretch>
                  </pic:blipFill>
                  <pic:spPr>
                    <a:xfrm>
                      <a:off x="0" y="0"/>
                      <a:ext cx="3124200" cy="4309110"/>
                    </a:xfrm>
                    <a:prstGeom prst="rect">
                      <a:avLst/>
                    </a:prstGeom>
                  </pic:spPr>
                </pic:pic>
              </a:graphicData>
            </a:graphic>
          </wp:inline>
        </w:drawing>
      </w:r>
    </w:p>
    <w:p>
      <w:pPr>
        <w:pStyle w:val="85"/>
        <w:numPr>
          <w:ilvl w:val="0"/>
          <w:numId w:val="0"/>
        </w:numPr>
        <w:spacing w:before="156" w:after="156"/>
      </w:pPr>
      <w:r>
        <w:rPr>
          <w:rFonts w:hint="eastAsia"/>
        </w:rPr>
        <w:t>图</w:t>
      </w:r>
      <w:r>
        <w:t>B</w:t>
      </w:r>
      <w:r>
        <w:rPr>
          <w:rFonts w:hint="eastAsia"/>
        </w:rPr>
        <w:t>.</w:t>
      </w:r>
      <w:r>
        <w:t xml:space="preserve">7 </w:t>
      </w:r>
      <w:r>
        <w:rPr>
          <w:rFonts w:hint="eastAsia"/>
        </w:rPr>
        <w:t>标识类别图案示意图</w:t>
      </w:r>
    </w:p>
    <w:p>
      <w:pPr>
        <w:pStyle w:val="231"/>
        <w:ind w:firstLine="0" w:firstLineChars="0"/>
        <w:jc w:val="center"/>
      </w:pPr>
      <w:r>
        <w:drawing>
          <wp:inline distT="0" distB="0" distL="0" distR="0">
            <wp:extent cx="4643120" cy="4643120"/>
            <wp:effectExtent l="0" t="0" r="508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649862" cy="4649862"/>
                    </a:xfrm>
                    <a:prstGeom prst="rect">
                      <a:avLst/>
                    </a:prstGeom>
                    <a:noFill/>
                    <a:ln>
                      <a:noFill/>
                    </a:ln>
                  </pic:spPr>
                </pic:pic>
              </a:graphicData>
            </a:graphic>
          </wp:inline>
        </w:drawing>
      </w:r>
    </w:p>
    <w:p>
      <w:pPr>
        <w:pStyle w:val="85"/>
        <w:numPr>
          <w:ilvl w:val="0"/>
          <w:numId w:val="0"/>
        </w:numPr>
        <w:spacing w:before="156" w:after="156"/>
      </w:pPr>
      <w:r>
        <w:rPr>
          <w:rFonts w:hint="eastAsia"/>
        </w:rPr>
        <w:t>图</w:t>
      </w:r>
      <w:r>
        <w:t>B</w:t>
      </w:r>
      <w:r>
        <w:rPr>
          <w:rFonts w:hint="eastAsia"/>
        </w:rPr>
        <w:t>.</w:t>
      </w:r>
      <w:r>
        <w:t xml:space="preserve">8 </w:t>
      </w:r>
      <w:r>
        <w:rPr>
          <w:rFonts w:hint="eastAsia"/>
        </w:rPr>
        <w:t>标识二维码示意图</w:t>
      </w:r>
    </w:p>
    <w:p>
      <w:pPr>
        <w:pStyle w:val="58"/>
        <w:ind w:firstLine="420"/>
        <w:jc w:val="center"/>
      </w:pPr>
    </w:p>
    <w:p>
      <w:pPr>
        <w:pStyle w:val="58"/>
        <w:ind w:firstLine="420"/>
        <w:jc w:val="center"/>
      </w:pPr>
    </w:p>
    <w:p>
      <w:pPr>
        <w:pStyle w:val="58"/>
        <w:ind w:firstLine="420"/>
        <w:jc w:val="center"/>
      </w:pPr>
    </w:p>
    <w:p>
      <w:pPr>
        <w:pStyle w:val="58"/>
        <w:ind w:firstLine="420"/>
        <w:jc w:val="center"/>
      </w:pPr>
    </w:p>
    <w:bookmarkEnd w:id="76"/>
    <w:p>
      <w:pPr>
        <w:pStyle w:val="58"/>
        <w:ind w:firstLine="0" w:firstLineChars="0"/>
        <w:jc w:val="center"/>
      </w:pPr>
      <w:bookmarkStart w:id="93" w:name="BookMark8"/>
      <w:r>
        <w:rPr>
          <w:rFonts w:hint="eastAsia"/>
        </w:rPr>
        <w:drawing>
          <wp:inline distT="0" distB="0" distL="0" distR="0">
            <wp:extent cx="1485900" cy="317500"/>
            <wp:effectExtent l="0" t="0" r="0" b="635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31">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93"/>
    </w:p>
    <w:sectPr>
      <w:pgSz w:w="11906" w:h="16838"/>
      <w:pgMar w:top="567" w:right="1134" w:bottom="1134" w:left="1134" w:header="1418" w:footer="1134" w:gutter="284"/>
      <w:cols w:space="425" w:num="1"/>
      <w:formProt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24"/>
        <w:ind w:left="720" w:hanging="300"/>
      </w:pPr>
      <w:r>
        <w:rPr>
          <w:rStyle w:val="35"/>
          <w:sz w:val="15"/>
          <w:vertAlign w:val="baseline"/>
        </w:rPr>
        <w:footnoteRef/>
      </w:r>
      <w:r>
        <w:rPr>
          <w:rFonts w:hint="eastAsia"/>
        </w:rPr>
        <w:t>) 开启空调制冷状态综合工况燃料消耗量相比型式认证值的行业平均增加率将随行业技术发展水平变化，后续数据更新将另行公布；轻型商用车辆行业平均增加率数据另行公布。</w:t>
      </w:r>
    </w:p>
  </w:footnote>
  <w:footnote w:id="1">
    <w:p>
      <w:pPr>
        <w:pStyle w:val="224"/>
        <w:ind w:left="720" w:hanging="300"/>
      </w:pPr>
      <w:r>
        <w:rPr>
          <w:rStyle w:val="35"/>
          <w:sz w:val="15"/>
          <w:vertAlign w:val="baseline"/>
        </w:rPr>
        <w:footnoteRef/>
      </w:r>
      <w:r>
        <w:t xml:space="preserve">) </w:t>
      </w:r>
      <w:r>
        <w:rPr>
          <w:rFonts w:hint="eastAsia"/>
        </w:rPr>
        <w:t>汽油价格和柴油价格随市场波动，后续数据更新将另行公布。</w:t>
      </w:r>
    </w:p>
  </w:footnote>
  <w:footnote w:id="2">
    <w:p>
      <w:pPr>
        <w:pStyle w:val="224"/>
        <w:ind w:left="720" w:hanging="300"/>
      </w:pPr>
      <w:r>
        <w:rPr>
          <w:rStyle w:val="35"/>
          <w:sz w:val="15"/>
          <w:vertAlign w:val="baseline"/>
        </w:rPr>
        <w:footnoteRef/>
      </w:r>
      <w:r>
        <w:rPr>
          <w:rFonts w:hint="eastAsia"/>
        </w:rPr>
        <w:t>) 燃料消耗量数据基于中国轻型汽车行驶工况（CLTC）测定时，无需标注此项信息。</w:t>
      </w:r>
    </w:p>
  </w:footnote>
  <w:footnote w:id="3">
    <w:p>
      <w:pPr>
        <w:pStyle w:val="224"/>
        <w:ind w:left="720" w:hanging="300"/>
      </w:pPr>
      <w:r>
        <w:rPr>
          <w:rStyle w:val="35"/>
          <w:sz w:val="15"/>
          <w:vertAlign w:val="baseline"/>
        </w:rPr>
        <w:footnoteRef/>
      </w:r>
      <w:r>
        <w:t xml:space="preserve">) </w:t>
      </w:r>
      <w:r>
        <w:rPr>
          <w:rFonts w:hint="eastAsia"/>
        </w:rPr>
        <w:t>领跑值另行公布。</w:t>
      </w:r>
    </w:p>
  </w:footnote>
  <w:footnote w:id="4">
    <w:p>
      <w:pPr>
        <w:pStyle w:val="224"/>
        <w:ind w:left="720" w:hanging="300"/>
      </w:pPr>
      <w:r>
        <w:rPr>
          <w:rStyle w:val="35"/>
          <w:sz w:val="15"/>
          <w:vertAlign w:val="baseline"/>
        </w:rPr>
        <w:footnoteRef/>
      </w:r>
      <w:r>
        <w:rPr>
          <w:rFonts w:hint="eastAsia"/>
        </w:rPr>
        <w:t>) 电子化标识管理办法另行公布。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spacing w:after="0"/>
    </w:pPr>
    <w:r>
      <w:fldChar w:fldCharType="begin"/>
    </w:r>
    <w:r>
      <w:instrText xml:space="preserve"> STYLEREF  标准文件_文件编号  \* MERGEFORMAT </w:instrText>
    </w:r>
    <w:r>
      <w:fldChar w:fldCharType="separate"/>
    </w:r>
    <w:r>
      <w:t>GB 22757.1—XXXX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fldChar w:fldCharType="begin"/>
    </w:r>
    <w:r>
      <w:instrText xml:space="preserve"> STYLEREF  标准文件_文件编号  \* MERGEFORMAT </w:instrText>
    </w:r>
    <w:r>
      <w:fldChar w:fldCharType="separate"/>
    </w:r>
    <w:r>
      <w:t>GB 22757.1—XXXX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multilevel"/>
    <w:tmpl w:val="02837933"/>
    <w:lvl w:ilvl="0" w:tentative="0">
      <w:start w:val="1"/>
      <w:numFmt w:val="decimal"/>
      <w:pStyle w:val="66"/>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1"/>
      <w:suff w:val="nothing"/>
      <w:lvlText w:val="%1%2.%3　"/>
      <w:lvlJc w:val="left"/>
      <w:pPr>
        <w:ind w:left="0" w:firstLine="0"/>
      </w:pPr>
    </w:lvl>
    <w:lvl w:ilvl="3" w:tentative="0">
      <w:start w:val="1"/>
      <w:numFmt w:val="decimal"/>
      <w:pStyle w:val="120"/>
      <w:suff w:val="nothing"/>
      <w:lvlText w:val="%1%2.%3.%4　"/>
      <w:lvlJc w:val="left"/>
      <w:pPr>
        <w:ind w:left="0" w:firstLine="0"/>
      </w:pPr>
    </w:lvl>
    <w:lvl w:ilvl="4" w:tentative="0">
      <w:start w:val="1"/>
      <w:numFmt w:val="decimal"/>
      <w:pStyle w:val="155"/>
      <w:suff w:val="nothing"/>
      <w:lvlText w:val="%1%2.%3.%4.%5　"/>
      <w:lvlJc w:val="left"/>
      <w:pPr>
        <w:ind w:left="0" w:firstLine="0"/>
      </w:pPr>
    </w:lvl>
    <w:lvl w:ilvl="5" w:tentative="0">
      <w:start w:val="1"/>
      <w:numFmt w:val="decimal"/>
      <w:pStyle w:val="157"/>
      <w:suff w:val="nothing"/>
      <w:lvlText w:val="%1%2.%3.%4.%5.%6　"/>
      <w:lvlJc w:val="left"/>
      <w:pPr>
        <w:ind w:left="0" w:firstLine="0"/>
      </w:pPr>
    </w:lvl>
    <w:lvl w:ilvl="6" w:tentative="0">
      <w:start w:val="1"/>
      <w:numFmt w:val="decimal"/>
      <w:pStyle w:val="160"/>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2"/>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1"/>
      <w:lvlText w:val="%1"/>
      <w:lvlJc w:val="left"/>
      <w:pPr>
        <w:ind w:left="425" w:hanging="425"/>
      </w:pPr>
      <w:rPr>
        <w:rFonts w:hint="eastAsia"/>
      </w:rPr>
    </w:lvl>
    <w:lvl w:ilvl="1" w:tentative="0">
      <w:start w:val="1"/>
      <w:numFmt w:val="decimal"/>
      <w:pStyle w:val="202"/>
      <w:suff w:val="nothing"/>
      <w:lvlText w:val="%10.%2 "/>
      <w:lvlJc w:val="left"/>
      <w:pPr>
        <w:ind w:left="0" w:firstLine="0"/>
      </w:pPr>
      <w:rPr>
        <w:rFonts w:hint="eastAsia" w:ascii="黑体" w:eastAsia="黑体" w:hAnsiTheme="minorHAnsi"/>
        <w:b w:val="0"/>
        <w:i w:val="0"/>
        <w:sz w:val="21"/>
      </w:rPr>
    </w:lvl>
    <w:lvl w:ilvl="2" w:tentative="0">
      <w:start w:val="1"/>
      <w:numFmt w:val="decimal"/>
      <w:pStyle w:val="203"/>
      <w:suff w:val="nothing"/>
      <w:lvlText w:val="%10.%2.%3 "/>
      <w:lvlJc w:val="left"/>
      <w:pPr>
        <w:ind w:left="0" w:firstLine="0"/>
      </w:pPr>
      <w:rPr>
        <w:rFonts w:hint="eastAsia" w:ascii="黑体" w:eastAsia="黑体" w:hAnsiTheme="minorHAnsi"/>
        <w:b w:val="0"/>
        <w:i w:val="0"/>
        <w:sz w:val="21"/>
      </w:rPr>
    </w:lvl>
    <w:lvl w:ilvl="3" w:tentative="0">
      <w:start w:val="1"/>
      <w:numFmt w:val="decimal"/>
      <w:pStyle w:val="204"/>
      <w:suff w:val="nothing"/>
      <w:lvlText w:val="%10.%2.%3.%4 "/>
      <w:lvlJc w:val="left"/>
      <w:pPr>
        <w:ind w:left="0" w:firstLine="0"/>
      </w:pPr>
      <w:rPr>
        <w:rFonts w:hint="eastAsia" w:ascii="黑体" w:eastAsia="黑体" w:hAnsiTheme="minorHAnsi"/>
        <w:b w:val="0"/>
        <w:i w:val="0"/>
        <w:sz w:val="21"/>
      </w:rPr>
    </w:lvl>
    <w:lvl w:ilvl="4" w:tentative="0">
      <w:start w:val="1"/>
      <w:numFmt w:val="decimal"/>
      <w:pStyle w:val="205"/>
      <w:suff w:val="nothing"/>
      <w:lvlText w:val="%10.%2.%3.%4.%5 "/>
      <w:lvlJc w:val="left"/>
      <w:pPr>
        <w:ind w:left="0" w:firstLine="0"/>
      </w:pPr>
      <w:rPr>
        <w:rFonts w:hint="eastAsia" w:ascii="黑体" w:eastAsia="黑体" w:hAnsiTheme="minorHAnsi"/>
        <w:b w:val="0"/>
        <w:i w:val="0"/>
        <w:sz w:val="21"/>
      </w:rPr>
    </w:lvl>
    <w:lvl w:ilvl="5" w:tentative="0">
      <w:start w:val="1"/>
      <w:numFmt w:val="decimal"/>
      <w:pStyle w:val="206"/>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3"/>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9"/>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6236CD5"/>
    <w:multiLevelType w:val="multilevel"/>
    <w:tmpl w:val="16236CD5"/>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AD20F90"/>
    <w:multiLevelType w:val="multilevel"/>
    <w:tmpl w:val="1AD20F90"/>
    <w:lvl w:ilvl="0" w:tentative="0">
      <w:start w:val="1"/>
      <w:numFmt w:val="none"/>
      <w:pStyle w:val="112"/>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AF15012"/>
    <w:multiLevelType w:val="multilevel"/>
    <w:tmpl w:val="1AF15012"/>
    <w:lvl w:ilvl="0" w:tentative="0">
      <w:start w:val="1"/>
      <w:numFmt w:val="upperLetter"/>
      <w:pStyle w:val="87"/>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1EAA1992"/>
    <w:multiLevelType w:val="multilevel"/>
    <w:tmpl w:val="1EAA1992"/>
    <w:lvl w:ilvl="0" w:tentative="0">
      <w:start w:val="1"/>
      <w:numFmt w:val="none"/>
      <w:pStyle w:val="94"/>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1">
    <w:nsid w:val="2C5917C3"/>
    <w:multiLevelType w:val="multilevel"/>
    <w:tmpl w:val="2C5917C3"/>
    <w:lvl w:ilvl="0" w:tentative="0">
      <w:start w:val="1"/>
      <w:numFmt w:val="none"/>
      <w:pStyle w:val="134"/>
      <w:lvlText w:val="%1——"/>
      <w:lvlJc w:val="left"/>
      <w:pPr>
        <w:tabs>
          <w:tab w:val="left" w:pos="851"/>
        </w:tabs>
        <w:ind w:left="851" w:hanging="426"/>
      </w:pPr>
      <w:rPr>
        <w:rFonts w:hint="default" w:ascii="Times New Roman" w:hAnsi="Times New Roman" w:eastAsia="宋体" w:cs="Times New Roman"/>
        <w:b w:val="0"/>
        <w:i w:val="0"/>
        <w:sz w:val="21"/>
      </w:rPr>
    </w:lvl>
    <w:lvl w:ilvl="1" w:tentative="0">
      <w:start w:val="1"/>
      <w:numFmt w:val="none"/>
      <w:pStyle w:val="189"/>
      <w:lvlText w:val=""/>
      <w:lvlJc w:val="left"/>
      <w:pPr>
        <w:ind w:left="851" w:hanging="431"/>
      </w:pPr>
      <w:rPr>
        <w:rFonts w:hint="default" w:ascii="Symbol" w:hAnsi="Symbol"/>
        <w:sz w:val="21"/>
      </w:rPr>
    </w:lvl>
    <w:lvl w:ilvl="2" w:tentative="0">
      <w:start w:val="1"/>
      <w:numFmt w:val="bullet"/>
      <w:pStyle w:val="174"/>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03"/>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39413B1F"/>
    <w:multiLevelType w:val="multilevel"/>
    <w:tmpl w:val="39413B1F"/>
    <w:lvl w:ilvl="0" w:tentative="0">
      <w:start w:val="1"/>
      <w:numFmt w:val="low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44C50F90"/>
    <w:multiLevelType w:val="multilevel"/>
    <w:tmpl w:val="44C50F90"/>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pStyle w:val="111"/>
      <w:lvlText w:val="%2)"/>
      <w:lvlJc w:val="left"/>
      <w:pPr>
        <w:tabs>
          <w:tab w:val="left" w:pos="1276"/>
        </w:tabs>
        <w:ind w:left="1276" w:hanging="425"/>
      </w:pPr>
      <w:rPr>
        <w:rFonts w:hint="eastAsia" w:ascii="宋体" w:hAnsi="Times New Roman" w:eastAsia="宋体"/>
        <w:sz w:val="21"/>
      </w:rPr>
    </w:lvl>
    <w:lvl w:ilvl="2" w:tentative="0">
      <w:start w:val="1"/>
      <w:numFmt w:val="decimal"/>
      <w:pStyle w:val="119"/>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5">
    <w:nsid w:val="48802D1C"/>
    <w:multiLevelType w:val="multilevel"/>
    <w:tmpl w:val="48802D1C"/>
    <w:lvl w:ilvl="0" w:tentative="0">
      <w:start w:val="1"/>
      <w:numFmt w:val="upperLetter"/>
      <w:pStyle w:val="200"/>
      <w:lvlText w:val="%1"/>
      <w:lvlJc w:val="left"/>
      <w:pPr>
        <w:ind w:left="420" w:hanging="420"/>
      </w:pPr>
      <w:rPr>
        <w:rFonts w:hint="eastAsia"/>
      </w:rPr>
    </w:lvl>
    <w:lvl w:ilvl="1" w:tentative="0">
      <w:start w:val="1"/>
      <w:numFmt w:val="decimal"/>
      <w:pStyle w:val="85"/>
      <w:suff w:val="space"/>
      <w:lvlText w:val="图%1.%2"/>
      <w:lvlJc w:val="center"/>
      <w:pPr>
        <w:ind w:left="3544"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4B733A5F"/>
    <w:multiLevelType w:val="multilevel"/>
    <w:tmpl w:val="4B733A5F"/>
    <w:lvl w:ilvl="0" w:tentative="0">
      <w:start w:val="1"/>
      <w:numFmt w:val="decimal"/>
      <w:pStyle w:val="185"/>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7">
    <w:nsid w:val="4E5D0534"/>
    <w:multiLevelType w:val="multilevel"/>
    <w:tmpl w:val="4E5D0534"/>
    <w:lvl w:ilvl="0" w:tentative="0">
      <w:start w:val="1"/>
      <w:numFmt w:val="decimal"/>
      <w:pStyle w:val="118"/>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4632751"/>
    <w:multiLevelType w:val="multilevel"/>
    <w:tmpl w:val="54632751"/>
    <w:lvl w:ilvl="0" w:tentative="0">
      <w:start w:val="1"/>
      <w:numFmt w:val="none"/>
      <w:pStyle w:val="95"/>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9">
    <w:nsid w:val="557C2AF5"/>
    <w:multiLevelType w:val="multilevel"/>
    <w:tmpl w:val="557C2AF5"/>
    <w:lvl w:ilvl="0" w:tentative="0">
      <w:start w:val="1"/>
      <w:numFmt w:val="decimal"/>
      <w:pStyle w:val="116"/>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0">
    <w:nsid w:val="5603797C"/>
    <w:multiLevelType w:val="multilevel"/>
    <w:tmpl w:val="5603797C"/>
    <w:lvl w:ilvl="0" w:tentative="0">
      <w:start w:val="1"/>
      <w:numFmt w:val="upperLetter"/>
      <w:pStyle w:val="201"/>
      <w:suff w:val="space"/>
      <w:lvlText w:val="%1"/>
      <w:lvlJc w:val="left"/>
      <w:pPr>
        <w:ind w:left="425" w:hanging="425"/>
      </w:pPr>
      <w:rPr>
        <w:rFonts w:hint="eastAsia"/>
      </w:rPr>
    </w:lvl>
    <w:lvl w:ilvl="1" w:tentative="0">
      <w:start w:val="1"/>
      <w:numFmt w:val="decimal"/>
      <w:pStyle w:val="79"/>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564D2089"/>
    <w:multiLevelType w:val="multilevel"/>
    <w:tmpl w:val="564D2089"/>
    <w:lvl w:ilvl="0" w:tentative="0">
      <w:start w:val="1"/>
      <w:numFmt w:val="none"/>
      <w:pStyle w:val="113"/>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644622F9"/>
    <w:multiLevelType w:val="multilevel"/>
    <w:tmpl w:val="644622F9"/>
    <w:lvl w:ilvl="0" w:tentative="0">
      <w:start w:val="1"/>
      <w:numFmt w:val="upp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3">
    <w:nsid w:val="646260FA"/>
    <w:multiLevelType w:val="multilevel"/>
    <w:tmpl w:val="646260FA"/>
    <w:lvl w:ilvl="0" w:tentative="0">
      <w:start w:val="1"/>
      <w:numFmt w:val="decimal"/>
      <w:pStyle w:val="114"/>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4">
    <w:nsid w:val="654A26C9"/>
    <w:multiLevelType w:val="multilevel"/>
    <w:tmpl w:val="654A26C9"/>
    <w:lvl w:ilvl="0" w:tentative="0">
      <w:start w:val="1"/>
      <w:numFmt w:val="none"/>
      <w:pStyle w:val="191"/>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5">
    <w:nsid w:val="657D3FBC"/>
    <w:multiLevelType w:val="multilevel"/>
    <w:tmpl w:val="657D3FBC"/>
    <w:lvl w:ilvl="0" w:tentative="0">
      <w:start w:val="1"/>
      <w:numFmt w:val="upperLetter"/>
      <w:pStyle w:val="78"/>
      <w:suff w:val="nothing"/>
      <w:lvlText w:val="附录%1"/>
      <w:lvlJc w:val="left"/>
      <w:pPr>
        <w:ind w:left="0" w:firstLine="0"/>
      </w:pPr>
      <w:rPr>
        <w:rFonts w:hint="eastAsia"/>
        <w:spacing w:val="100"/>
      </w:rPr>
    </w:lvl>
    <w:lvl w:ilvl="1" w:tentative="0">
      <w:start w:val="1"/>
      <w:numFmt w:val="decimal"/>
      <w:pStyle w:val="80"/>
      <w:suff w:val="nothing"/>
      <w:lvlText w:val="%1.%2　"/>
      <w:lvlJc w:val="left"/>
      <w:pPr>
        <w:ind w:left="0" w:firstLine="0"/>
      </w:pPr>
      <w:rPr>
        <w:rFonts w:hint="eastAsia" w:ascii="黑体" w:eastAsia="黑体"/>
        <w:b w:val="0"/>
        <w:i w:val="0"/>
        <w:sz w:val="21"/>
      </w:rPr>
    </w:lvl>
    <w:lvl w:ilvl="2" w:tentative="0">
      <w:start w:val="1"/>
      <w:numFmt w:val="decimal"/>
      <w:pStyle w:val="81"/>
      <w:suff w:val="nothing"/>
      <w:lvlText w:val="%1.%2.%3　"/>
      <w:lvlJc w:val="left"/>
      <w:pPr>
        <w:ind w:left="0" w:firstLine="0"/>
      </w:pPr>
      <w:rPr>
        <w:rFonts w:hint="eastAsia" w:ascii="黑体" w:eastAsia="黑体"/>
        <w:b w:val="0"/>
        <w:i w:val="0"/>
        <w:sz w:val="21"/>
      </w:rPr>
    </w:lvl>
    <w:lvl w:ilvl="3" w:tentative="0">
      <w:start w:val="1"/>
      <w:numFmt w:val="decimal"/>
      <w:pStyle w:val="83"/>
      <w:suff w:val="nothing"/>
      <w:lvlText w:val="%1.%2.%3.%4　"/>
      <w:lvlJc w:val="left"/>
      <w:pPr>
        <w:ind w:left="0" w:firstLine="0"/>
      </w:pPr>
      <w:rPr>
        <w:rFonts w:hint="eastAsia" w:ascii="黑体" w:eastAsia="黑体"/>
        <w:b w:val="0"/>
        <w:i w:val="0"/>
        <w:sz w:val="21"/>
      </w:rPr>
    </w:lvl>
    <w:lvl w:ilvl="4" w:tentative="0">
      <w:start w:val="1"/>
      <w:numFmt w:val="decimal"/>
      <w:pStyle w:val="84"/>
      <w:suff w:val="nothing"/>
      <w:lvlText w:val="%1.%2.%3.%4.%5　"/>
      <w:lvlJc w:val="left"/>
      <w:pPr>
        <w:ind w:left="0" w:firstLine="0"/>
      </w:pPr>
      <w:rPr>
        <w:rFonts w:hint="eastAsia" w:ascii="黑体" w:eastAsia="黑体"/>
        <w:b w:val="0"/>
        <w:i w:val="0"/>
        <w:sz w:val="21"/>
      </w:rPr>
    </w:lvl>
    <w:lvl w:ilvl="5" w:tentative="0">
      <w:start w:val="1"/>
      <w:numFmt w:val="decimal"/>
      <w:pStyle w:val="86"/>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6">
    <w:nsid w:val="69506ABF"/>
    <w:multiLevelType w:val="multilevel"/>
    <w:tmpl w:val="69506ABF"/>
    <w:lvl w:ilvl="0" w:tentative="0">
      <w:start w:val="1"/>
      <w:numFmt w:val="bullet"/>
      <w:pStyle w:val="190"/>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7">
    <w:nsid w:val="6B9049F4"/>
    <w:multiLevelType w:val="multilevel"/>
    <w:tmpl w:val="6B9049F4"/>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A41985"/>
    <w:multiLevelType w:val="multilevel"/>
    <w:tmpl w:val="6CA41985"/>
    <w:lvl w:ilvl="0" w:tentative="0">
      <w:start w:val="1"/>
      <w:numFmt w:val="decimal"/>
      <w:pStyle w:val="99"/>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6CE42AC1"/>
    <w:multiLevelType w:val="multilevel"/>
    <w:tmpl w:val="6CE42AC1"/>
    <w:lvl w:ilvl="0" w:tentative="0">
      <w:start w:val="1"/>
      <w:numFmt w:val="lowerLetter"/>
      <w:pStyle w:val="17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6CEA2025"/>
    <w:multiLevelType w:val="multilevel"/>
    <w:tmpl w:val="6CEA2025"/>
    <w:lvl w:ilvl="0" w:tentative="0">
      <w:start w:val="1"/>
      <w:numFmt w:val="none"/>
      <w:pStyle w:val="154"/>
      <w:suff w:val="nothing"/>
      <w:lvlText w:val="%1"/>
      <w:lvlJc w:val="left"/>
      <w:pPr>
        <w:ind w:left="0" w:firstLine="0"/>
      </w:pPr>
      <w:rPr>
        <w:rFonts w:hint="eastAsia"/>
      </w:rPr>
    </w:lvl>
    <w:lvl w:ilvl="1" w:tentative="0">
      <w:start w:val="1"/>
      <w:numFmt w:val="decimal"/>
      <w:pStyle w:val="106"/>
      <w:suff w:val="nothing"/>
      <w:lvlText w:val="%1%2　"/>
      <w:lvlJc w:val="left"/>
      <w:pPr>
        <w:ind w:left="0" w:firstLine="0"/>
      </w:pPr>
      <w:rPr>
        <w:rFonts w:hint="eastAsia" w:ascii="黑体" w:eastAsia="黑体"/>
        <w:b w:val="0"/>
        <w:i w:val="0"/>
        <w:sz w:val="21"/>
      </w:rPr>
    </w:lvl>
    <w:lvl w:ilvl="2" w:tentative="0">
      <w:start w:val="1"/>
      <w:numFmt w:val="decimal"/>
      <w:pStyle w:val="107"/>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67"/>
      <w:suff w:val="nothing"/>
      <w:lvlText w:val="%1%2.%3.%4　"/>
      <w:lvlJc w:val="left"/>
      <w:pPr>
        <w:ind w:left="0" w:firstLine="0"/>
      </w:pPr>
      <w:rPr>
        <w:rFonts w:hint="eastAsia" w:ascii="黑体" w:eastAsia="黑体"/>
        <w:b w:val="0"/>
        <w:i w:val="0"/>
        <w:sz w:val="21"/>
      </w:rPr>
    </w:lvl>
    <w:lvl w:ilvl="4" w:tentative="0">
      <w:start w:val="1"/>
      <w:numFmt w:val="decimal"/>
      <w:pStyle w:val="96"/>
      <w:suff w:val="nothing"/>
      <w:lvlText w:val="%1%2.%3.%4.%5　"/>
      <w:lvlJc w:val="left"/>
      <w:pPr>
        <w:ind w:left="0" w:firstLine="0"/>
      </w:pPr>
      <w:rPr>
        <w:rFonts w:hint="eastAsia" w:ascii="黑体" w:eastAsia="黑体"/>
        <w:b w:val="0"/>
        <w:i w:val="0"/>
        <w:sz w:val="21"/>
      </w:rPr>
    </w:lvl>
    <w:lvl w:ilvl="5" w:tentative="0">
      <w:start w:val="1"/>
      <w:numFmt w:val="decimal"/>
      <w:pStyle w:val="100"/>
      <w:suff w:val="nothing"/>
      <w:lvlText w:val="%1%2.%3.%4.%5.%6　"/>
      <w:lvlJc w:val="left"/>
      <w:pPr>
        <w:ind w:left="0" w:firstLine="0"/>
      </w:pPr>
      <w:rPr>
        <w:rFonts w:hint="eastAsia" w:ascii="黑体" w:eastAsia="黑体"/>
        <w:b w:val="0"/>
        <w:i w:val="0"/>
        <w:sz w:val="21"/>
      </w:rPr>
    </w:lvl>
    <w:lvl w:ilvl="6" w:tentative="0">
      <w:start w:val="1"/>
      <w:numFmt w:val="decimal"/>
      <w:pStyle w:val="105"/>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1">
    <w:nsid w:val="6DBF04F4"/>
    <w:multiLevelType w:val="multilevel"/>
    <w:tmpl w:val="6DBF04F4"/>
    <w:lvl w:ilvl="0" w:tentative="0">
      <w:start w:val="1"/>
      <w:numFmt w:val="none"/>
      <w:pStyle w:val="181"/>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2">
    <w:nsid w:val="6DF35F19"/>
    <w:multiLevelType w:val="multilevel"/>
    <w:tmpl w:val="6DF35F19"/>
    <w:lvl w:ilvl="0" w:tentative="0">
      <w:start w:val="1"/>
      <w:numFmt w:val="decimal"/>
      <w:pStyle w:val="117"/>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3">
    <w:nsid w:val="76933334"/>
    <w:multiLevelType w:val="multilevel"/>
    <w:tmpl w:val="76933334"/>
    <w:lvl w:ilvl="0" w:tentative="0">
      <w:start w:val="1"/>
      <w:numFmt w:val="none"/>
      <w:pStyle w:val="141"/>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30"/>
  </w:num>
  <w:num w:numId="3">
    <w:abstractNumId w:val="5"/>
  </w:num>
  <w:num w:numId="4">
    <w:abstractNumId w:val="25"/>
  </w:num>
  <w:num w:numId="5">
    <w:abstractNumId w:val="20"/>
  </w:num>
  <w:num w:numId="6">
    <w:abstractNumId w:val="15"/>
  </w:num>
  <w:num w:numId="7">
    <w:abstractNumId w:val="9"/>
  </w:num>
  <w:num w:numId="8">
    <w:abstractNumId w:val="3"/>
  </w:num>
  <w:num w:numId="9">
    <w:abstractNumId w:val="10"/>
  </w:num>
  <w:num w:numId="10">
    <w:abstractNumId w:val="18"/>
  </w:num>
  <w:num w:numId="11">
    <w:abstractNumId w:val="28"/>
  </w:num>
  <w:num w:numId="12">
    <w:abstractNumId w:val="12"/>
  </w:num>
  <w:num w:numId="13">
    <w:abstractNumId w:val="14"/>
  </w:num>
  <w:num w:numId="14">
    <w:abstractNumId w:val="8"/>
  </w:num>
  <w:num w:numId="15">
    <w:abstractNumId w:val="21"/>
  </w:num>
  <w:num w:numId="16">
    <w:abstractNumId w:val="23"/>
  </w:num>
  <w:num w:numId="17">
    <w:abstractNumId w:val="19"/>
  </w:num>
  <w:num w:numId="18">
    <w:abstractNumId w:val="32"/>
  </w:num>
  <w:num w:numId="19">
    <w:abstractNumId w:val="17"/>
  </w:num>
  <w:num w:numId="20">
    <w:abstractNumId w:val="1"/>
  </w:num>
  <w:num w:numId="21">
    <w:abstractNumId w:val="11"/>
  </w:num>
  <w:num w:numId="22">
    <w:abstractNumId w:val="33"/>
  </w:num>
  <w:num w:numId="23">
    <w:abstractNumId w:val="22"/>
  </w:num>
  <w:num w:numId="24">
    <w:abstractNumId w:val="6"/>
  </w:num>
  <w:num w:numId="25">
    <w:abstractNumId w:val="29"/>
  </w:num>
  <w:num w:numId="26">
    <w:abstractNumId w:val="31"/>
  </w:num>
  <w:num w:numId="27">
    <w:abstractNumId w:val="2"/>
  </w:num>
  <w:num w:numId="28">
    <w:abstractNumId w:val="4"/>
  </w:num>
  <w:num w:numId="29">
    <w:abstractNumId w:val="16"/>
  </w:num>
  <w:num w:numId="30">
    <w:abstractNumId w:val="26"/>
  </w:num>
  <w:num w:numId="31">
    <w:abstractNumId w:val="24"/>
  </w:num>
  <w:num w:numId="32">
    <w:abstractNumId w:val="13"/>
  </w:num>
  <w:num w:numId="33">
    <w:abstractNumId w:val="7"/>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attachedTemplate r:id="rId1"/>
  <w:documentProtection w:edit="forms" w:enforcement="1" w:cryptProviderType="rsaAES" w:cryptAlgorithmClass="hash" w:cryptAlgorithmType="typeAny" w:cryptAlgorithmSid="14" w:cryptSpinCount="100000" w:hash="JF79YVZDUM8Da8hgyyMaaBjvIlAwtkZ0IK01EWEyp5AtCjASdSvQ4f6oHehRJTaTvrEOONCSy9jJP5l5Maf7pg==" w:salt="G6tbmwYKITqrtaiUW1p4Iw=="/>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DA5"/>
    <w:rsid w:val="0000040A"/>
    <w:rsid w:val="00000A94"/>
    <w:rsid w:val="00000C69"/>
    <w:rsid w:val="00001972"/>
    <w:rsid w:val="00001D9A"/>
    <w:rsid w:val="00007028"/>
    <w:rsid w:val="00007B3A"/>
    <w:rsid w:val="00010712"/>
    <w:rsid w:val="000107E0"/>
    <w:rsid w:val="00010966"/>
    <w:rsid w:val="00011FDE"/>
    <w:rsid w:val="00012FFD"/>
    <w:rsid w:val="00014162"/>
    <w:rsid w:val="00014340"/>
    <w:rsid w:val="00016A9C"/>
    <w:rsid w:val="00022184"/>
    <w:rsid w:val="00022762"/>
    <w:rsid w:val="000238E0"/>
    <w:rsid w:val="00023A98"/>
    <w:rsid w:val="000249DB"/>
    <w:rsid w:val="0002595E"/>
    <w:rsid w:val="00026923"/>
    <w:rsid w:val="00027DE2"/>
    <w:rsid w:val="000303C3"/>
    <w:rsid w:val="000331D3"/>
    <w:rsid w:val="00033821"/>
    <w:rsid w:val="000346A5"/>
    <w:rsid w:val="000359C3"/>
    <w:rsid w:val="00035A7D"/>
    <w:rsid w:val="00040463"/>
    <w:rsid w:val="0004249A"/>
    <w:rsid w:val="00043282"/>
    <w:rsid w:val="00043DB9"/>
    <w:rsid w:val="00044286"/>
    <w:rsid w:val="00045578"/>
    <w:rsid w:val="00045AF1"/>
    <w:rsid w:val="00047F28"/>
    <w:rsid w:val="000503AA"/>
    <w:rsid w:val="000506A1"/>
    <w:rsid w:val="00050B99"/>
    <w:rsid w:val="000515DD"/>
    <w:rsid w:val="0005265A"/>
    <w:rsid w:val="000539DD"/>
    <w:rsid w:val="00053BD3"/>
    <w:rsid w:val="000556ED"/>
    <w:rsid w:val="00055FE2"/>
    <w:rsid w:val="0005616F"/>
    <w:rsid w:val="00060C2E"/>
    <w:rsid w:val="00061033"/>
    <w:rsid w:val="000619E9"/>
    <w:rsid w:val="000622D4"/>
    <w:rsid w:val="00062A4F"/>
    <w:rsid w:val="0006357D"/>
    <w:rsid w:val="00067F1E"/>
    <w:rsid w:val="00070FB7"/>
    <w:rsid w:val="00071CC0"/>
    <w:rsid w:val="00073C8C"/>
    <w:rsid w:val="00074596"/>
    <w:rsid w:val="00077B64"/>
    <w:rsid w:val="000803CB"/>
    <w:rsid w:val="00080A1C"/>
    <w:rsid w:val="00082223"/>
    <w:rsid w:val="00082317"/>
    <w:rsid w:val="00083D2C"/>
    <w:rsid w:val="00086AA1"/>
    <w:rsid w:val="00087A77"/>
    <w:rsid w:val="00090CA6"/>
    <w:rsid w:val="00090F1D"/>
    <w:rsid w:val="00091586"/>
    <w:rsid w:val="00092B8A"/>
    <w:rsid w:val="00092FB0"/>
    <w:rsid w:val="000934C5"/>
    <w:rsid w:val="00093D25"/>
    <w:rsid w:val="000944EC"/>
    <w:rsid w:val="00094565"/>
    <w:rsid w:val="00094C8C"/>
    <w:rsid w:val="00094D73"/>
    <w:rsid w:val="00096D63"/>
    <w:rsid w:val="000A0B60"/>
    <w:rsid w:val="000A0EB8"/>
    <w:rsid w:val="000A19FC"/>
    <w:rsid w:val="000A296B"/>
    <w:rsid w:val="000A7311"/>
    <w:rsid w:val="000A7676"/>
    <w:rsid w:val="000B01EC"/>
    <w:rsid w:val="000B060F"/>
    <w:rsid w:val="000B1592"/>
    <w:rsid w:val="000B1FF2"/>
    <w:rsid w:val="000B227D"/>
    <w:rsid w:val="000B3CDA"/>
    <w:rsid w:val="000B5D70"/>
    <w:rsid w:val="000B6A0B"/>
    <w:rsid w:val="000B6CE1"/>
    <w:rsid w:val="000C0BF0"/>
    <w:rsid w:val="000C0F6C"/>
    <w:rsid w:val="000C11DB"/>
    <w:rsid w:val="000C2FBD"/>
    <w:rsid w:val="000C33C8"/>
    <w:rsid w:val="000C34D0"/>
    <w:rsid w:val="000C3E10"/>
    <w:rsid w:val="000C4B41"/>
    <w:rsid w:val="000C57D6"/>
    <w:rsid w:val="000C7666"/>
    <w:rsid w:val="000D0A9C"/>
    <w:rsid w:val="000D16B1"/>
    <w:rsid w:val="000D1795"/>
    <w:rsid w:val="000D329A"/>
    <w:rsid w:val="000D4B9C"/>
    <w:rsid w:val="000D4EB6"/>
    <w:rsid w:val="000D5771"/>
    <w:rsid w:val="000D607F"/>
    <w:rsid w:val="000D753B"/>
    <w:rsid w:val="000D775F"/>
    <w:rsid w:val="000D7B68"/>
    <w:rsid w:val="000E2F05"/>
    <w:rsid w:val="000E4C9E"/>
    <w:rsid w:val="000E56A5"/>
    <w:rsid w:val="000E6FD7"/>
    <w:rsid w:val="000F06E1"/>
    <w:rsid w:val="000F0E3C"/>
    <w:rsid w:val="000F0F03"/>
    <w:rsid w:val="000F19D5"/>
    <w:rsid w:val="000F4AEA"/>
    <w:rsid w:val="000F6501"/>
    <w:rsid w:val="000F67E9"/>
    <w:rsid w:val="000F6DA9"/>
    <w:rsid w:val="000F77F1"/>
    <w:rsid w:val="001016A7"/>
    <w:rsid w:val="00102627"/>
    <w:rsid w:val="00104926"/>
    <w:rsid w:val="00106375"/>
    <w:rsid w:val="0010680A"/>
    <w:rsid w:val="0010708A"/>
    <w:rsid w:val="00113B1E"/>
    <w:rsid w:val="00114CA2"/>
    <w:rsid w:val="0011711C"/>
    <w:rsid w:val="00123807"/>
    <w:rsid w:val="00124E4F"/>
    <w:rsid w:val="001260B7"/>
    <w:rsid w:val="001265CB"/>
    <w:rsid w:val="00131277"/>
    <w:rsid w:val="00131E9B"/>
    <w:rsid w:val="001321C6"/>
    <w:rsid w:val="001325C4"/>
    <w:rsid w:val="00132995"/>
    <w:rsid w:val="00133010"/>
    <w:rsid w:val="001337A1"/>
    <w:rsid w:val="001338EE"/>
    <w:rsid w:val="00133AAE"/>
    <w:rsid w:val="001350A0"/>
    <w:rsid w:val="00135323"/>
    <w:rsid w:val="001356C4"/>
    <w:rsid w:val="00141114"/>
    <w:rsid w:val="00141802"/>
    <w:rsid w:val="00142969"/>
    <w:rsid w:val="00142AC9"/>
    <w:rsid w:val="001438DB"/>
    <w:rsid w:val="001451A4"/>
    <w:rsid w:val="001457E7"/>
    <w:rsid w:val="00145D9D"/>
    <w:rsid w:val="00146388"/>
    <w:rsid w:val="00147C37"/>
    <w:rsid w:val="00150240"/>
    <w:rsid w:val="001529E5"/>
    <w:rsid w:val="00153829"/>
    <w:rsid w:val="00153C7E"/>
    <w:rsid w:val="00156B25"/>
    <w:rsid w:val="00156E1A"/>
    <w:rsid w:val="00157B55"/>
    <w:rsid w:val="00160CC1"/>
    <w:rsid w:val="001628D6"/>
    <w:rsid w:val="001629DC"/>
    <w:rsid w:val="00163D56"/>
    <w:rsid w:val="001642FA"/>
    <w:rsid w:val="001649EB"/>
    <w:rsid w:val="00164BAF"/>
    <w:rsid w:val="00164FA8"/>
    <w:rsid w:val="00165065"/>
    <w:rsid w:val="00165434"/>
    <w:rsid w:val="0016580B"/>
    <w:rsid w:val="00165F49"/>
    <w:rsid w:val="00166B88"/>
    <w:rsid w:val="0016770A"/>
    <w:rsid w:val="0017069F"/>
    <w:rsid w:val="00170804"/>
    <w:rsid w:val="001708E9"/>
    <w:rsid w:val="0017340B"/>
    <w:rsid w:val="00173FB1"/>
    <w:rsid w:val="00174E45"/>
    <w:rsid w:val="00175061"/>
    <w:rsid w:val="001758CE"/>
    <w:rsid w:val="00176DFD"/>
    <w:rsid w:val="00177EE1"/>
    <w:rsid w:val="001810CD"/>
    <w:rsid w:val="001852C9"/>
    <w:rsid w:val="001859CE"/>
    <w:rsid w:val="00190087"/>
    <w:rsid w:val="001906A1"/>
    <w:rsid w:val="001913C4"/>
    <w:rsid w:val="0019140A"/>
    <w:rsid w:val="0019348F"/>
    <w:rsid w:val="00193A07"/>
    <w:rsid w:val="00194C95"/>
    <w:rsid w:val="00195C34"/>
    <w:rsid w:val="00197CA9"/>
    <w:rsid w:val="001A1A53"/>
    <w:rsid w:val="001A234A"/>
    <w:rsid w:val="001A62E3"/>
    <w:rsid w:val="001A635C"/>
    <w:rsid w:val="001A6AD2"/>
    <w:rsid w:val="001B06E8"/>
    <w:rsid w:val="001B2582"/>
    <w:rsid w:val="001B3362"/>
    <w:rsid w:val="001B4D5F"/>
    <w:rsid w:val="001B59C9"/>
    <w:rsid w:val="001B71D0"/>
    <w:rsid w:val="001B71EE"/>
    <w:rsid w:val="001C04A8"/>
    <w:rsid w:val="001C2C03"/>
    <w:rsid w:val="001C3A9E"/>
    <w:rsid w:val="001C42F7"/>
    <w:rsid w:val="001C49E5"/>
    <w:rsid w:val="001C5EA1"/>
    <w:rsid w:val="001C680C"/>
    <w:rsid w:val="001C706F"/>
    <w:rsid w:val="001C7FEA"/>
    <w:rsid w:val="001D0499"/>
    <w:rsid w:val="001D0BBE"/>
    <w:rsid w:val="001D0ED4"/>
    <w:rsid w:val="001D1C53"/>
    <w:rsid w:val="001D212F"/>
    <w:rsid w:val="001D29D7"/>
    <w:rsid w:val="001D2DE7"/>
    <w:rsid w:val="001D411C"/>
    <w:rsid w:val="001D4CDA"/>
    <w:rsid w:val="001E13A5"/>
    <w:rsid w:val="001E1B6A"/>
    <w:rsid w:val="001E2484"/>
    <w:rsid w:val="001E2D95"/>
    <w:rsid w:val="001E3138"/>
    <w:rsid w:val="001E3CC4"/>
    <w:rsid w:val="001E4882"/>
    <w:rsid w:val="001E73AB"/>
    <w:rsid w:val="001F092D"/>
    <w:rsid w:val="001F143A"/>
    <w:rsid w:val="001F1605"/>
    <w:rsid w:val="001F2508"/>
    <w:rsid w:val="001F39BC"/>
    <w:rsid w:val="001F4184"/>
    <w:rsid w:val="001F4816"/>
    <w:rsid w:val="001F69B4"/>
    <w:rsid w:val="001F77C7"/>
    <w:rsid w:val="00200183"/>
    <w:rsid w:val="00200637"/>
    <w:rsid w:val="0020107D"/>
    <w:rsid w:val="002017B8"/>
    <w:rsid w:val="00202AA4"/>
    <w:rsid w:val="002031F7"/>
    <w:rsid w:val="002040E6"/>
    <w:rsid w:val="0020527B"/>
    <w:rsid w:val="00205492"/>
    <w:rsid w:val="00210B15"/>
    <w:rsid w:val="002115C4"/>
    <w:rsid w:val="00211648"/>
    <w:rsid w:val="00212557"/>
    <w:rsid w:val="002142EA"/>
    <w:rsid w:val="00214A78"/>
    <w:rsid w:val="0022008F"/>
    <w:rsid w:val="002204BB"/>
    <w:rsid w:val="00221B79"/>
    <w:rsid w:val="00221C6B"/>
    <w:rsid w:val="002253A1"/>
    <w:rsid w:val="00225CF8"/>
    <w:rsid w:val="0022794E"/>
    <w:rsid w:val="00233D64"/>
    <w:rsid w:val="00234226"/>
    <w:rsid w:val="0023444C"/>
    <w:rsid w:val="0023482A"/>
    <w:rsid w:val="00234CF8"/>
    <w:rsid w:val="002359CB"/>
    <w:rsid w:val="002408B4"/>
    <w:rsid w:val="00243540"/>
    <w:rsid w:val="0024497B"/>
    <w:rsid w:val="0024515B"/>
    <w:rsid w:val="00246021"/>
    <w:rsid w:val="0024666E"/>
    <w:rsid w:val="00247F52"/>
    <w:rsid w:val="00250B25"/>
    <w:rsid w:val="00250BBE"/>
    <w:rsid w:val="0025194F"/>
    <w:rsid w:val="002610AA"/>
    <w:rsid w:val="0026148A"/>
    <w:rsid w:val="00261F3B"/>
    <w:rsid w:val="002623CD"/>
    <w:rsid w:val="00262696"/>
    <w:rsid w:val="002643C3"/>
    <w:rsid w:val="00264A0C"/>
    <w:rsid w:val="00267EF4"/>
    <w:rsid w:val="00270CB8"/>
    <w:rsid w:val="00272B08"/>
    <w:rsid w:val="00274238"/>
    <w:rsid w:val="00275566"/>
    <w:rsid w:val="002771B2"/>
    <w:rsid w:val="00281BB8"/>
    <w:rsid w:val="00281E9E"/>
    <w:rsid w:val="0028207F"/>
    <w:rsid w:val="00285170"/>
    <w:rsid w:val="00285361"/>
    <w:rsid w:val="002922A1"/>
    <w:rsid w:val="00292D60"/>
    <w:rsid w:val="002930C7"/>
    <w:rsid w:val="002930D2"/>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6BA1"/>
    <w:rsid w:val="002A7F44"/>
    <w:rsid w:val="002B04A8"/>
    <w:rsid w:val="002B0C40"/>
    <w:rsid w:val="002B1966"/>
    <w:rsid w:val="002B3841"/>
    <w:rsid w:val="002B4508"/>
    <w:rsid w:val="002B5779"/>
    <w:rsid w:val="002B7332"/>
    <w:rsid w:val="002B7946"/>
    <w:rsid w:val="002B7F51"/>
    <w:rsid w:val="002C06C4"/>
    <w:rsid w:val="002C09E7"/>
    <w:rsid w:val="002C1B28"/>
    <w:rsid w:val="002C2864"/>
    <w:rsid w:val="002C3F07"/>
    <w:rsid w:val="002C42D5"/>
    <w:rsid w:val="002C5278"/>
    <w:rsid w:val="002C7EBB"/>
    <w:rsid w:val="002D00FF"/>
    <w:rsid w:val="002D06C1"/>
    <w:rsid w:val="002D175F"/>
    <w:rsid w:val="002D3D4D"/>
    <w:rsid w:val="002D42B5"/>
    <w:rsid w:val="002D4F1A"/>
    <w:rsid w:val="002D6EC6"/>
    <w:rsid w:val="002D79AC"/>
    <w:rsid w:val="002E039D"/>
    <w:rsid w:val="002E186B"/>
    <w:rsid w:val="002E4D5A"/>
    <w:rsid w:val="002E5C61"/>
    <w:rsid w:val="002E6326"/>
    <w:rsid w:val="002E7E0E"/>
    <w:rsid w:val="002F043A"/>
    <w:rsid w:val="002F0E75"/>
    <w:rsid w:val="002F1089"/>
    <w:rsid w:val="002F30E0"/>
    <w:rsid w:val="002F35E4"/>
    <w:rsid w:val="002F3730"/>
    <w:rsid w:val="002F38E1"/>
    <w:rsid w:val="002F7AF6"/>
    <w:rsid w:val="00300E63"/>
    <w:rsid w:val="00302F5F"/>
    <w:rsid w:val="0030309C"/>
    <w:rsid w:val="0030441D"/>
    <w:rsid w:val="00306063"/>
    <w:rsid w:val="00313B85"/>
    <w:rsid w:val="00313C58"/>
    <w:rsid w:val="00314BDF"/>
    <w:rsid w:val="00316247"/>
    <w:rsid w:val="00317988"/>
    <w:rsid w:val="00321BB8"/>
    <w:rsid w:val="003221B4"/>
    <w:rsid w:val="00322E62"/>
    <w:rsid w:val="00323747"/>
    <w:rsid w:val="00324EDD"/>
    <w:rsid w:val="00325D52"/>
    <w:rsid w:val="0033139B"/>
    <w:rsid w:val="00333E12"/>
    <w:rsid w:val="003357B4"/>
    <w:rsid w:val="00336821"/>
    <w:rsid w:val="00336C64"/>
    <w:rsid w:val="00337162"/>
    <w:rsid w:val="0034194F"/>
    <w:rsid w:val="003432B2"/>
    <w:rsid w:val="00344436"/>
    <w:rsid w:val="00344605"/>
    <w:rsid w:val="00346961"/>
    <w:rsid w:val="003474AA"/>
    <w:rsid w:val="003508E5"/>
    <w:rsid w:val="00350D1D"/>
    <w:rsid w:val="00352C83"/>
    <w:rsid w:val="00360908"/>
    <w:rsid w:val="003615D2"/>
    <w:rsid w:val="0036429C"/>
    <w:rsid w:val="00364A53"/>
    <w:rsid w:val="003654CB"/>
    <w:rsid w:val="00365CD1"/>
    <w:rsid w:val="00365F86"/>
    <w:rsid w:val="00365F87"/>
    <w:rsid w:val="003705F4"/>
    <w:rsid w:val="00370D58"/>
    <w:rsid w:val="00371316"/>
    <w:rsid w:val="00375E0E"/>
    <w:rsid w:val="00376713"/>
    <w:rsid w:val="00380B99"/>
    <w:rsid w:val="00380CD7"/>
    <w:rsid w:val="00381815"/>
    <w:rsid w:val="003819AF"/>
    <w:rsid w:val="003820E9"/>
    <w:rsid w:val="00382DE7"/>
    <w:rsid w:val="00384FFC"/>
    <w:rsid w:val="003872FC"/>
    <w:rsid w:val="00387ADC"/>
    <w:rsid w:val="00387F81"/>
    <w:rsid w:val="00390020"/>
    <w:rsid w:val="0039009E"/>
    <w:rsid w:val="003903D6"/>
    <w:rsid w:val="0039083B"/>
    <w:rsid w:val="00390EE6"/>
    <w:rsid w:val="0039118F"/>
    <w:rsid w:val="00392AD7"/>
    <w:rsid w:val="003936AC"/>
    <w:rsid w:val="003938D9"/>
    <w:rsid w:val="00394376"/>
    <w:rsid w:val="003943FF"/>
    <w:rsid w:val="003974EB"/>
    <w:rsid w:val="00397CC5"/>
    <w:rsid w:val="003A0E6C"/>
    <w:rsid w:val="003A1582"/>
    <w:rsid w:val="003A4077"/>
    <w:rsid w:val="003A4088"/>
    <w:rsid w:val="003A48B8"/>
    <w:rsid w:val="003A55F2"/>
    <w:rsid w:val="003A6685"/>
    <w:rsid w:val="003A7B44"/>
    <w:rsid w:val="003B09AD"/>
    <w:rsid w:val="003B1F18"/>
    <w:rsid w:val="003B4766"/>
    <w:rsid w:val="003B506B"/>
    <w:rsid w:val="003B544E"/>
    <w:rsid w:val="003B5BF0"/>
    <w:rsid w:val="003B60BF"/>
    <w:rsid w:val="003B6BE3"/>
    <w:rsid w:val="003B778C"/>
    <w:rsid w:val="003C010C"/>
    <w:rsid w:val="003C0A6C"/>
    <w:rsid w:val="003C1DA3"/>
    <w:rsid w:val="003C2110"/>
    <w:rsid w:val="003C5A43"/>
    <w:rsid w:val="003D0519"/>
    <w:rsid w:val="003D0FF6"/>
    <w:rsid w:val="003D262C"/>
    <w:rsid w:val="003D2BE9"/>
    <w:rsid w:val="003D52FA"/>
    <w:rsid w:val="003D615E"/>
    <w:rsid w:val="003D6955"/>
    <w:rsid w:val="003D6D61"/>
    <w:rsid w:val="003E091D"/>
    <w:rsid w:val="003E1C53"/>
    <w:rsid w:val="003E2357"/>
    <w:rsid w:val="003E2A69"/>
    <w:rsid w:val="003E2D49"/>
    <w:rsid w:val="003E2FD4"/>
    <w:rsid w:val="003E49F6"/>
    <w:rsid w:val="003F0841"/>
    <w:rsid w:val="003F23D3"/>
    <w:rsid w:val="003F297F"/>
    <w:rsid w:val="003F360D"/>
    <w:rsid w:val="003F3F08"/>
    <w:rsid w:val="003F49F1"/>
    <w:rsid w:val="003F5454"/>
    <w:rsid w:val="003F6272"/>
    <w:rsid w:val="003F7671"/>
    <w:rsid w:val="00400E72"/>
    <w:rsid w:val="00400FB0"/>
    <w:rsid w:val="00401400"/>
    <w:rsid w:val="00404869"/>
    <w:rsid w:val="00405884"/>
    <w:rsid w:val="00407D39"/>
    <w:rsid w:val="004145A2"/>
    <w:rsid w:val="0041477A"/>
    <w:rsid w:val="004167A3"/>
    <w:rsid w:val="00422AB5"/>
    <w:rsid w:val="00430310"/>
    <w:rsid w:val="00431B83"/>
    <w:rsid w:val="00432857"/>
    <w:rsid w:val="00432DAA"/>
    <w:rsid w:val="00434305"/>
    <w:rsid w:val="004347D3"/>
    <w:rsid w:val="00435DF7"/>
    <w:rsid w:val="0044083F"/>
    <w:rsid w:val="00441AE7"/>
    <w:rsid w:val="00442106"/>
    <w:rsid w:val="00443801"/>
    <w:rsid w:val="00444415"/>
    <w:rsid w:val="00445574"/>
    <w:rsid w:val="004467FB"/>
    <w:rsid w:val="00446C8B"/>
    <w:rsid w:val="00447AC2"/>
    <w:rsid w:val="00452D6B"/>
    <w:rsid w:val="00454484"/>
    <w:rsid w:val="004549B6"/>
    <w:rsid w:val="0045517B"/>
    <w:rsid w:val="00455718"/>
    <w:rsid w:val="00456526"/>
    <w:rsid w:val="0046012A"/>
    <w:rsid w:val="00463B77"/>
    <w:rsid w:val="00463C7B"/>
    <w:rsid w:val="004643C1"/>
    <w:rsid w:val="004644A6"/>
    <w:rsid w:val="0046507A"/>
    <w:rsid w:val="004659BD"/>
    <w:rsid w:val="00470775"/>
    <w:rsid w:val="004746B1"/>
    <w:rsid w:val="0047583F"/>
    <w:rsid w:val="00483490"/>
    <w:rsid w:val="00484936"/>
    <w:rsid w:val="00485C89"/>
    <w:rsid w:val="00486BE3"/>
    <w:rsid w:val="00486FD4"/>
    <w:rsid w:val="004905E4"/>
    <w:rsid w:val="00490A89"/>
    <w:rsid w:val="00490AB4"/>
    <w:rsid w:val="00492F02"/>
    <w:rsid w:val="004939AE"/>
    <w:rsid w:val="00493F2A"/>
    <w:rsid w:val="00494C07"/>
    <w:rsid w:val="004A0329"/>
    <w:rsid w:val="004A12DF"/>
    <w:rsid w:val="004A1BA8"/>
    <w:rsid w:val="004A3472"/>
    <w:rsid w:val="004A4B57"/>
    <w:rsid w:val="004A63FA"/>
    <w:rsid w:val="004A7052"/>
    <w:rsid w:val="004B2701"/>
    <w:rsid w:val="004B2E1B"/>
    <w:rsid w:val="004B3E93"/>
    <w:rsid w:val="004B4DC9"/>
    <w:rsid w:val="004C094F"/>
    <w:rsid w:val="004C1FBC"/>
    <w:rsid w:val="004C3F1D"/>
    <w:rsid w:val="004C458D"/>
    <w:rsid w:val="004C7556"/>
    <w:rsid w:val="004C7B1A"/>
    <w:rsid w:val="004C7E9D"/>
    <w:rsid w:val="004C7F67"/>
    <w:rsid w:val="004D076D"/>
    <w:rsid w:val="004D0EF1"/>
    <w:rsid w:val="004D2253"/>
    <w:rsid w:val="004D426D"/>
    <w:rsid w:val="004D4406"/>
    <w:rsid w:val="004D4FCE"/>
    <w:rsid w:val="004D590D"/>
    <w:rsid w:val="004D6105"/>
    <w:rsid w:val="004D640F"/>
    <w:rsid w:val="004D7C42"/>
    <w:rsid w:val="004E0465"/>
    <w:rsid w:val="004E0EF7"/>
    <w:rsid w:val="004E127B"/>
    <w:rsid w:val="004E1C0A"/>
    <w:rsid w:val="004E30C5"/>
    <w:rsid w:val="004E405D"/>
    <w:rsid w:val="004E4AA5"/>
    <w:rsid w:val="004E4AEE"/>
    <w:rsid w:val="004E59E3"/>
    <w:rsid w:val="004E67C0"/>
    <w:rsid w:val="004E71CB"/>
    <w:rsid w:val="004E763E"/>
    <w:rsid w:val="004F391A"/>
    <w:rsid w:val="004F3CFB"/>
    <w:rsid w:val="004F4393"/>
    <w:rsid w:val="004F5F89"/>
    <w:rsid w:val="004F6456"/>
    <w:rsid w:val="004F65F8"/>
    <w:rsid w:val="004F696E"/>
    <w:rsid w:val="004F6C71"/>
    <w:rsid w:val="005007B0"/>
    <w:rsid w:val="00501139"/>
    <w:rsid w:val="0050363E"/>
    <w:rsid w:val="005036C5"/>
    <w:rsid w:val="005039BC"/>
    <w:rsid w:val="005043BB"/>
    <w:rsid w:val="00504A3D"/>
    <w:rsid w:val="00505767"/>
    <w:rsid w:val="00506FD0"/>
    <w:rsid w:val="005073F0"/>
    <w:rsid w:val="00510A7B"/>
    <w:rsid w:val="00510ABE"/>
    <w:rsid w:val="00512F6E"/>
    <w:rsid w:val="00513038"/>
    <w:rsid w:val="00514174"/>
    <w:rsid w:val="00514DF9"/>
    <w:rsid w:val="00516088"/>
    <w:rsid w:val="00516B0B"/>
    <w:rsid w:val="00516E18"/>
    <w:rsid w:val="0052138A"/>
    <w:rsid w:val="005220EC"/>
    <w:rsid w:val="00523F95"/>
    <w:rsid w:val="00524D65"/>
    <w:rsid w:val="00525B16"/>
    <w:rsid w:val="00530D08"/>
    <w:rsid w:val="00533D04"/>
    <w:rsid w:val="00534256"/>
    <w:rsid w:val="00534804"/>
    <w:rsid w:val="00534BDF"/>
    <w:rsid w:val="005354EA"/>
    <w:rsid w:val="00535EC4"/>
    <w:rsid w:val="00535ED9"/>
    <w:rsid w:val="0053692B"/>
    <w:rsid w:val="00540310"/>
    <w:rsid w:val="00540603"/>
    <w:rsid w:val="00541853"/>
    <w:rsid w:val="00542DF9"/>
    <w:rsid w:val="00543BDA"/>
    <w:rsid w:val="005441CC"/>
    <w:rsid w:val="005479DA"/>
    <w:rsid w:val="00547BCC"/>
    <w:rsid w:val="0055013B"/>
    <w:rsid w:val="00551F6F"/>
    <w:rsid w:val="00552171"/>
    <w:rsid w:val="00554C8D"/>
    <w:rsid w:val="00555044"/>
    <w:rsid w:val="00561475"/>
    <w:rsid w:val="00563507"/>
    <w:rsid w:val="0056487B"/>
    <w:rsid w:val="00564FB9"/>
    <w:rsid w:val="00565435"/>
    <w:rsid w:val="00573D9E"/>
    <w:rsid w:val="00576C62"/>
    <w:rsid w:val="00577757"/>
    <w:rsid w:val="005801E3"/>
    <w:rsid w:val="00581802"/>
    <w:rsid w:val="0058188B"/>
    <w:rsid w:val="005836A8"/>
    <w:rsid w:val="00584262"/>
    <w:rsid w:val="00585101"/>
    <w:rsid w:val="00586630"/>
    <w:rsid w:val="00587ADD"/>
    <w:rsid w:val="0059045F"/>
    <w:rsid w:val="00591681"/>
    <w:rsid w:val="005936A1"/>
    <w:rsid w:val="005952A2"/>
    <w:rsid w:val="00596160"/>
    <w:rsid w:val="005966E2"/>
    <w:rsid w:val="00597007"/>
    <w:rsid w:val="005A0966"/>
    <w:rsid w:val="005A11B7"/>
    <w:rsid w:val="005A159A"/>
    <w:rsid w:val="005A260B"/>
    <w:rsid w:val="005A4131"/>
    <w:rsid w:val="005A4A1B"/>
    <w:rsid w:val="005A625E"/>
    <w:rsid w:val="005A7830"/>
    <w:rsid w:val="005A7FCE"/>
    <w:rsid w:val="005B0F3F"/>
    <w:rsid w:val="005B3B0E"/>
    <w:rsid w:val="005B4903"/>
    <w:rsid w:val="005B5021"/>
    <w:rsid w:val="005B51CE"/>
    <w:rsid w:val="005B5885"/>
    <w:rsid w:val="005B5CD7"/>
    <w:rsid w:val="005B6636"/>
    <w:rsid w:val="005B6CF6"/>
    <w:rsid w:val="005B7422"/>
    <w:rsid w:val="005C013A"/>
    <w:rsid w:val="005C29B8"/>
    <w:rsid w:val="005C5F21"/>
    <w:rsid w:val="005C683D"/>
    <w:rsid w:val="005C7156"/>
    <w:rsid w:val="005D0C75"/>
    <w:rsid w:val="005D0E73"/>
    <w:rsid w:val="005D4171"/>
    <w:rsid w:val="005D49FF"/>
    <w:rsid w:val="005D54C8"/>
    <w:rsid w:val="005D6A95"/>
    <w:rsid w:val="005D6B2C"/>
    <w:rsid w:val="005D6D9C"/>
    <w:rsid w:val="005D6F5B"/>
    <w:rsid w:val="005E2335"/>
    <w:rsid w:val="005E26F3"/>
    <w:rsid w:val="005E34CA"/>
    <w:rsid w:val="005E3C18"/>
    <w:rsid w:val="005E7881"/>
    <w:rsid w:val="005E78E0"/>
    <w:rsid w:val="005F0D9C"/>
    <w:rsid w:val="005F20CB"/>
    <w:rsid w:val="005F284E"/>
    <w:rsid w:val="005F3F0E"/>
    <w:rsid w:val="005F7283"/>
    <w:rsid w:val="006002B2"/>
    <w:rsid w:val="006005B1"/>
    <w:rsid w:val="006015CE"/>
    <w:rsid w:val="00603AD9"/>
    <w:rsid w:val="00604784"/>
    <w:rsid w:val="00606419"/>
    <w:rsid w:val="00607B2B"/>
    <w:rsid w:val="00607D29"/>
    <w:rsid w:val="0061034F"/>
    <w:rsid w:val="00612952"/>
    <w:rsid w:val="00612F76"/>
    <w:rsid w:val="00614CC1"/>
    <w:rsid w:val="00615A9D"/>
    <w:rsid w:val="006162BE"/>
    <w:rsid w:val="00616960"/>
    <w:rsid w:val="00616BBB"/>
    <w:rsid w:val="00617387"/>
    <w:rsid w:val="00622707"/>
    <w:rsid w:val="006252D8"/>
    <w:rsid w:val="006259BC"/>
    <w:rsid w:val="0062636B"/>
    <w:rsid w:val="00627044"/>
    <w:rsid w:val="0063081D"/>
    <w:rsid w:val="00632182"/>
    <w:rsid w:val="00632AE0"/>
    <w:rsid w:val="00633C17"/>
    <w:rsid w:val="006347C6"/>
    <w:rsid w:val="006369D5"/>
    <w:rsid w:val="00636E3E"/>
    <w:rsid w:val="006379F7"/>
    <w:rsid w:val="00637E4D"/>
    <w:rsid w:val="00640620"/>
    <w:rsid w:val="00641A1F"/>
    <w:rsid w:val="00642F5B"/>
    <w:rsid w:val="00645904"/>
    <w:rsid w:val="00651ACB"/>
    <w:rsid w:val="00651C47"/>
    <w:rsid w:val="00652AB2"/>
    <w:rsid w:val="00654D20"/>
    <w:rsid w:val="00654EC0"/>
    <w:rsid w:val="0065525B"/>
    <w:rsid w:val="00655618"/>
    <w:rsid w:val="00655D4F"/>
    <w:rsid w:val="00656DCA"/>
    <w:rsid w:val="00657061"/>
    <w:rsid w:val="006577B2"/>
    <w:rsid w:val="00660D79"/>
    <w:rsid w:val="006636DC"/>
    <w:rsid w:val="006640E5"/>
    <w:rsid w:val="006646F1"/>
    <w:rsid w:val="00664929"/>
    <w:rsid w:val="00664F62"/>
    <w:rsid w:val="006655E1"/>
    <w:rsid w:val="0067018F"/>
    <w:rsid w:val="00672060"/>
    <w:rsid w:val="006720D5"/>
    <w:rsid w:val="00672BFD"/>
    <w:rsid w:val="00674E95"/>
    <w:rsid w:val="0067596E"/>
    <w:rsid w:val="006770F4"/>
    <w:rsid w:val="00677A84"/>
    <w:rsid w:val="00677B64"/>
    <w:rsid w:val="0068026D"/>
    <w:rsid w:val="00680A27"/>
    <w:rsid w:val="006816A4"/>
    <w:rsid w:val="006819B8"/>
    <w:rsid w:val="006830EE"/>
    <w:rsid w:val="00683D6E"/>
    <w:rsid w:val="006840A6"/>
    <w:rsid w:val="006850CD"/>
    <w:rsid w:val="00685571"/>
    <w:rsid w:val="00685AAB"/>
    <w:rsid w:val="00692A53"/>
    <w:rsid w:val="00697F87"/>
    <w:rsid w:val="006A07AA"/>
    <w:rsid w:val="006A2243"/>
    <w:rsid w:val="006A25E5"/>
    <w:rsid w:val="006A2B46"/>
    <w:rsid w:val="006A336D"/>
    <w:rsid w:val="006A37B9"/>
    <w:rsid w:val="006B2672"/>
    <w:rsid w:val="006B54BF"/>
    <w:rsid w:val="006B5F44"/>
    <w:rsid w:val="006B5F90"/>
    <w:rsid w:val="006B62E4"/>
    <w:rsid w:val="006C1579"/>
    <w:rsid w:val="006C1BBA"/>
    <w:rsid w:val="006C2079"/>
    <w:rsid w:val="006C38A9"/>
    <w:rsid w:val="006C5A62"/>
    <w:rsid w:val="006C5D68"/>
    <w:rsid w:val="006C5F56"/>
    <w:rsid w:val="006C6976"/>
    <w:rsid w:val="006C6DD0"/>
    <w:rsid w:val="006D04EA"/>
    <w:rsid w:val="006D16C4"/>
    <w:rsid w:val="006D30D6"/>
    <w:rsid w:val="006D3E96"/>
    <w:rsid w:val="006D4515"/>
    <w:rsid w:val="006D4BB1"/>
    <w:rsid w:val="006D6593"/>
    <w:rsid w:val="006F03A8"/>
    <w:rsid w:val="006F0D59"/>
    <w:rsid w:val="006F18B1"/>
    <w:rsid w:val="006F2ACA"/>
    <w:rsid w:val="006F2ADC"/>
    <w:rsid w:val="006F2BFE"/>
    <w:rsid w:val="006F31E9"/>
    <w:rsid w:val="006F4CDD"/>
    <w:rsid w:val="006F6284"/>
    <w:rsid w:val="007002C5"/>
    <w:rsid w:val="00704387"/>
    <w:rsid w:val="00707669"/>
    <w:rsid w:val="00711461"/>
    <w:rsid w:val="00711CBA"/>
    <w:rsid w:val="00711FB5"/>
    <w:rsid w:val="00712A01"/>
    <w:rsid w:val="00712C07"/>
    <w:rsid w:val="0071340B"/>
    <w:rsid w:val="00714F58"/>
    <w:rsid w:val="00717653"/>
    <w:rsid w:val="00717C42"/>
    <w:rsid w:val="00722FBF"/>
    <w:rsid w:val="00722FC2"/>
    <w:rsid w:val="007255A8"/>
    <w:rsid w:val="00725949"/>
    <w:rsid w:val="00727FA2"/>
    <w:rsid w:val="007322D9"/>
    <w:rsid w:val="007326FE"/>
    <w:rsid w:val="00732BC0"/>
    <w:rsid w:val="00736473"/>
    <w:rsid w:val="0073720F"/>
    <w:rsid w:val="00737535"/>
    <w:rsid w:val="00737796"/>
    <w:rsid w:val="0074165C"/>
    <w:rsid w:val="007432CA"/>
    <w:rsid w:val="007439EB"/>
    <w:rsid w:val="00743CB4"/>
    <w:rsid w:val="00743F0A"/>
    <w:rsid w:val="00744352"/>
    <w:rsid w:val="007444E8"/>
    <w:rsid w:val="0074548E"/>
    <w:rsid w:val="00745773"/>
    <w:rsid w:val="00745D1D"/>
    <w:rsid w:val="00746734"/>
    <w:rsid w:val="00746800"/>
    <w:rsid w:val="007501A8"/>
    <w:rsid w:val="00750EE1"/>
    <w:rsid w:val="00752B4D"/>
    <w:rsid w:val="00755402"/>
    <w:rsid w:val="00756B26"/>
    <w:rsid w:val="00756C5D"/>
    <w:rsid w:val="00756EDF"/>
    <w:rsid w:val="00756FD7"/>
    <w:rsid w:val="007609A2"/>
    <w:rsid w:val="007622B5"/>
    <w:rsid w:val="00763C96"/>
    <w:rsid w:val="00764D1E"/>
    <w:rsid w:val="00765C43"/>
    <w:rsid w:val="00765EFB"/>
    <w:rsid w:val="00766FDD"/>
    <w:rsid w:val="007671CA"/>
    <w:rsid w:val="00767C61"/>
    <w:rsid w:val="0077008A"/>
    <w:rsid w:val="00771D1B"/>
    <w:rsid w:val="00772233"/>
    <w:rsid w:val="00772335"/>
    <w:rsid w:val="00773C1F"/>
    <w:rsid w:val="00774DA4"/>
    <w:rsid w:val="00776599"/>
    <w:rsid w:val="0078114B"/>
    <w:rsid w:val="00781D68"/>
    <w:rsid w:val="00781DD2"/>
    <w:rsid w:val="00783ECF"/>
    <w:rsid w:val="0078413A"/>
    <w:rsid w:val="00791403"/>
    <w:rsid w:val="0079394F"/>
    <w:rsid w:val="007959E8"/>
    <w:rsid w:val="00795E9C"/>
    <w:rsid w:val="00796D1B"/>
    <w:rsid w:val="007A0521"/>
    <w:rsid w:val="007A2E12"/>
    <w:rsid w:val="007A3475"/>
    <w:rsid w:val="007A41C8"/>
    <w:rsid w:val="007A5033"/>
    <w:rsid w:val="007A54CE"/>
    <w:rsid w:val="007A567F"/>
    <w:rsid w:val="007A7FFA"/>
    <w:rsid w:val="007B04EB"/>
    <w:rsid w:val="007B0D4F"/>
    <w:rsid w:val="007B1429"/>
    <w:rsid w:val="007B5A3D"/>
    <w:rsid w:val="007B5B95"/>
    <w:rsid w:val="007B68EA"/>
    <w:rsid w:val="007C19E8"/>
    <w:rsid w:val="007C2D89"/>
    <w:rsid w:val="007C4593"/>
    <w:rsid w:val="007C5309"/>
    <w:rsid w:val="007C6069"/>
    <w:rsid w:val="007C649E"/>
    <w:rsid w:val="007C7F0A"/>
    <w:rsid w:val="007D0638"/>
    <w:rsid w:val="007D06C4"/>
    <w:rsid w:val="007D1352"/>
    <w:rsid w:val="007D1B11"/>
    <w:rsid w:val="007D2508"/>
    <w:rsid w:val="007D346A"/>
    <w:rsid w:val="007D6518"/>
    <w:rsid w:val="007D76BD"/>
    <w:rsid w:val="007D7848"/>
    <w:rsid w:val="007E0BF1"/>
    <w:rsid w:val="007E160D"/>
    <w:rsid w:val="007E682C"/>
    <w:rsid w:val="007F0ED8"/>
    <w:rsid w:val="007F0F63"/>
    <w:rsid w:val="007F33ED"/>
    <w:rsid w:val="007F47E9"/>
    <w:rsid w:val="007F75CE"/>
    <w:rsid w:val="0080008E"/>
    <w:rsid w:val="008013A4"/>
    <w:rsid w:val="0080201A"/>
    <w:rsid w:val="008027CE"/>
    <w:rsid w:val="00802F42"/>
    <w:rsid w:val="00804383"/>
    <w:rsid w:val="00804BB7"/>
    <w:rsid w:val="00805DE2"/>
    <w:rsid w:val="00807F36"/>
    <w:rsid w:val="00810257"/>
    <w:rsid w:val="008104F5"/>
    <w:rsid w:val="00811072"/>
    <w:rsid w:val="00811369"/>
    <w:rsid w:val="0081138D"/>
    <w:rsid w:val="00811F1F"/>
    <w:rsid w:val="00814E50"/>
    <w:rsid w:val="00815419"/>
    <w:rsid w:val="008163C8"/>
    <w:rsid w:val="00816C29"/>
    <w:rsid w:val="00817325"/>
    <w:rsid w:val="008209E6"/>
    <w:rsid w:val="00822F84"/>
    <w:rsid w:val="00823303"/>
    <w:rsid w:val="008233B2"/>
    <w:rsid w:val="00823A9F"/>
    <w:rsid w:val="00823C85"/>
    <w:rsid w:val="00825138"/>
    <w:rsid w:val="008269DD"/>
    <w:rsid w:val="00830621"/>
    <w:rsid w:val="0083348C"/>
    <w:rsid w:val="00833AB5"/>
    <w:rsid w:val="0083616A"/>
    <w:rsid w:val="008365CE"/>
    <w:rsid w:val="00837248"/>
    <w:rsid w:val="008373D3"/>
    <w:rsid w:val="00840617"/>
    <w:rsid w:val="00842A47"/>
    <w:rsid w:val="00843C13"/>
    <w:rsid w:val="008454F8"/>
    <w:rsid w:val="0084636E"/>
    <w:rsid w:val="0084638E"/>
    <w:rsid w:val="00850C3D"/>
    <w:rsid w:val="0085173A"/>
    <w:rsid w:val="00852D62"/>
    <w:rsid w:val="008603CE"/>
    <w:rsid w:val="0086195F"/>
    <w:rsid w:val="008620FC"/>
    <w:rsid w:val="008627A5"/>
    <w:rsid w:val="00862DE0"/>
    <w:rsid w:val="00863E05"/>
    <w:rsid w:val="0086494E"/>
    <w:rsid w:val="00865ACA"/>
    <w:rsid w:val="00865D28"/>
    <w:rsid w:val="00865DA5"/>
    <w:rsid w:val="00865F85"/>
    <w:rsid w:val="008665A4"/>
    <w:rsid w:val="00867C10"/>
    <w:rsid w:val="00870439"/>
    <w:rsid w:val="00870B35"/>
    <w:rsid w:val="00870DA1"/>
    <w:rsid w:val="00875109"/>
    <w:rsid w:val="00881D3C"/>
    <w:rsid w:val="00882133"/>
    <w:rsid w:val="00883D8C"/>
    <w:rsid w:val="00883F93"/>
    <w:rsid w:val="00884DB3"/>
    <w:rsid w:val="00885A9D"/>
    <w:rsid w:val="008864F6"/>
    <w:rsid w:val="00886CBA"/>
    <w:rsid w:val="0089049D"/>
    <w:rsid w:val="008928C9"/>
    <w:rsid w:val="008938DC"/>
    <w:rsid w:val="00893FD1"/>
    <w:rsid w:val="00894836"/>
    <w:rsid w:val="00895172"/>
    <w:rsid w:val="00895680"/>
    <w:rsid w:val="00896DFF"/>
    <w:rsid w:val="0089762C"/>
    <w:rsid w:val="008A038C"/>
    <w:rsid w:val="008A1893"/>
    <w:rsid w:val="008A5B0B"/>
    <w:rsid w:val="008A769A"/>
    <w:rsid w:val="008B0C9C"/>
    <w:rsid w:val="008B166D"/>
    <w:rsid w:val="008B17F4"/>
    <w:rsid w:val="008B35BB"/>
    <w:rsid w:val="008B3615"/>
    <w:rsid w:val="008B4AC4"/>
    <w:rsid w:val="008B50C8"/>
    <w:rsid w:val="008B5281"/>
    <w:rsid w:val="008B7E05"/>
    <w:rsid w:val="008C1797"/>
    <w:rsid w:val="008C219C"/>
    <w:rsid w:val="008C462B"/>
    <w:rsid w:val="008C475E"/>
    <w:rsid w:val="008C619A"/>
    <w:rsid w:val="008D0CE8"/>
    <w:rsid w:val="008D2C12"/>
    <w:rsid w:val="008D2D1D"/>
    <w:rsid w:val="008D453D"/>
    <w:rsid w:val="008D4FEA"/>
    <w:rsid w:val="008D53AD"/>
    <w:rsid w:val="008D562B"/>
    <w:rsid w:val="008D5733"/>
    <w:rsid w:val="008D622B"/>
    <w:rsid w:val="008D666C"/>
    <w:rsid w:val="008D7B54"/>
    <w:rsid w:val="008E0C9D"/>
    <w:rsid w:val="008E1648"/>
    <w:rsid w:val="008E1B3E"/>
    <w:rsid w:val="008E2319"/>
    <w:rsid w:val="008E4BB6"/>
    <w:rsid w:val="008E5518"/>
    <w:rsid w:val="008E5B8E"/>
    <w:rsid w:val="008E6A84"/>
    <w:rsid w:val="008E7737"/>
    <w:rsid w:val="008F0CDC"/>
    <w:rsid w:val="008F17A3"/>
    <w:rsid w:val="008F1ED3"/>
    <w:rsid w:val="008F27FB"/>
    <w:rsid w:val="008F2876"/>
    <w:rsid w:val="008F3CEF"/>
    <w:rsid w:val="008F4C29"/>
    <w:rsid w:val="008F595A"/>
    <w:rsid w:val="008F5F4D"/>
    <w:rsid w:val="008F70BD"/>
    <w:rsid w:val="008F788F"/>
    <w:rsid w:val="008F7EA2"/>
    <w:rsid w:val="00902722"/>
    <w:rsid w:val="009027BC"/>
    <w:rsid w:val="00904C01"/>
    <w:rsid w:val="0090506A"/>
    <w:rsid w:val="009062E6"/>
    <w:rsid w:val="00911BE5"/>
    <w:rsid w:val="00912EB5"/>
    <w:rsid w:val="00913CA9"/>
    <w:rsid w:val="009145AE"/>
    <w:rsid w:val="009146CE"/>
    <w:rsid w:val="00914CA7"/>
    <w:rsid w:val="009153BB"/>
    <w:rsid w:val="009155D0"/>
    <w:rsid w:val="00915C3E"/>
    <w:rsid w:val="009161A8"/>
    <w:rsid w:val="0091673D"/>
    <w:rsid w:val="00916BFF"/>
    <w:rsid w:val="009228D1"/>
    <w:rsid w:val="009245F5"/>
    <w:rsid w:val="009249EC"/>
    <w:rsid w:val="009273B3"/>
    <w:rsid w:val="009305B5"/>
    <w:rsid w:val="00934C12"/>
    <w:rsid w:val="009362BE"/>
    <w:rsid w:val="00940347"/>
    <w:rsid w:val="009429D5"/>
    <w:rsid w:val="00942BF1"/>
    <w:rsid w:val="00942D0F"/>
    <w:rsid w:val="0094477D"/>
    <w:rsid w:val="00945180"/>
    <w:rsid w:val="00945428"/>
    <w:rsid w:val="0094607B"/>
    <w:rsid w:val="009523CB"/>
    <w:rsid w:val="009525C6"/>
    <w:rsid w:val="009533E6"/>
    <w:rsid w:val="00953604"/>
    <w:rsid w:val="00954628"/>
    <w:rsid w:val="009562AA"/>
    <w:rsid w:val="009602BA"/>
    <w:rsid w:val="009610DC"/>
    <w:rsid w:val="00961490"/>
    <w:rsid w:val="0096381A"/>
    <w:rsid w:val="009655D9"/>
    <w:rsid w:val="00965E04"/>
    <w:rsid w:val="009674AD"/>
    <w:rsid w:val="0097094E"/>
    <w:rsid w:val="00970CDC"/>
    <w:rsid w:val="00970FB4"/>
    <w:rsid w:val="00971150"/>
    <w:rsid w:val="009724BF"/>
    <w:rsid w:val="00972553"/>
    <w:rsid w:val="00973A25"/>
    <w:rsid w:val="00975513"/>
    <w:rsid w:val="00977010"/>
    <w:rsid w:val="00977D02"/>
    <w:rsid w:val="009809BB"/>
    <w:rsid w:val="00982D22"/>
    <w:rsid w:val="0098364B"/>
    <w:rsid w:val="00983BF9"/>
    <w:rsid w:val="00983D88"/>
    <w:rsid w:val="00986E37"/>
    <w:rsid w:val="009911AF"/>
    <w:rsid w:val="00991875"/>
    <w:rsid w:val="00991F92"/>
    <w:rsid w:val="009921AE"/>
    <w:rsid w:val="00992985"/>
    <w:rsid w:val="00993889"/>
    <w:rsid w:val="0099551B"/>
    <w:rsid w:val="00995D28"/>
    <w:rsid w:val="00997BF1"/>
    <w:rsid w:val="00997E5A"/>
    <w:rsid w:val="009A089C"/>
    <w:rsid w:val="009A0E67"/>
    <w:rsid w:val="009A118E"/>
    <w:rsid w:val="009A21CD"/>
    <w:rsid w:val="009A278C"/>
    <w:rsid w:val="009A2BC2"/>
    <w:rsid w:val="009A3C6E"/>
    <w:rsid w:val="009A3EEC"/>
    <w:rsid w:val="009A42C1"/>
    <w:rsid w:val="009A53ED"/>
    <w:rsid w:val="009A5429"/>
    <w:rsid w:val="009A72AD"/>
    <w:rsid w:val="009A78E5"/>
    <w:rsid w:val="009B09E0"/>
    <w:rsid w:val="009B0BC5"/>
    <w:rsid w:val="009B0E13"/>
    <w:rsid w:val="009B1247"/>
    <w:rsid w:val="009B1F6F"/>
    <w:rsid w:val="009B2364"/>
    <w:rsid w:val="009B6029"/>
    <w:rsid w:val="009B6971"/>
    <w:rsid w:val="009C2616"/>
    <w:rsid w:val="009C27F1"/>
    <w:rsid w:val="009C3152"/>
    <w:rsid w:val="009C4CFA"/>
    <w:rsid w:val="009C5070"/>
    <w:rsid w:val="009C765A"/>
    <w:rsid w:val="009D112C"/>
    <w:rsid w:val="009D2258"/>
    <w:rsid w:val="009D3A2B"/>
    <w:rsid w:val="009D441C"/>
    <w:rsid w:val="009D47FA"/>
    <w:rsid w:val="009D50D2"/>
    <w:rsid w:val="009D6BCA"/>
    <w:rsid w:val="009E0F62"/>
    <w:rsid w:val="009E20CE"/>
    <w:rsid w:val="009E4A58"/>
    <w:rsid w:val="009E5A2D"/>
    <w:rsid w:val="009E5AB2"/>
    <w:rsid w:val="009E6219"/>
    <w:rsid w:val="009F03B3"/>
    <w:rsid w:val="009F7079"/>
    <w:rsid w:val="00A000CC"/>
    <w:rsid w:val="00A01757"/>
    <w:rsid w:val="00A028C0"/>
    <w:rsid w:val="00A02BAE"/>
    <w:rsid w:val="00A03E01"/>
    <w:rsid w:val="00A04646"/>
    <w:rsid w:val="00A06A6B"/>
    <w:rsid w:val="00A06CF5"/>
    <w:rsid w:val="00A06E92"/>
    <w:rsid w:val="00A07E47"/>
    <w:rsid w:val="00A129D0"/>
    <w:rsid w:val="00A12C33"/>
    <w:rsid w:val="00A138BA"/>
    <w:rsid w:val="00A1443D"/>
    <w:rsid w:val="00A14C8E"/>
    <w:rsid w:val="00A153D9"/>
    <w:rsid w:val="00A15F09"/>
    <w:rsid w:val="00A169B6"/>
    <w:rsid w:val="00A20A31"/>
    <w:rsid w:val="00A2271D"/>
    <w:rsid w:val="00A236E5"/>
    <w:rsid w:val="00A237D5"/>
    <w:rsid w:val="00A24348"/>
    <w:rsid w:val="00A30EFC"/>
    <w:rsid w:val="00A31984"/>
    <w:rsid w:val="00A32D73"/>
    <w:rsid w:val="00A32ECE"/>
    <w:rsid w:val="00A3367B"/>
    <w:rsid w:val="00A3597D"/>
    <w:rsid w:val="00A40091"/>
    <w:rsid w:val="00A4030F"/>
    <w:rsid w:val="00A41C79"/>
    <w:rsid w:val="00A41CB5"/>
    <w:rsid w:val="00A42CDF"/>
    <w:rsid w:val="00A4335A"/>
    <w:rsid w:val="00A4452E"/>
    <w:rsid w:val="00A4472C"/>
    <w:rsid w:val="00A44E69"/>
    <w:rsid w:val="00A45CC2"/>
    <w:rsid w:val="00A4661E"/>
    <w:rsid w:val="00A46789"/>
    <w:rsid w:val="00A4743A"/>
    <w:rsid w:val="00A5017B"/>
    <w:rsid w:val="00A53B74"/>
    <w:rsid w:val="00A54AA5"/>
    <w:rsid w:val="00A55BD6"/>
    <w:rsid w:val="00A55D50"/>
    <w:rsid w:val="00A57142"/>
    <w:rsid w:val="00A604FA"/>
    <w:rsid w:val="00A6344A"/>
    <w:rsid w:val="00A648CD"/>
    <w:rsid w:val="00A6537A"/>
    <w:rsid w:val="00A67866"/>
    <w:rsid w:val="00A70B07"/>
    <w:rsid w:val="00A723F8"/>
    <w:rsid w:val="00A77CCB"/>
    <w:rsid w:val="00A83D8D"/>
    <w:rsid w:val="00A8446B"/>
    <w:rsid w:val="00A8473F"/>
    <w:rsid w:val="00A84C1A"/>
    <w:rsid w:val="00A84F7A"/>
    <w:rsid w:val="00A862D6"/>
    <w:rsid w:val="00A8715E"/>
    <w:rsid w:val="00A9087D"/>
    <w:rsid w:val="00A925CF"/>
    <w:rsid w:val="00A9295B"/>
    <w:rsid w:val="00A93B09"/>
    <w:rsid w:val="00A9416D"/>
    <w:rsid w:val="00A952D7"/>
    <w:rsid w:val="00A963F7"/>
    <w:rsid w:val="00A96AD8"/>
    <w:rsid w:val="00A97CDB"/>
    <w:rsid w:val="00AA052C"/>
    <w:rsid w:val="00AA1E45"/>
    <w:rsid w:val="00AA2A24"/>
    <w:rsid w:val="00AA33C1"/>
    <w:rsid w:val="00AA4286"/>
    <w:rsid w:val="00AA456B"/>
    <w:rsid w:val="00AA57F5"/>
    <w:rsid w:val="00AA64E9"/>
    <w:rsid w:val="00AA672E"/>
    <w:rsid w:val="00AA6EC9"/>
    <w:rsid w:val="00AB6309"/>
    <w:rsid w:val="00AB63B4"/>
    <w:rsid w:val="00AB6C5F"/>
    <w:rsid w:val="00AB7129"/>
    <w:rsid w:val="00AB735E"/>
    <w:rsid w:val="00AC27A6"/>
    <w:rsid w:val="00AC30F7"/>
    <w:rsid w:val="00AC3A5A"/>
    <w:rsid w:val="00AC4D95"/>
    <w:rsid w:val="00AC5DF4"/>
    <w:rsid w:val="00AC6473"/>
    <w:rsid w:val="00AD06CE"/>
    <w:rsid w:val="00AD0AEF"/>
    <w:rsid w:val="00AD11B7"/>
    <w:rsid w:val="00AD1A94"/>
    <w:rsid w:val="00AD1C05"/>
    <w:rsid w:val="00AD2278"/>
    <w:rsid w:val="00AD2C9D"/>
    <w:rsid w:val="00AD3367"/>
    <w:rsid w:val="00AD4126"/>
    <w:rsid w:val="00AD421C"/>
    <w:rsid w:val="00AD44FA"/>
    <w:rsid w:val="00AD5266"/>
    <w:rsid w:val="00AD629E"/>
    <w:rsid w:val="00AE070A"/>
    <w:rsid w:val="00AE101C"/>
    <w:rsid w:val="00AE1862"/>
    <w:rsid w:val="00AE20CC"/>
    <w:rsid w:val="00AF0C18"/>
    <w:rsid w:val="00AF1052"/>
    <w:rsid w:val="00AF47C5"/>
    <w:rsid w:val="00AF4DE4"/>
    <w:rsid w:val="00AF5398"/>
    <w:rsid w:val="00AF5774"/>
    <w:rsid w:val="00AF7EB4"/>
    <w:rsid w:val="00B049AF"/>
    <w:rsid w:val="00B07242"/>
    <w:rsid w:val="00B10534"/>
    <w:rsid w:val="00B113DB"/>
    <w:rsid w:val="00B11D8A"/>
    <w:rsid w:val="00B12981"/>
    <w:rsid w:val="00B12EA7"/>
    <w:rsid w:val="00B147DD"/>
    <w:rsid w:val="00B156FD"/>
    <w:rsid w:val="00B1585D"/>
    <w:rsid w:val="00B21F61"/>
    <w:rsid w:val="00B23045"/>
    <w:rsid w:val="00B240DA"/>
    <w:rsid w:val="00B248EF"/>
    <w:rsid w:val="00B2523E"/>
    <w:rsid w:val="00B261F1"/>
    <w:rsid w:val="00B265BC"/>
    <w:rsid w:val="00B319AE"/>
    <w:rsid w:val="00B31FB1"/>
    <w:rsid w:val="00B3324B"/>
    <w:rsid w:val="00B33952"/>
    <w:rsid w:val="00B33C5E"/>
    <w:rsid w:val="00B342F4"/>
    <w:rsid w:val="00B34369"/>
    <w:rsid w:val="00B34DC2"/>
    <w:rsid w:val="00B378E5"/>
    <w:rsid w:val="00B4346D"/>
    <w:rsid w:val="00B440F4"/>
    <w:rsid w:val="00B447A5"/>
    <w:rsid w:val="00B4654C"/>
    <w:rsid w:val="00B47293"/>
    <w:rsid w:val="00B476CD"/>
    <w:rsid w:val="00B47B42"/>
    <w:rsid w:val="00B47F3D"/>
    <w:rsid w:val="00B52120"/>
    <w:rsid w:val="00B54ABC"/>
    <w:rsid w:val="00B56506"/>
    <w:rsid w:val="00B56884"/>
    <w:rsid w:val="00B56FBE"/>
    <w:rsid w:val="00B6080F"/>
    <w:rsid w:val="00B62B58"/>
    <w:rsid w:val="00B65149"/>
    <w:rsid w:val="00B661D5"/>
    <w:rsid w:val="00B66567"/>
    <w:rsid w:val="00B66F52"/>
    <w:rsid w:val="00B66FE5"/>
    <w:rsid w:val="00B72880"/>
    <w:rsid w:val="00B758BF"/>
    <w:rsid w:val="00B77ADC"/>
    <w:rsid w:val="00B80420"/>
    <w:rsid w:val="00B827A6"/>
    <w:rsid w:val="00B831CE"/>
    <w:rsid w:val="00B83D3F"/>
    <w:rsid w:val="00B86677"/>
    <w:rsid w:val="00B87131"/>
    <w:rsid w:val="00B91566"/>
    <w:rsid w:val="00B91F62"/>
    <w:rsid w:val="00B92D05"/>
    <w:rsid w:val="00B939B1"/>
    <w:rsid w:val="00B94655"/>
    <w:rsid w:val="00B96D40"/>
    <w:rsid w:val="00B97386"/>
    <w:rsid w:val="00BA263B"/>
    <w:rsid w:val="00BA42B2"/>
    <w:rsid w:val="00BA4D54"/>
    <w:rsid w:val="00BA58D4"/>
    <w:rsid w:val="00BA5B9E"/>
    <w:rsid w:val="00BA6EFC"/>
    <w:rsid w:val="00BA7C9A"/>
    <w:rsid w:val="00BB0F1F"/>
    <w:rsid w:val="00BB1FC3"/>
    <w:rsid w:val="00BB5857"/>
    <w:rsid w:val="00BB5F8F"/>
    <w:rsid w:val="00BB657A"/>
    <w:rsid w:val="00BB7CB8"/>
    <w:rsid w:val="00BC0A46"/>
    <w:rsid w:val="00BC1A4E"/>
    <w:rsid w:val="00BC2E8E"/>
    <w:rsid w:val="00BC394C"/>
    <w:rsid w:val="00BC5DC7"/>
    <w:rsid w:val="00BC6B8B"/>
    <w:rsid w:val="00BC73D8"/>
    <w:rsid w:val="00BC7D42"/>
    <w:rsid w:val="00BD1634"/>
    <w:rsid w:val="00BD219F"/>
    <w:rsid w:val="00BD3F21"/>
    <w:rsid w:val="00BD52D7"/>
    <w:rsid w:val="00BD5AD2"/>
    <w:rsid w:val="00BD6082"/>
    <w:rsid w:val="00BE13C9"/>
    <w:rsid w:val="00BE158A"/>
    <w:rsid w:val="00BE1706"/>
    <w:rsid w:val="00BE22F3"/>
    <w:rsid w:val="00BE2CE9"/>
    <w:rsid w:val="00BE3D04"/>
    <w:rsid w:val="00BE5912"/>
    <w:rsid w:val="00BE5B52"/>
    <w:rsid w:val="00BE7B8D"/>
    <w:rsid w:val="00BF0993"/>
    <w:rsid w:val="00BF10A9"/>
    <w:rsid w:val="00BF1703"/>
    <w:rsid w:val="00BF231C"/>
    <w:rsid w:val="00BF24EE"/>
    <w:rsid w:val="00BF2A65"/>
    <w:rsid w:val="00BF51E5"/>
    <w:rsid w:val="00BF74A6"/>
    <w:rsid w:val="00C013AD"/>
    <w:rsid w:val="00C01E4A"/>
    <w:rsid w:val="00C04904"/>
    <w:rsid w:val="00C056B3"/>
    <w:rsid w:val="00C103E5"/>
    <w:rsid w:val="00C11327"/>
    <w:rsid w:val="00C13319"/>
    <w:rsid w:val="00C13EE9"/>
    <w:rsid w:val="00C14D87"/>
    <w:rsid w:val="00C15E21"/>
    <w:rsid w:val="00C16013"/>
    <w:rsid w:val="00C16A2B"/>
    <w:rsid w:val="00C20277"/>
    <w:rsid w:val="00C21540"/>
    <w:rsid w:val="00C21906"/>
    <w:rsid w:val="00C21BFA"/>
    <w:rsid w:val="00C24C8D"/>
    <w:rsid w:val="00C25AE6"/>
    <w:rsid w:val="00C25FE2"/>
    <w:rsid w:val="00C26B53"/>
    <w:rsid w:val="00C26D0A"/>
    <w:rsid w:val="00C279B2"/>
    <w:rsid w:val="00C303DB"/>
    <w:rsid w:val="00C33E50"/>
    <w:rsid w:val="00C34C20"/>
    <w:rsid w:val="00C35080"/>
    <w:rsid w:val="00C35A3E"/>
    <w:rsid w:val="00C36A0B"/>
    <w:rsid w:val="00C40316"/>
    <w:rsid w:val="00C40D0D"/>
    <w:rsid w:val="00C42130"/>
    <w:rsid w:val="00C423A4"/>
    <w:rsid w:val="00C429EC"/>
    <w:rsid w:val="00C4416F"/>
    <w:rsid w:val="00C44BF5"/>
    <w:rsid w:val="00C55232"/>
    <w:rsid w:val="00C553A4"/>
    <w:rsid w:val="00C55A06"/>
    <w:rsid w:val="00C55D03"/>
    <w:rsid w:val="00C601BC"/>
    <w:rsid w:val="00C61A2E"/>
    <w:rsid w:val="00C6304E"/>
    <w:rsid w:val="00C6329F"/>
    <w:rsid w:val="00C63340"/>
    <w:rsid w:val="00C6363B"/>
    <w:rsid w:val="00C643F9"/>
    <w:rsid w:val="00C64E95"/>
    <w:rsid w:val="00C67239"/>
    <w:rsid w:val="00C67385"/>
    <w:rsid w:val="00C70D9A"/>
    <w:rsid w:val="00C71372"/>
    <w:rsid w:val="00C72410"/>
    <w:rsid w:val="00C7287F"/>
    <w:rsid w:val="00C72F0E"/>
    <w:rsid w:val="00C73290"/>
    <w:rsid w:val="00C76CD6"/>
    <w:rsid w:val="00C80CB8"/>
    <w:rsid w:val="00C819F8"/>
    <w:rsid w:val="00C8248C"/>
    <w:rsid w:val="00C844E4"/>
    <w:rsid w:val="00C84E33"/>
    <w:rsid w:val="00C86D6F"/>
    <w:rsid w:val="00C87E5A"/>
    <w:rsid w:val="00C905FC"/>
    <w:rsid w:val="00C92D03"/>
    <w:rsid w:val="00C9319C"/>
    <w:rsid w:val="00C9435D"/>
    <w:rsid w:val="00C94588"/>
    <w:rsid w:val="00C9517F"/>
    <w:rsid w:val="00C96741"/>
    <w:rsid w:val="00CA18E5"/>
    <w:rsid w:val="00CA2D1B"/>
    <w:rsid w:val="00CA30F6"/>
    <w:rsid w:val="00CA4856"/>
    <w:rsid w:val="00CA54B4"/>
    <w:rsid w:val="00CA662A"/>
    <w:rsid w:val="00CA7AFD"/>
    <w:rsid w:val="00CA7C3C"/>
    <w:rsid w:val="00CB0189"/>
    <w:rsid w:val="00CB0BA2"/>
    <w:rsid w:val="00CB108A"/>
    <w:rsid w:val="00CB1A42"/>
    <w:rsid w:val="00CB1B0C"/>
    <w:rsid w:val="00CB2C0B"/>
    <w:rsid w:val="00CB517D"/>
    <w:rsid w:val="00CB7491"/>
    <w:rsid w:val="00CC038D"/>
    <w:rsid w:val="00CC05CD"/>
    <w:rsid w:val="00CC0793"/>
    <w:rsid w:val="00CC2F83"/>
    <w:rsid w:val="00CC3251"/>
    <w:rsid w:val="00CC39FF"/>
    <w:rsid w:val="00CC3C2F"/>
    <w:rsid w:val="00CC4AC8"/>
    <w:rsid w:val="00CC4E2C"/>
    <w:rsid w:val="00CC5233"/>
    <w:rsid w:val="00CC5DE6"/>
    <w:rsid w:val="00CC6E4E"/>
    <w:rsid w:val="00CC6FE8"/>
    <w:rsid w:val="00CC7202"/>
    <w:rsid w:val="00CD06A1"/>
    <w:rsid w:val="00CD0FFC"/>
    <w:rsid w:val="00CD2808"/>
    <w:rsid w:val="00CD28BF"/>
    <w:rsid w:val="00CD2A42"/>
    <w:rsid w:val="00CD4092"/>
    <w:rsid w:val="00CD4A20"/>
    <w:rsid w:val="00CD50A1"/>
    <w:rsid w:val="00CD519E"/>
    <w:rsid w:val="00CE0C4F"/>
    <w:rsid w:val="00CE30EA"/>
    <w:rsid w:val="00CE34E7"/>
    <w:rsid w:val="00CE42AB"/>
    <w:rsid w:val="00CE6004"/>
    <w:rsid w:val="00CF048A"/>
    <w:rsid w:val="00CF155A"/>
    <w:rsid w:val="00CF2947"/>
    <w:rsid w:val="00CF2AE5"/>
    <w:rsid w:val="00CF3B7A"/>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28C"/>
    <w:rsid w:val="00D20737"/>
    <w:rsid w:val="00D21E81"/>
    <w:rsid w:val="00D223DE"/>
    <w:rsid w:val="00D24C0A"/>
    <w:rsid w:val="00D25E37"/>
    <w:rsid w:val="00D2661A"/>
    <w:rsid w:val="00D27582"/>
    <w:rsid w:val="00D31090"/>
    <w:rsid w:val="00D32719"/>
    <w:rsid w:val="00D33333"/>
    <w:rsid w:val="00D352A2"/>
    <w:rsid w:val="00D4162B"/>
    <w:rsid w:val="00D4223A"/>
    <w:rsid w:val="00D43247"/>
    <w:rsid w:val="00D4514F"/>
    <w:rsid w:val="00D451E2"/>
    <w:rsid w:val="00D4545E"/>
    <w:rsid w:val="00D45E89"/>
    <w:rsid w:val="00D45E8D"/>
    <w:rsid w:val="00D466AE"/>
    <w:rsid w:val="00D46730"/>
    <w:rsid w:val="00D4734F"/>
    <w:rsid w:val="00D47407"/>
    <w:rsid w:val="00D51BF3"/>
    <w:rsid w:val="00D52FE2"/>
    <w:rsid w:val="00D54C37"/>
    <w:rsid w:val="00D61B82"/>
    <w:rsid w:val="00D62B16"/>
    <w:rsid w:val="00D63238"/>
    <w:rsid w:val="00D63276"/>
    <w:rsid w:val="00D66846"/>
    <w:rsid w:val="00D675FB"/>
    <w:rsid w:val="00D71F25"/>
    <w:rsid w:val="00D72CF4"/>
    <w:rsid w:val="00D77031"/>
    <w:rsid w:val="00D80AB6"/>
    <w:rsid w:val="00D830F5"/>
    <w:rsid w:val="00D84941"/>
    <w:rsid w:val="00D84FA1"/>
    <w:rsid w:val="00D851F0"/>
    <w:rsid w:val="00D86DB7"/>
    <w:rsid w:val="00D926D0"/>
    <w:rsid w:val="00D93030"/>
    <w:rsid w:val="00D930BD"/>
    <w:rsid w:val="00D948AA"/>
    <w:rsid w:val="00D950E1"/>
    <w:rsid w:val="00D952A6"/>
    <w:rsid w:val="00D961A9"/>
    <w:rsid w:val="00D97F99"/>
    <w:rsid w:val="00DA1E08"/>
    <w:rsid w:val="00DA24F8"/>
    <w:rsid w:val="00DA28E8"/>
    <w:rsid w:val="00DA38D3"/>
    <w:rsid w:val="00DA3932"/>
    <w:rsid w:val="00DA5A95"/>
    <w:rsid w:val="00DA64F8"/>
    <w:rsid w:val="00DA6C15"/>
    <w:rsid w:val="00DB3584"/>
    <w:rsid w:val="00DB38EE"/>
    <w:rsid w:val="00DB498B"/>
    <w:rsid w:val="00DB66CA"/>
    <w:rsid w:val="00DB6BCA"/>
    <w:rsid w:val="00DB6F06"/>
    <w:rsid w:val="00DC0321"/>
    <w:rsid w:val="00DC3067"/>
    <w:rsid w:val="00DC370B"/>
    <w:rsid w:val="00DC521B"/>
    <w:rsid w:val="00DC5B90"/>
    <w:rsid w:val="00DD00FF"/>
    <w:rsid w:val="00DD0619"/>
    <w:rsid w:val="00DD07FB"/>
    <w:rsid w:val="00DD0F9A"/>
    <w:rsid w:val="00DD25C6"/>
    <w:rsid w:val="00DD54B0"/>
    <w:rsid w:val="00DD57EE"/>
    <w:rsid w:val="00DD5C89"/>
    <w:rsid w:val="00DD6BCC"/>
    <w:rsid w:val="00DE0A4B"/>
    <w:rsid w:val="00DE2410"/>
    <w:rsid w:val="00DE2939"/>
    <w:rsid w:val="00DE3B88"/>
    <w:rsid w:val="00DE3E23"/>
    <w:rsid w:val="00DE51F0"/>
    <w:rsid w:val="00DE5F79"/>
    <w:rsid w:val="00DE6E81"/>
    <w:rsid w:val="00DE703F"/>
    <w:rsid w:val="00DE7595"/>
    <w:rsid w:val="00DF04DE"/>
    <w:rsid w:val="00DF1961"/>
    <w:rsid w:val="00DF44DE"/>
    <w:rsid w:val="00DF5B2C"/>
    <w:rsid w:val="00E01138"/>
    <w:rsid w:val="00E02DFB"/>
    <w:rsid w:val="00E030F9"/>
    <w:rsid w:val="00E0311A"/>
    <w:rsid w:val="00E03138"/>
    <w:rsid w:val="00E06404"/>
    <w:rsid w:val="00E079DE"/>
    <w:rsid w:val="00E1142A"/>
    <w:rsid w:val="00E11A85"/>
    <w:rsid w:val="00E12495"/>
    <w:rsid w:val="00E13418"/>
    <w:rsid w:val="00E15CCD"/>
    <w:rsid w:val="00E16234"/>
    <w:rsid w:val="00E16E90"/>
    <w:rsid w:val="00E202EF"/>
    <w:rsid w:val="00E210B5"/>
    <w:rsid w:val="00E2552F"/>
    <w:rsid w:val="00E3137A"/>
    <w:rsid w:val="00E32CCF"/>
    <w:rsid w:val="00E34A98"/>
    <w:rsid w:val="00E35361"/>
    <w:rsid w:val="00E35D1E"/>
    <w:rsid w:val="00E364F9"/>
    <w:rsid w:val="00E365FA"/>
    <w:rsid w:val="00E40C94"/>
    <w:rsid w:val="00E41BC4"/>
    <w:rsid w:val="00E44A83"/>
    <w:rsid w:val="00E457B3"/>
    <w:rsid w:val="00E502C1"/>
    <w:rsid w:val="00E502DD"/>
    <w:rsid w:val="00E50D3A"/>
    <w:rsid w:val="00E51387"/>
    <w:rsid w:val="00E51E68"/>
    <w:rsid w:val="00E52EFD"/>
    <w:rsid w:val="00E53C21"/>
    <w:rsid w:val="00E53CFB"/>
    <w:rsid w:val="00E5408A"/>
    <w:rsid w:val="00E56800"/>
    <w:rsid w:val="00E60948"/>
    <w:rsid w:val="00E60CD7"/>
    <w:rsid w:val="00E62F6A"/>
    <w:rsid w:val="00E62FF9"/>
    <w:rsid w:val="00E635D6"/>
    <w:rsid w:val="00E639BC"/>
    <w:rsid w:val="00E642D9"/>
    <w:rsid w:val="00E664CC"/>
    <w:rsid w:val="00E676C5"/>
    <w:rsid w:val="00E70388"/>
    <w:rsid w:val="00E70EA6"/>
    <w:rsid w:val="00E70F92"/>
    <w:rsid w:val="00E74C54"/>
    <w:rsid w:val="00E77A03"/>
    <w:rsid w:val="00E822E8"/>
    <w:rsid w:val="00E82554"/>
    <w:rsid w:val="00E82606"/>
    <w:rsid w:val="00E846C8"/>
    <w:rsid w:val="00E84957"/>
    <w:rsid w:val="00E84A55"/>
    <w:rsid w:val="00E85BFF"/>
    <w:rsid w:val="00E90391"/>
    <w:rsid w:val="00E906C2"/>
    <w:rsid w:val="00E91B90"/>
    <w:rsid w:val="00E9311F"/>
    <w:rsid w:val="00E934D1"/>
    <w:rsid w:val="00E94AF0"/>
    <w:rsid w:val="00E95D13"/>
    <w:rsid w:val="00E95DD3"/>
    <w:rsid w:val="00E969D5"/>
    <w:rsid w:val="00EA0F6C"/>
    <w:rsid w:val="00EA58D1"/>
    <w:rsid w:val="00EA61BC"/>
    <w:rsid w:val="00EA681A"/>
    <w:rsid w:val="00EA735B"/>
    <w:rsid w:val="00EB1E69"/>
    <w:rsid w:val="00EB2086"/>
    <w:rsid w:val="00EB2926"/>
    <w:rsid w:val="00EB2E60"/>
    <w:rsid w:val="00EB5EDF"/>
    <w:rsid w:val="00EB60FE"/>
    <w:rsid w:val="00EB74DB"/>
    <w:rsid w:val="00EC3440"/>
    <w:rsid w:val="00EC5359"/>
    <w:rsid w:val="00EC53F8"/>
    <w:rsid w:val="00EC562A"/>
    <w:rsid w:val="00ED067A"/>
    <w:rsid w:val="00ED2B50"/>
    <w:rsid w:val="00EE0350"/>
    <w:rsid w:val="00EE0719"/>
    <w:rsid w:val="00EE0B71"/>
    <w:rsid w:val="00EE0E80"/>
    <w:rsid w:val="00EE613F"/>
    <w:rsid w:val="00EE7295"/>
    <w:rsid w:val="00EE7869"/>
    <w:rsid w:val="00EF054A"/>
    <w:rsid w:val="00EF3235"/>
    <w:rsid w:val="00EF39DE"/>
    <w:rsid w:val="00EF47A7"/>
    <w:rsid w:val="00EF7E72"/>
    <w:rsid w:val="00F03286"/>
    <w:rsid w:val="00F06D37"/>
    <w:rsid w:val="00F07B9D"/>
    <w:rsid w:val="00F11586"/>
    <w:rsid w:val="00F1183B"/>
    <w:rsid w:val="00F11C9F"/>
    <w:rsid w:val="00F12263"/>
    <w:rsid w:val="00F1245B"/>
    <w:rsid w:val="00F1409D"/>
    <w:rsid w:val="00F14214"/>
    <w:rsid w:val="00F146BD"/>
    <w:rsid w:val="00F157A9"/>
    <w:rsid w:val="00F15C5C"/>
    <w:rsid w:val="00F16FAF"/>
    <w:rsid w:val="00F21A55"/>
    <w:rsid w:val="00F256BD"/>
    <w:rsid w:val="00F25A42"/>
    <w:rsid w:val="00F25BB6"/>
    <w:rsid w:val="00F26B7E"/>
    <w:rsid w:val="00F27A3B"/>
    <w:rsid w:val="00F27C30"/>
    <w:rsid w:val="00F317DB"/>
    <w:rsid w:val="00F33817"/>
    <w:rsid w:val="00F410CD"/>
    <w:rsid w:val="00F41CB4"/>
    <w:rsid w:val="00F420D5"/>
    <w:rsid w:val="00F451EA"/>
    <w:rsid w:val="00F45447"/>
    <w:rsid w:val="00F456C6"/>
    <w:rsid w:val="00F4577B"/>
    <w:rsid w:val="00F46496"/>
    <w:rsid w:val="00F474D0"/>
    <w:rsid w:val="00F50179"/>
    <w:rsid w:val="00F555C7"/>
    <w:rsid w:val="00F56511"/>
    <w:rsid w:val="00F6194E"/>
    <w:rsid w:val="00F623AC"/>
    <w:rsid w:val="00F630BC"/>
    <w:rsid w:val="00F63D43"/>
    <w:rsid w:val="00F63DD2"/>
    <w:rsid w:val="00F6412A"/>
    <w:rsid w:val="00F65893"/>
    <w:rsid w:val="00F6682A"/>
    <w:rsid w:val="00F66A4A"/>
    <w:rsid w:val="00F71E22"/>
    <w:rsid w:val="00F72142"/>
    <w:rsid w:val="00F72AE7"/>
    <w:rsid w:val="00F736C6"/>
    <w:rsid w:val="00F76415"/>
    <w:rsid w:val="00F77058"/>
    <w:rsid w:val="00F77C54"/>
    <w:rsid w:val="00F8133D"/>
    <w:rsid w:val="00F84934"/>
    <w:rsid w:val="00F84FD0"/>
    <w:rsid w:val="00F859A8"/>
    <w:rsid w:val="00F86D2C"/>
    <w:rsid w:val="00F9108B"/>
    <w:rsid w:val="00F91349"/>
    <w:rsid w:val="00F93A8A"/>
    <w:rsid w:val="00F95248"/>
    <w:rsid w:val="00F956A9"/>
    <w:rsid w:val="00F963ED"/>
    <w:rsid w:val="00F966CF"/>
    <w:rsid w:val="00F96CAE"/>
    <w:rsid w:val="00F9745B"/>
    <w:rsid w:val="00F97C99"/>
    <w:rsid w:val="00FA1637"/>
    <w:rsid w:val="00FA3517"/>
    <w:rsid w:val="00FA5174"/>
    <w:rsid w:val="00FA662D"/>
    <w:rsid w:val="00FA73B1"/>
    <w:rsid w:val="00FA7EA4"/>
    <w:rsid w:val="00FB0C71"/>
    <w:rsid w:val="00FB0CB9"/>
    <w:rsid w:val="00FB45F1"/>
    <w:rsid w:val="00FB4A72"/>
    <w:rsid w:val="00FB54E8"/>
    <w:rsid w:val="00FB667F"/>
    <w:rsid w:val="00FB7054"/>
    <w:rsid w:val="00FC17B7"/>
    <w:rsid w:val="00FC2CB7"/>
    <w:rsid w:val="00FC4090"/>
    <w:rsid w:val="00FC4520"/>
    <w:rsid w:val="00FC55B4"/>
    <w:rsid w:val="00FC5BC6"/>
    <w:rsid w:val="00FD00E6"/>
    <w:rsid w:val="00FD09A1"/>
    <w:rsid w:val="00FD2A7C"/>
    <w:rsid w:val="00FD59EB"/>
    <w:rsid w:val="00FD7299"/>
    <w:rsid w:val="00FE0822"/>
    <w:rsid w:val="00FE166B"/>
    <w:rsid w:val="00FE1FBE"/>
    <w:rsid w:val="00FE3901"/>
    <w:rsid w:val="00FE3BD1"/>
    <w:rsid w:val="00FE4BCE"/>
    <w:rsid w:val="00FE54AE"/>
    <w:rsid w:val="00FE576A"/>
    <w:rsid w:val="00FE7E79"/>
    <w:rsid w:val="00FE7EC9"/>
    <w:rsid w:val="00FF3E7D"/>
    <w:rsid w:val="00FF54C7"/>
    <w:rsid w:val="00FF5B99"/>
    <w:rsid w:val="00FF730C"/>
    <w:rsid w:val="00FF73F4"/>
    <w:rsid w:val="00FF7CE4"/>
    <w:rsid w:val="00FF7E39"/>
    <w:rsid w:val="02BA744E"/>
    <w:rsid w:val="1B07587E"/>
    <w:rsid w:val="1E020D15"/>
    <w:rsid w:val="205E7900"/>
    <w:rsid w:val="3A0720B2"/>
    <w:rsid w:val="4B361E18"/>
    <w:rsid w:val="5862191C"/>
    <w:rsid w:val="636A11FE"/>
    <w:rsid w:val="6EFE506F"/>
    <w:rsid w:val="708408B2"/>
    <w:rsid w:val="7D6E7A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7"/>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8"/>
    <w:qFormat/>
    <w:uiPriority w:val="0"/>
    <w:pPr>
      <w:keepNext/>
      <w:keepLines/>
      <w:spacing w:before="260" w:after="260" w:line="416" w:lineRule="auto"/>
      <w:outlineLvl w:val="2"/>
    </w:pPr>
    <w:rPr>
      <w:b/>
      <w:bCs/>
      <w:sz w:val="32"/>
      <w:szCs w:val="32"/>
    </w:rPr>
  </w:style>
  <w:style w:type="paragraph" w:styleId="5">
    <w:name w:val="heading 4"/>
    <w:basedOn w:val="1"/>
    <w:next w:val="1"/>
    <w:link w:val="39"/>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0"/>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1"/>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2"/>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3"/>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4"/>
    <w:qFormat/>
    <w:uiPriority w:val="0"/>
    <w:pPr>
      <w:keepNext/>
      <w:keepLines/>
      <w:adjustRightInd/>
      <w:spacing w:before="240" w:after="64" w:line="320" w:lineRule="auto"/>
      <w:outlineLvl w:val="8"/>
    </w:pPr>
    <w:rPr>
      <w:rFonts w:ascii="Arial" w:hAnsi="Arial" w:eastAsia="黑体"/>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caption"/>
    <w:basedOn w:val="1"/>
    <w:next w:val="1"/>
    <w:qFormat/>
    <w:uiPriority w:val="99"/>
    <w:pPr>
      <w:adjustRightInd/>
      <w:spacing w:before="152" w:after="160" w:line="240" w:lineRule="auto"/>
    </w:pPr>
    <w:rPr>
      <w:rFonts w:ascii="Arial" w:hAnsi="Arial" w:eastAsia="黑体" w:cs="Arial"/>
      <w:sz w:val="20"/>
      <w:szCs w:val="20"/>
    </w:rPr>
  </w:style>
  <w:style w:type="paragraph" w:styleId="14">
    <w:name w:val="Body Text"/>
    <w:basedOn w:val="1"/>
    <w:link w:val="88"/>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47"/>
    <w:semiHidden/>
    <w:unhideWhenUsed/>
    <w:uiPriority w:val="99"/>
    <w:rPr>
      <w:sz w:val="18"/>
      <w:szCs w:val="18"/>
    </w:rPr>
  </w:style>
  <w:style w:type="paragraph" w:styleId="18">
    <w:name w:val="footer"/>
    <w:basedOn w:val="1"/>
    <w:link w:val="46"/>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5"/>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1"/>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unhideWhenUsed/>
    <w:qFormat/>
    <w:uiPriority w:val="39"/>
    <w:pPr>
      <w:tabs>
        <w:tab w:val="right" w:leader="dot" w:pos="9344"/>
      </w:tabs>
      <w:spacing w:line="300" w:lineRule="exact"/>
      <w:ind w:left="210"/>
    </w:pPr>
    <w:rPr>
      <w:rFonts w:ascii="宋体"/>
    </w:rPr>
  </w:style>
  <w:style w:type="paragraph" w:styleId="26">
    <w:name w:val="Normal (Web)"/>
    <w:basedOn w:val="1"/>
    <w:semiHidden/>
    <w:unhideWhenUsed/>
    <w:qFormat/>
    <w:uiPriority w:val="99"/>
    <w:pPr>
      <w:widowControl/>
      <w:adjustRightInd/>
      <w:spacing w:before="100" w:beforeAutospacing="1" w:after="100" w:afterAutospacing="1" w:line="240" w:lineRule="auto"/>
      <w:ind w:firstLine="480"/>
      <w:jc w:val="left"/>
    </w:pPr>
    <w:rPr>
      <w:rFonts w:ascii="宋体" w:hAnsi="宋体" w:cs="宋体"/>
      <w:kern w:val="0"/>
      <w:sz w:val="32"/>
      <w:szCs w:val="32"/>
    </w:rPr>
  </w:style>
  <w:style w:type="paragraph" w:styleId="27">
    <w:name w:val="Title"/>
    <w:basedOn w:val="1"/>
    <w:link w:val="50"/>
    <w:qFormat/>
    <w:uiPriority w:val="0"/>
    <w:pPr>
      <w:spacing w:before="240" w:after="60"/>
      <w:jc w:val="center"/>
      <w:outlineLvl w:val="0"/>
    </w:pPr>
    <w:rPr>
      <w:rFonts w:ascii="Arial" w:hAnsi="Arial" w:cs="Arial"/>
      <w:b/>
      <w:bCs/>
      <w:sz w:val="32"/>
      <w:szCs w:val="32"/>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22"/>
    <w:rPr>
      <w:b/>
      <w:bCs/>
    </w:rPr>
  </w:style>
  <w:style w:type="character" w:styleId="32">
    <w:name w:val="page number"/>
    <w:qFormat/>
    <w:uiPriority w:val="0"/>
    <w:rPr>
      <w:rFonts w:ascii="宋体" w:hAnsi="Times New Roman" w:eastAsia="宋体"/>
      <w:sz w:val="18"/>
    </w:rPr>
  </w:style>
  <w:style w:type="character" w:styleId="33">
    <w:name w:val="Emphasis"/>
    <w:qFormat/>
    <w:uiPriority w:val="20"/>
    <w:rPr>
      <w:i/>
      <w:iCs/>
    </w:rPr>
  </w:style>
  <w:style w:type="character" w:styleId="34">
    <w:name w:val="Hyperlink"/>
    <w:qFormat/>
    <w:uiPriority w:val="99"/>
    <w:rPr>
      <w:rFonts w:ascii="宋体" w:hAnsi="Times New Roman" w:eastAsia="宋体"/>
      <w:color w:val="auto"/>
      <w:spacing w:val="0"/>
      <w:w w:val="100"/>
      <w:position w:val="0"/>
      <w:sz w:val="21"/>
      <w:u w:val="none"/>
      <w:vertAlign w:val="baseline"/>
    </w:rPr>
  </w:style>
  <w:style w:type="character" w:styleId="35">
    <w:name w:val="footnote reference"/>
    <w:semiHidden/>
    <w:qFormat/>
    <w:uiPriority w:val="0"/>
    <w:rPr>
      <w:rFonts w:ascii="宋体" w:hAnsi="宋体" w:eastAsia="宋体" w:cs="Times New Roman"/>
      <w:spacing w:val="0"/>
      <w:sz w:val="18"/>
      <w:vertAlign w:val="superscript"/>
    </w:rPr>
  </w:style>
  <w:style w:type="character" w:customStyle="1" w:styleId="36">
    <w:name w:val="标题 1 字符"/>
    <w:link w:val="2"/>
    <w:qFormat/>
    <w:uiPriority w:val="0"/>
    <w:rPr>
      <w:rFonts w:ascii="Times New Roman" w:hAnsi="Times New Roman" w:eastAsia="宋体" w:cs="Times New Roman"/>
      <w:b/>
      <w:bCs/>
      <w:kern w:val="44"/>
      <w:sz w:val="44"/>
      <w:szCs w:val="44"/>
    </w:rPr>
  </w:style>
  <w:style w:type="character" w:customStyle="1" w:styleId="37">
    <w:name w:val="标题 2 字符"/>
    <w:link w:val="3"/>
    <w:qFormat/>
    <w:uiPriority w:val="0"/>
    <w:rPr>
      <w:rFonts w:ascii="Arial" w:hAnsi="Arial" w:eastAsia="黑体" w:cs="Times New Roman"/>
      <w:b/>
      <w:bCs/>
      <w:sz w:val="32"/>
      <w:szCs w:val="32"/>
    </w:rPr>
  </w:style>
  <w:style w:type="character" w:customStyle="1" w:styleId="38">
    <w:name w:val="标题 3 字符"/>
    <w:link w:val="4"/>
    <w:qFormat/>
    <w:uiPriority w:val="0"/>
    <w:rPr>
      <w:rFonts w:ascii="Times New Roman" w:hAnsi="Times New Roman" w:eastAsia="宋体" w:cs="Times New Roman"/>
      <w:b/>
      <w:bCs/>
      <w:sz w:val="32"/>
      <w:szCs w:val="32"/>
    </w:rPr>
  </w:style>
  <w:style w:type="character" w:customStyle="1" w:styleId="39">
    <w:name w:val="标题 4 字符"/>
    <w:link w:val="5"/>
    <w:qFormat/>
    <w:uiPriority w:val="9"/>
    <w:rPr>
      <w:rFonts w:ascii="Arial" w:hAnsi="Arial" w:eastAsia="黑体" w:cs="Times New Roman"/>
      <w:b/>
      <w:bCs/>
      <w:sz w:val="28"/>
      <w:szCs w:val="28"/>
    </w:rPr>
  </w:style>
  <w:style w:type="character" w:customStyle="1" w:styleId="40">
    <w:name w:val="标题 5 字符"/>
    <w:link w:val="6"/>
    <w:qFormat/>
    <w:uiPriority w:val="0"/>
    <w:rPr>
      <w:rFonts w:ascii="Times New Roman" w:hAnsi="Times New Roman" w:eastAsia="宋体" w:cs="Times New Roman"/>
      <w:b/>
      <w:bCs/>
      <w:sz w:val="28"/>
      <w:szCs w:val="28"/>
    </w:rPr>
  </w:style>
  <w:style w:type="character" w:customStyle="1" w:styleId="41">
    <w:name w:val="标题 6 字符"/>
    <w:link w:val="7"/>
    <w:qFormat/>
    <w:uiPriority w:val="0"/>
    <w:rPr>
      <w:rFonts w:ascii="Arial" w:hAnsi="Arial" w:eastAsia="黑体" w:cs="Times New Roman"/>
      <w:b/>
      <w:bCs/>
      <w:sz w:val="24"/>
      <w:szCs w:val="24"/>
    </w:rPr>
  </w:style>
  <w:style w:type="character" w:customStyle="1" w:styleId="42">
    <w:name w:val="标题 7 字符"/>
    <w:link w:val="8"/>
    <w:qFormat/>
    <w:uiPriority w:val="0"/>
    <w:rPr>
      <w:rFonts w:ascii="Times New Roman" w:hAnsi="Times New Roman" w:eastAsia="宋体" w:cs="Times New Roman"/>
      <w:b/>
      <w:bCs/>
      <w:sz w:val="24"/>
      <w:szCs w:val="24"/>
    </w:rPr>
  </w:style>
  <w:style w:type="character" w:customStyle="1" w:styleId="43">
    <w:name w:val="标题 8 字符"/>
    <w:link w:val="9"/>
    <w:qFormat/>
    <w:uiPriority w:val="0"/>
    <w:rPr>
      <w:rFonts w:ascii="Arial" w:hAnsi="Arial" w:eastAsia="黑体" w:cs="Times New Roman"/>
      <w:sz w:val="24"/>
      <w:szCs w:val="24"/>
    </w:rPr>
  </w:style>
  <w:style w:type="character" w:customStyle="1" w:styleId="44">
    <w:name w:val="标题 9 字符"/>
    <w:link w:val="10"/>
    <w:qFormat/>
    <w:uiPriority w:val="0"/>
    <w:rPr>
      <w:rFonts w:ascii="Arial" w:hAnsi="Arial" w:eastAsia="黑体" w:cs="Times New Roman"/>
      <w:szCs w:val="21"/>
    </w:rPr>
  </w:style>
  <w:style w:type="character" w:customStyle="1" w:styleId="45">
    <w:name w:val="页眉 字符"/>
    <w:link w:val="19"/>
    <w:qFormat/>
    <w:uiPriority w:val="99"/>
    <w:rPr>
      <w:rFonts w:ascii="Times New Roman" w:hAnsi="Times New Roman" w:eastAsia="宋体" w:cs="Times New Roman"/>
      <w:sz w:val="18"/>
      <w:szCs w:val="18"/>
    </w:rPr>
  </w:style>
  <w:style w:type="character" w:customStyle="1" w:styleId="46">
    <w:name w:val="页脚 字符"/>
    <w:link w:val="18"/>
    <w:qFormat/>
    <w:uiPriority w:val="99"/>
    <w:rPr>
      <w:rFonts w:ascii="宋体" w:hAnsi="Times New Roman" w:eastAsia="宋体" w:cs="Times New Roman"/>
      <w:sz w:val="18"/>
      <w:szCs w:val="18"/>
    </w:rPr>
  </w:style>
  <w:style w:type="character" w:customStyle="1" w:styleId="47">
    <w:name w:val="批注框文本 字符"/>
    <w:link w:val="17"/>
    <w:semiHidden/>
    <w:qFormat/>
    <w:uiPriority w:val="99"/>
    <w:rPr>
      <w:sz w:val="18"/>
      <w:szCs w:val="18"/>
    </w:rPr>
  </w:style>
  <w:style w:type="paragraph" w:styleId="48">
    <w:name w:val="Quote"/>
    <w:basedOn w:val="1"/>
    <w:next w:val="1"/>
    <w:link w:val="49"/>
    <w:qFormat/>
    <w:uiPriority w:val="29"/>
    <w:rPr>
      <w:i/>
      <w:iCs/>
      <w:color w:val="000000"/>
    </w:rPr>
  </w:style>
  <w:style w:type="character" w:customStyle="1" w:styleId="49">
    <w:name w:val="引用 字符"/>
    <w:link w:val="48"/>
    <w:qFormat/>
    <w:uiPriority w:val="29"/>
    <w:rPr>
      <w:i/>
      <w:iCs/>
      <w:color w:val="000000"/>
    </w:rPr>
  </w:style>
  <w:style w:type="character" w:customStyle="1" w:styleId="50">
    <w:name w:val="标题 字符"/>
    <w:link w:val="27"/>
    <w:qFormat/>
    <w:uiPriority w:val="0"/>
    <w:rPr>
      <w:rFonts w:ascii="Arial" w:hAnsi="Arial" w:eastAsia="宋体" w:cs="Arial"/>
      <w:b/>
      <w:bCs/>
      <w:sz w:val="32"/>
      <w:szCs w:val="32"/>
    </w:rPr>
  </w:style>
  <w:style w:type="paragraph" w:customStyle="1" w:styleId="51">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2">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3">
    <w:name w:val="标准文件_页脚偶数页"/>
    <w:qFormat/>
    <w:uiPriority w:val="0"/>
    <w:pPr>
      <w:ind w:left="227"/>
    </w:pPr>
    <w:rPr>
      <w:rFonts w:ascii="宋体" w:hAnsi="Times New Roman" w:eastAsia="宋体" w:cs="Times New Roman"/>
      <w:sz w:val="18"/>
      <w:lang w:val="en-US" w:eastAsia="zh-CN" w:bidi="ar-SA"/>
    </w:rPr>
  </w:style>
  <w:style w:type="paragraph" w:customStyle="1" w:styleId="54">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5">
    <w:name w:val="标准书眉一"/>
    <w:qFormat/>
    <w:uiPriority w:val="0"/>
    <w:pPr>
      <w:jc w:val="both"/>
    </w:pPr>
    <w:rPr>
      <w:rFonts w:ascii="Times New Roman" w:hAnsi="Times New Roman" w:eastAsia="宋体" w:cs="Times New Roman"/>
      <w:lang w:val="en-US" w:eastAsia="zh-CN" w:bidi="ar-SA"/>
    </w:rPr>
  </w:style>
  <w:style w:type="paragraph" w:customStyle="1" w:styleId="56">
    <w:name w:val="标准文件_ICS"/>
    <w:basedOn w:val="1"/>
    <w:qFormat/>
    <w:uiPriority w:val="0"/>
    <w:pPr>
      <w:spacing w:line="0" w:lineRule="atLeast"/>
    </w:pPr>
    <w:rPr>
      <w:rFonts w:ascii="黑体" w:hAnsi="宋体" w:eastAsia="黑体"/>
    </w:rPr>
  </w:style>
  <w:style w:type="paragraph" w:customStyle="1" w:styleId="57">
    <w:name w:val="标准文件_标准正文"/>
    <w:basedOn w:val="1"/>
    <w:next w:val="58"/>
    <w:qFormat/>
    <w:uiPriority w:val="0"/>
    <w:pPr>
      <w:snapToGrid w:val="0"/>
      <w:ind w:firstLine="200" w:firstLineChars="200"/>
    </w:pPr>
    <w:rPr>
      <w:kern w:val="0"/>
    </w:rPr>
  </w:style>
  <w:style w:type="paragraph" w:customStyle="1" w:styleId="58">
    <w:name w:val="标准文件_段"/>
    <w:link w:val="186"/>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标准文件_版本"/>
    <w:basedOn w:val="57"/>
    <w:qFormat/>
    <w:uiPriority w:val="0"/>
    <w:pPr>
      <w:adjustRightInd/>
      <w:snapToGrid/>
      <w:ind w:firstLine="0" w:firstLineChars="0"/>
    </w:pPr>
    <w:rPr>
      <w:rFonts w:ascii="宋体" w:hAnsi="宋体"/>
      <w:kern w:val="2"/>
    </w:rPr>
  </w:style>
  <w:style w:type="paragraph" w:customStyle="1" w:styleId="60">
    <w:name w:val="标准文件_标准部门"/>
    <w:basedOn w:val="1"/>
    <w:qFormat/>
    <w:uiPriority w:val="0"/>
    <w:pPr>
      <w:jc w:val="center"/>
    </w:pPr>
    <w:rPr>
      <w:rFonts w:ascii="黑体" w:eastAsia="黑体"/>
      <w:kern w:val="0"/>
      <w:sz w:val="44"/>
    </w:rPr>
  </w:style>
  <w:style w:type="paragraph" w:customStyle="1" w:styleId="61">
    <w:name w:val="标准文件_标准代替"/>
    <w:basedOn w:val="1"/>
    <w:next w:val="1"/>
    <w:qFormat/>
    <w:uiPriority w:val="0"/>
    <w:pPr>
      <w:spacing w:line="310" w:lineRule="exact"/>
      <w:jc w:val="right"/>
    </w:pPr>
    <w:rPr>
      <w:rFonts w:ascii="宋体" w:hAnsi="宋体"/>
      <w:kern w:val="0"/>
    </w:rPr>
  </w:style>
  <w:style w:type="paragraph" w:customStyle="1" w:styleId="62">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3">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4">
    <w:name w:val="标准文件_页眉偶数页"/>
    <w:basedOn w:val="63"/>
    <w:next w:val="1"/>
    <w:qFormat/>
    <w:uiPriority w:val="0"/>
    <w:pPr>
      <w:jc w:val="left"/>
    </w:pPr>
  </w:style>
  <w:style w:type="paragraph" w:customStyle="1" w:styleId="65">
    <w:name w:val="标准文件_参考文献标题"/>
    <w:basedOn w:val="1"/>
    <w:next w:val="1"/>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66">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7">
    <w:name w:val="标准文件_二级条标题"/>
    <w:next w:val="58"/>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8">
    <w:name w:val="标准文件_发布"/>
    <w:qFormat/>
    <w:uiPriority w:val="0"/>
    <w:rPr>
      <w:rFonts w:ascii="黑体" w:eastAsia="黑体"/>
      <w:spacing w:val="0"/>
      <w:w w:val="100"/>
      <w:position w:val="3"/>
      <w:sz w:val="28"/>
    </w:rPr>
  </w:style>
  <w:style w:type="paragraph" w:customStyle="1" w:styleId="69">
    <w:name w:val="标准文件_方框数字列项"/>
    <w:basedOn w:val="58"/>
    <w:qFormat/>
    <w:uiPriority w:val="0"/>
    <w:pPr>
      <w:numPr>
        <w:ilvl w:val="0"/>
        <w:numId w:val="3"/>
      </w:numPr>
      <w:ind w:firstLine="0" w:firstLineChars="0"/>
    </w:pPr>
  </w:style>
  <w:style w:type="paragraph" w:customStyle="1" w:styleId="70">
    <w:name w:val="标准文件_封面标准编号"/>
    <w:basedOn w:val="1"/>
    <w:next w:val="61"/>
    <w:qFormat/>
    <w:uiPriority w:val="0"/>
    <w:pPr>
      <w:spacing w:line="310" w:lineRule="exact"/>
      <w:jc w:val="right"/>
    </w:pPr>
    <w:rPr>
      <w:rFonts w:ascii="黑体" w:eastAsia="黑体"/>
      <w:kern w:val="0"/>
      <w:sz w:val="28"/>
    </w:rPr>
  </w:style>
  <w:style w:type="paragraph" w:customStyle="1" w:styleId="71">
    <w:name w:val="标准文件_封面标准分类号"/>
    <w:basedOn w:val="1"/>
    <w:qFormat/>
    <w:uiPriority w:val="0"/>
    <w:rPr>
      <w:rFonts w:ascii="黑体" w:eastAsia="黑体"/>
      <w:b/>
      <w:kern w:val="0"/>
      <w:sz w:val="28"/>
    </w:rPr>
  </w:style>
  <w:style w:type="paragraph" w:customStyle="1" w:styleId="72">
    <w:name w:val="标准文件_封面标准名称"/>
    <w:basedOn w:val="1"/>
    <w:qFormat/>
    <w:uiPriority w:val="0"/>
    <w:pPr>
      <w:spacing w:line="240" w:lineRule="auto"/>
      <w:jc w:val="center"/>
    </w:pPr>
    <w:rPr>
      <w:rFonts w:ascii="黑体" w:eastAsia="黑体"/>
      <w:kern w:val="0"/>
      <w:sz w:val="52"/>
    </w:rPr>
  </w:style>
  <w:style w:type="paragraph" w:customStyle="1" w:styleId="73">
    <w:name w:val="标准文件_封面标准英文名称"/>
    <w:basedOn w:val="1"/>
    <w:qFormat/>
    <w:uiPriority w:val="0"/>
    <w:pPr>
      <w:spacing w:line="240" w:lineRule="auto"/>
      <w:jc w:val="center"/>
    </w:pPr>
    <w:rPr>
      <w:rFonts w:ascii="黑体" w:eastAsia="黑体"/>
      <w:b/>
      <w:sz w:val="28"/>
    </w:rPr>
  </w:style>
  <w:style w:type="paragraph" w:customStyle="1" w:styleId="74">
    <w:name w:val="标准文件_封面发布日期"/>
    <w:basedOn w:val="1"/>
    <w:qFormat/>
    <w:uiPriority w:val="0"/>
    <w:pPr>
      <w:spacing w:line="310" w:lineRule="exact"/>
    </w:pPr>
    <w:rPr>
      <w:rFonts w:ascii="黑体" w:eastAsia="黑体"/>
      <w:kern w:val="0"/>
      <w:sz w:val="28"/>
    </w:rPr>
  </w:style>
  <w:style w:type="paragraph" w:customStyle="1" w:styleId="75">
    <w:name w:val="标准文件_封面密级"/>
    <w:basedOn w:val="1"/>
    <w:qFormat/>
    <w:uiPriority w:val="0"/>
    <w:rPr>
      <w:rFonts w:eastAsia="黑体"/>
      <w:sz w:val="32"/>
    </w:rPr>
  </w:style>
  <w:style w:type="paragraph" w:customStyle="1" w:styleId="76">
    <w:name w:val="标准文件_封面实施日期"/>
    <w:basedOn w:val="1"/>
    <w:qFormat/>
    <w:uiPriority w:val="0"/>
    <w:pPr>
      <w:spacing w:line="310" w:lineRule="exact"/>
      <w:jc w:val="right"/>
    </w:pPr>
    <w:rPr>
      <w:rFonts w:ascii="黑体" w:eastAsia="黑体"/>
      <w:sz w:val="28"/>
    </w:rPr>
  </w:style>
  <w:style w:type="paragraph" w:customStyle="1" w:styleId="77">
    <w:name w:val="标准文件_封面抬头"/>
    <w:basedOn w:val="58"/>
    <w:qFormat/>
    <w:uiPriority w:val="0"/>
    <w:pPr>
      <w:adjustRightInd w:val="0"/>
      <w:spacing w:line="800" w:lineRule="exact"/>
      <w:ind w:firstLine="0" w:firstLineChars="0"/>
      <w:jc w:val="distribute"/>
    </w:pPr>
    <w:rPr>
      <w:rFonts w:ascii="黑体" w:eastAsia="黑体"/>
      <w:b/>
      <w:sz w:val="64"/>
    </w:rPr>
  </w:style>
  <w:style w:type="paragraph" w:customStyle="1" w:styleId="78">
    <w:name w:val="标准文件_附录标识"/>
    <w:next w:val="58"/>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79">
    <w:name w:val="标准文件_附录表标题"/>
    <w:next w:val="58"/>
    <w:qFormat/>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0">
    <w:name w:val="标准文件_附录一级条标题"/>
    <w:next w:val="58"/>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1">
    <w:name w:val="标准文件_附录二级条标题"/>
    <w:basedOn w:val="80"/>
    <w:next w:val="58"/>
    <w:qFormat/>
    <w:uiPriority w:val="0"/>
    <w:pPr>
      <w:widowControl/>
      <w:numPr>
        <w:ilvl w:val="2"/>
      </w:numPr>
      <w:wordWrap w:val="0"/>
      <w:overflowPunct w:val="0"/>
      <w:autoSpaceDE w:val="0"/>
      <w:autoSpaceDN w:val="0"/>
      <w:textAlignment w:val="baseline"/>
      <w:outlineLvl w:val="3"/>
    </w:pPr>
  </w:style>
  <w:style w:type="paragraph" w:customStyle="1" w:styleId="82">
    <w:name w:val="标准文件_附录公式"/>
    <w:basedOn w:val="57"/>
    <w:next w:val="57"/>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3">
    <w:name w:val="标准文件_附录三级条标题"/>
    <w:next w:val="58"/>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4">
    <w:name w:val="标准文件_附录四级条标题"/>
    <w:next w:val="58"/>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5">
    <w:name w:val="标准文件_附录图标题"/>
    <w:next w:val="58"/>
    <w:qFormat/>
    <w:uiPriority w:val="0"/>
    <w:pPr>
      <w:numPr>
        <w:ilvl w:val="1"/>
        <w:numId w:val="6"/>
      </w:numPr>
      <w:adjustRightInd w:val="0"/>
      <w:snapToGrid w:val="0"/>
      <w:spacing w:before="50" w:beforeLines="50" w:after="50" w:afterLines="50"/>
      <w:ind w:left="0" w:firstLine="420"/>
      <w:jc w:val="center"/>
    </w:pPr>
    <w:rPr>
      <w:rFonts w:ascii="黑体" w:hAnsi="Times New Roman" w:eastAsia="黑体" w:cs="Times New Roman"/>
      <w:sz w:val="21"/>
      <w:lang w:val="en-US" w:eastAsia="zh-CN" w:bidi="ar-SA"/>
    </w:rPr>
  </w:style>
  <w:style w:type="paragraph" w:customStyle="1" w:styleId="86">
    <w:name w:val="标准文件_附录五级条标题"/>
    <w:next w:val="58"/>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7">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8">
    <w:name w:val="正文文本 字符"/>
    <w:link w:val="14"/>
    <w:qFormat/>
    <w:uiPriority w:val="0"/>
    <w:rPr>
      <w:rFonts w:ascii="Times New Roman" w:hAnsi="Times New Roman" w:eastAsia="宋体" w:cs="Times New Roman"/>
      <w:szCs w:val="20"/>
    </w:rPr>
  </w:style>
  <w:style w:type="paragraph" w:customStyle="1" w:styleId="89">
    <w:name w:val="标准文件_附录章标题"/>
    <w:next w:val="58"/>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0">
    <w:name w:val="标准文件_公式后的破折号"/>
    <w:basedOn w:val="58"/>
    <w:next w:val="58"/>
    <w:qFormat/>
    <w:uiPriority w:val="0"/>
    <w:pPr>
      <w:ind w:left="488" w:leftChars="200" w:hanging="289" w:hangingChars="290"/>
    </w:pPr>
  </w:style>
  <w:style w:type="paragraph" w:customStyle="1" w:styleId="91">
    <w:name w:val="标准文件_前言、引言标题"/>
    <w:next w:val="1"/>
    <w:qFormat/>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2">
    <w:name w:val="标准文件_目次、标准名称标题"/>
    <w:basedOn w:val="91"/>
    <w:next w:val="58"/>
    <w:qFormat/>
    <w:uiPriority w:val="0"/>
    <w:pPr>
      <w:spacing w:line="460" w:lineRule="exact"/>
    </w:pPr>
  </w:style>
  <w:style w:type="paragraph" w:customStyle="1" w:styleId="93">
    <w:name w:val="标准文件_目录标题"/>
    <w:basedOn w:val="1"/>
    <w:qFormat/>
    <w:uiPriority w:val="0"/>
    <w:pPr>
      <w:spacing w:after="150" w:afterLines="150" w:line="240" w:lineRule="auto"/>
      <w:jc w:val="center"/>
    </w:pPr>
    <w:rPr>
      <w:rFonts w:ascii="黑体" w:eastAsia="黑体"/>
      <w:sz w:val="32"/>
    </w:rPr>
  </w:style>
  <w:style w:type="paragraph" w:customStyle="1" w:styleId="94">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5">
    <w:name w:val="标准文件_破折号列项（二级）"/>
    <w:basedOn w:val="94"/>
    <w:qFormat/>
    <w:uiPriority w:val="0"/>
    <w:pPr>
      <w:numPr>
        <w:numId w:val="10"/>
      </w:numPr>
      <w:ind w:left="0" w:firstLine="200"/>
    </w:pPr>
  </w:style>
  <w:style w:type="paragraph" w:customStyle="1" w:styleId="96">
    <w:name w:val="标准文件_三级条标题"/>
    <w:basedOn w:val="67"/>
    <w:next w:val="58"/>
    <w:qFormat/>
    <w:uiPriority w:val="0"/>
    <w:pPr>
      <w:widowControl/>
      <w:numPr>
        <w:ilvl w:val="4"/>
      </w:numPr>
      <w:outlineLvl w:val="3"/>
    </w:pPr>
  </w:style>
  <w:style w:type="character" w:customStyle="1" w:styleId="97">
    <w:name w:val="不明显参考1"/>
    <w:qFormat/>
    <w:uiPriority w:val="31"/>
    <w:rPr>
      <w:smallCaps/>
      <w:color w:val="C0504D"/>
      <w:u w:val="single"/>
    </w:rPr>
  </w:style>
  <w:style w:type="paragraph" w:customStyle="1" w:styleId="98">
    <w:name w:val="标准文件_示例后续"/>
    <w:basedOn w:val="1"/>
    <w:qFormat/>
    <w:uiPriority w:val="0"/>
    <w:pPr>
      <w:adjustRightInd/>
      <w:spacing w:line="240" w:lineRule="auto"/>
      <w:ind w:firstLine="200" w:firstLineChars="200"/>
    </w:pPr>
    <w:rPr>
      <w:sz w:val="18"/>
      <w:szCs w:val="24"/>
    </w:rPr>
  </w:style>
  <w:style w:type="paragraph" w:customStyle="1" w:styleId="99">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0">
    <w:name w:val="标准文件_四级条标题"/>
    <w:next w:val="58"/>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1">
    <w:name w:val="脚注文本 字符"/>
    <w:link w:val="22"/>
    <w:semiHidden/>
    <w:qFormat/>
    <w:uiPriority w:val="0"/>
    <w:rPr>
      <w:rFonts w:ascii="宋体" w:hAnsi="Times New Roman" w:eastAsia="宋体" w:cs="Times New Roman"/>
      <w:sz w:val="18"/>
      <w:szCs w:val="18"/>
    </w:rPr>
  </w:style>
  <w:style w:type="paragraph" w:customStyle="1" w:styleId="102">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3">
    <w:name w:val="标准文件_图表脚注"/>
    <w:basedOn w:val="1"/>
    <w:next w:val="58"/>
    <w:qFormat/>
    <w:uiPriority w:val="0"/>
    <w:pPr>
      <w:numPr>
        <w:ilvl w:val="0"/>
        <w:numId w:val="12"/>
      </w:numPr>
      <w:spacing w:line="240" w:lineRule="auto"/>
      <w:jc w:val="left"/>
    </w:pPr>
    <w:rPr>
      <w:rFonts w:ascii="宋体" w:hAnsi="宋体"/>
      <w:sz w:val="18"/>
    </w:rPr>
  </w:style>
  <w:style w:type="character" w:customStyle="1" w:styleId="104">
    <w:name w:val="标准文件_图表脚注内容"/>
    <w:qFormat/>
    <w:uiPriority w:val="0"/>
    <w:rPr>
      <w:rFonts w:ascii="宋体" w:hAnsi="宋体" w:eastAsia="宋体" w:cs="Times New Roman"/>
      <w:spacing w:val="0"/>
      <w:sz w:val="18"/>
      <w:vertAlign w:val="superscript"/>
    </w:rPr>
  </w:style>
  <w:style w:type="paragraph" w:customStyle="1" w:styleId="105">
    <w:name w:val="标准文件_五级条标题"/>
    <w:next w:val="58"/>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6">
    <w:name w:val="标准文件_章标题"/>
    <w:next w:val="58"/>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7">
    <w:name w:val="标准文件_一级条标题"/>
    <w:basedOn w:val="106"/>
    <w:next w:val="58"/>
    <w:qFormat/>
    <w:uiPriority w:val="0"/>
    <w:pPr>
      <w:numPr>
        <w:ilvl w:val="2"/>
      </w:numPr>
      <w:spacing w:before="50" w:beforeLines="50" w:after="50" w:afterLines="50"/>
      <w:outlineLvl w:val="1"/>
    </w:pPr>
  </w:style>
  <w:style w:type="paragraph" w:customStyle="1" w:styleId="108">
    <w:name w:val="标准文件_一致程度"/>
    <w:basedOn w:val="1"/>
    <w:qFormat/>
    <w:uiPriority w:val="0"/>
    <w:pPr>
      <w:spacing w:line="440" w:lineRule="exact"/>
      <w:jc w:val="center"/>
    </w:pPr>
    <w:rPr>
      <w:sz w:val="28"/>
    </w:rPr>
  </w:style>
  <w:style w:type="paragraph" w:customStyle="1" w:styleId="109">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0">
    <w:name w:val="标准文件_英文图表脚注"/>
    <w:basedOn w:val="57"/>
    <w:qFormat/>
    <w:uiPriority w:val="0"/>
    <w:pPr>
      <w:widowControl/>
      <w:adjustRightInd/>
      <w:snapToGrid/>
      <w:spacing w:line="240" w:lineRule="auto"/>
      <w:ind w:left="79" w:hanging="79" w:hangingChars="80"/>
    </w:pPr>
    <w:rPr>
      <w:rFonts w:ascii="宋体" w:hAnsi="宋体"/>
    </w:rPr>
  </w:style>
  <w:style w:type="paragraph" w:customStyle="1" w:styleId="111">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2">
    <w:name w:val="标准文件_英文注："/>
    <w:basedOn w:val="1"/>
    <w:next w:val="58"/>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3">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4">
    <w:name w:val="标准文件_正文表标题"/>
    <w:next w:val="58"/>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公式"/>
    <w:basedOn w:val="1"/>
    <w:next w:val="57"/>
    <w:qFormat/>
    <w:uiPriority w:val="0"/>
    <w:pPr>
      <w:tabs>
        <w:tab w:val="center" w:pos="4678"/>
        <w:tab w:val="right" w:leader="middleDot" w:pos="9356"/>
      </w:tabs>
      <w:spacing w:line="240" w:lineRule="auto"/>
    </w:pPr>
    <w:rPr>
      <w:rFonts w:ascii="宋体" w:hAnsi="宋体"/>
    </w:rPr>
  </w:style>
  <w:style w:type="paragraph" w:customStyle="1" w:styleId="116">
    <w:name w:val="标准文件_正文图标题"/>
    <w:next w:val="58"/>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7">
    <w:name w:val="标准文件_正文英文表标题"/>
    <w:next w:val="58"/>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8">
    <w:name w:val="标准文件_正文英文图标题"/>
    <w:next w:val="58"/>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9">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0">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1">
    <w:name w:val="发布部门"/>
    <w:next w:val="58"/>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2">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3">
    <w:name w:val="封面标准代替信息"/>
    <w:basedOn w:val="1"/>
    <w:qFormat/>
    <w:uiPriority w:val="0"/>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5">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6">
    <w:name w:val="封面标准文稿类别"/>
    <w:uiPriority w:val="0"/>
    <w:pPr>
      <w:spacing w:before="440" w:line="400" w:lineRule="exact"/>
      <w:jc w:val="center"/>
    </w:pPr>
    <w:rPr>
      <w:rFonts w:ascii="宋体" w:hAnsi="Times New Roman" w:eastAsia="宋体" w:cs="Times New Roman"/>
      <w:sz w:val="24"/>
      <w:lang w:val="en-US" w:eastAsia="zh-CN" w:bidi="ar-SA"/>
    </w:rPr>
  </w:style>
  <w:style w:type="paragraph" w:customStyle="1" w:styleId="127">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8">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9">
    <w:name w:val="封面正文"/>
    <w:qFormat/>
    <w:uiPriority w:val="0"/>
    <w:pPr>
      <w:jc w:val="both"/>
    </w:pPr>
    <w:rPr>
      <w:rFonts w:ascii="Times New Roman" w:hAnsi="Times New Roman" w:eastAsia="宋体" w:cs="Times New Roman"/>
      <w:lang w:val="en-US" w:eastAsia="zh-CN" w:bidi="ar-SA"/>
    </w:rPr>
  </w:style>
  <w:style w:type="paragraph" w:customStyle="1" w:styleId="130">
    <w:name w:val="附录二级无标题条"/>
    <w:basedOn w:val="1"/>
    <w:next w:val="58"/>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1">
    <w:name w:val="附录三级无标题条"/>
    <w:basedOn w:val="130"/>
    <w:next w:val="58"/>
    <w:qFormat/>
    <w:uiPriority w:val="0"/>
    <w:pPr>
      <w:outlineLvl w:val="4"/>
    </w:pPr>
  </w:style>
  <w:style w:type="paragraph" w:customStyle="1" w:styleId="132">
    <w:name w:val="附录四级无标题条"/>
    <w:basedOn w:val="131"/>
    <w:next w:val="58"/>
    <w:qFormat/>
    <w:uiPriority w:val="0"/>
    <w:pPr>
      <w:outlineLvl w:val="5"/>
    </w:pPr>
  </w:style>
  <w:style w:type="paragraph" w:customStyle="1" w:styleId="133">
    <w:name w:val="附录图"/>
    <w:next w:val="58"/>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4">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5">
    <w:name w:val="附录五级无标题条"/>
    <w:basedOn w:val="132"/>
    <w:next w:val="58"/>
    <w:qFormat/>
    <w:uiPriority w:val="0"/>
    <w:pPr>
      <w:outlineLvl w:val="6"/>
    </w:pPr>
  </w:style>
  <w:style w:type="paragraph" w:customStyle="1" w:styleId="136">
    <w:name w:val="附录性质"/>
    <w:basedOn w:val="1"/>
    <w:qFormat/>
    <w:uiPriority w:val="0"/>
    <w:pPr>
      <w:widowControl/>
      <w:adjustRightInd/>
      <w:jc w:val="center"/>
    </w:pPr>
    <w:rPr>
      <w:rFonts w:ascii="黑体" w:eastAsia="黑体"/>
    </w:rPr>
  </w:style>
  <w:style w:type="paragraph" w:customStyle="1" w:styleId="137">
    <w:name w:val="附录一级无标题条"/>
    <w:basedOn w:val="89"/>
    <w:next w:val="58"/>
    <w:qFormat/>
    <w:uiPriority w:val="0"/>
    <w:pPr>
      <w:autoSpaceDN w:val="0"/>
      <w:outlineLvl w:val="2"/>
    </w:pPr>
    <w:rPr>
      <w:rFonts w:ascii="宋体" w:hAnsi="宋体" w:eastAsia="宋体"/>
    </w:rPr>
  </w:style>
  <w:style w:type="character" w:customStyle="1" w:styleId="138">
    <w:name w:val="个人答复风格"/>
    <w:qFormat/>
    <w:uiPriority w:val="0"/>
    <w:rPr>
      <w:rFonts w:ascii="Arial" w:hAnsi="Arial" w:eastAsia="宋体" w:cs="Arial"/>
      <w:color w:val="auto"/>
      <w:spacing w:val="0"/>
      <w:sz w:val="20"/>
    </w:rPr>
  </w:style>
  <w:style w:type="character" w:customStyle="1" w:styleId="139">
    <w:name w:val="个人撰写风格"/>
    <w:qFormat/>
    <w:uiPriority w:val="0"/>
    <w:rPr>
      <w:rFonts w:ascii="Arial" w:hAnsi="Arial" w:eastAsia="宋体" w:cs="Arial"/>
      <w:color w:val="auto"/>
      <w:spacing w:val="0"/>
      <w:sz w:val="20"/>
    </w:rPr>
  </w:style>
  <w:style w:type="paragraph" w:customStyle="1" w:styleId="140">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1">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2">
    <w:name w:val="列项·"/>
    <w:basedOn w:val="58"/>
    <w:qFormat/>
    <w:uiPriority w:val="0"/>
    <w:pPr>
      <w:tabs>
        <w:tab w:val="left" w:pos="840"/>
      </w:tabs>
    </w:pPr>
  </w:style>
  <w:style w:type="paragraph" w:customStyle="1" w:styleId="14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4">
    <w:name w:val="目录 21"/>
    <w:basedOn w:val="1"/>
    <w:next w:val="1"/>
    <w:semiHidden/>
    <w:qFormat/>
    <w:uiPriority w:val="0"/>
    <w:pPr>
      <w:adjustRightInd/>
      <w:spacing w:line="240" w:lineRule="auto"/>
      <w:jc w:val="left"/>
    </w:pPr>
    <w:rPr>
      <w:bCs/>
      <w:iCs/>
    </w:rPr>
  </w:style>
  <w:style w:type="paragraph" w:customStyle="1" w:styleId="145">
    <w:name w:val="目录 31"/>
    <w:basedOn w:val="1"/>
    <w:next w:val="1"/>
    <w:semiHidden/>
    <w:qFormat/>
    <w:uiPriority w:val="0"/>
    <w:pPr>
      <w:spacing w:line="240" w:lineRule="auto"/>
    </w:pPr>
    <w:rPr>
      <w:rFonts w:ascii="宋体" w:hAnsi="宋体"/>
      <w:iCs/>
    </w:rPr>
  </w:style>
  <w:style w:type="paragraph" w:customStyle="1" w:styleId="146">
    <w:name w:val="目录 41"/>
    <w:basedOn w:val="1"/>
    <w:next w:val="1"/>
    <w:semiHidden/>
    <w:qFormat/>
    <w:uiPriority w:val="0"/>
    <w:pPr>
      <w:adjustRightInd/>
      <w:spacing w:line="240" w:lineRule="auto"/>
      <w:jc w:val="left"/>
    </w:pPr>
  </w:style>
  <w:style w:type="paragraph" w:customStyle="1" w:styleId="147">
    <w:name w:val="目录 51"/>
    <w:basedOn w:val="1"/>
    <w:next w:val="1"/>
    <w:semiHidden/>
    <w:qFormat/>
    <w:uiPriority w:val="0"/>
    <w:pPr>
      <w:spacing w:line="240" w:lineRule="auto"/>
    </w:pPr>
    <w:rPr>
      <w:rFonts w:ascii="宋体" w:hAnsi="宋体"/>
    </w:rPr>
  </w:style>
  <w:style w:type="paragraph" w:customStyle="1" w:styleId="148">
    <w:name w:val="目录 61"/>
    <w:basedOn w:val="1"/>
    <w:next w:val="1"/>
    <w:semiHidden/>
    <w:qFormat/>
    <w:uiPriority w:val="0"/>
    <w:pPr>
      <w:adjustRightInd/>
      <w:spacing w:line="240" w:lineRule="auto"/>
      <w:jc w:val="left"/>
    </w:pPr>
  </w:style>
  <w:style w:type="paragraph" w:customStyle="1" w:styleId="149">
    <w:name w:val="目录 71"/>
    <w:basedOn w:val="148"/>
    <w:semiHidden/>
    <w:qFormat/>
    <w:uiPriority w:val="0"/>
    <w:pPr>
      <w:ind w:left="1260"/>
    </w:pPr>
  </w:style>
  <w:style w:type="paragraph" w:customStyle="1" w:styleId="150">
    <w:name w:val="目录 81"/>
    <w:basedOn w:val="149"/>
    <w:semiHidden/>
    <w:qFormat/>
    <w:uiPriority w:val="0"/>
    <w:pPr>
      <w:ind w:left="1470"/>
    </w:pPr>
  </w:style>
  <w:style w:type="paragraph" w:customStyle="1" w:styleId="151">
    <w:name w:val="目录 91"/>
    <w:basedOn w:val="150"/>
    <w:semiHidden/>
    <w:qFormat/>
    <w:uiPriority w:val="0"/>
    <w:pPr>
      <w:ind w:left="1680"/>
    </w:pPr>
  </w:style>
  <w:style w:type="paragraph" w:customStyle="1" w:styleId="15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3">
    <w:name w:val="其他发布部门"/>
    <w:basedOn w:val="121"/>
    <w:qFormat/>
    <w:uiPriority w:val="0"/>
    <w:pPr>
      <w:framePr w:wrap="around"/>
      <w:spacing w:line="0" w:lineRule="atLeast"/>
    </w:pPr>
    <w:rPr>
      <w:rFonts w:ascii="黑体" w:eastAsia="黑体"/>
      <w:b w:val="0"/>
    </w:rPr>
  </w:style>
  <w:style w:type="paragraph" w:customStyle="1" w:styleId="154">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5">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6">
    <w:name w:val="实施日期"/>
    <w:basedOn w:val="122"/>
    <w:qFormat/>
    <w:uiPriority w:val="0"/>
    <w:pPr>
      <w:framePr w:hSpace="0" w:wrap="around" w:xAlign="right"/>
      <w:jc w:val="right"/>
    </w:pPr>
  </w:style>
  <w:style w:type="paragraph" w:customStyle="1" w:styleId="157">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9">
    <w:name w:val="无标题条"/>
    <w:next w:val="58"/>
    <w:qFormat/>
    <w:uiPriority w:val="0"/>
    <w:pPr>
      <w:jc w:val="both"/>
    </w:pPr>
    <w:rPr>
      <w:rFonts w:ascii="宋体" w:hAnsi="宋体" w:eastAsia="宋体" w:cs="Times New Roman"/>
      <w:sz w:val="21"/>
      <w:lang w:val="en-US" w:eastAsia="zh-CN" w:bidi="ar-SA"/>
    </w:rPr>
  </w:style>
  <w:style w:type="paragraph" w:customStyle="1" w:styleId="160">
    <w:name w:val="五级无标题条"/>
    <w:basedOn w:val="1"/>
    <w:qFormat/>
    <w:uiPriority w:val="0"/>
    <w:pPr>
      <w:numPr>
        <w:ilvl w:val="6"/>
        <w:numId w:val="20"/>
      </w:numPr>
      <w:adjustRightInd/>
    </w:pPr>
    <w:rPr>
      <w:szCs w:val="24"/>
    </w:rPr>
  </w:style>
  <w:style w:type="paragraph" w:customStyle="1" w:styleId="161">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2">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3">
    <w:name w:val="注×:后续"/>
    <w:basedOn w:val="162"/>
    <w:qFormat/>
    <w:uiPriority w:val="0"/>
    <w:pPr>
      <w:ind w:left="1406" w:leftChars="0" w:hanging="499" w:firstLineChars="0"/>
    </w:pPr>
  </w:style>
  <w:style w:type="paragraph" w:customStyle="1" w:styleId="164">
    <w:name w:val="标准文件_一级无标题"/>
    <w:basedOn w:val="107"/>
    <w:qFormat/>
    <w:uiPriority w:val="0"/>
    <w:pPr>
      <w:spacing w:before="0" w:beforeLines="0" w:after="0" w:afterLines="0"/>
      <w:outlineLvl w:val="9"/>
    </w:pPr>
    <w:rPr>
      <w:rFonts w:ascii="宋体" w:eastAsia="宋体"/>
    </w:rPr>
  </w:style>
  <w:style w:type="paragraph" w:customStyle="1" w:styleId="165">
    <w:name w:val="标准文件_五级无标题"/>
    <w:basedOn w:val="105"/>
    <w:qFormat/>
    <w:uiPriority w:val="0"/>
    <w:pPr>
      <w:spacing w:before="0" w:beforeLines="0" w:after="0" w:afterLines="0"/>
      <w:outlineLvl w:val="9"/>
    </w:pPr>
    <w:rPr>
      <w:rFonts w:ascii="宋体" w:eastAsia="宋体"/>
    </w:rPr>
  </w:style>
  <w:style w:type="paragraph" w:customStyle="1" w:styleId="166">
    <w:name w:val="标准文件_三级无标题"/>
    <w:basedOn w:val="96"/>
    <w:qFormat/>
    <w:uiPriority w:val="0"/>
    <w:pPr>
      <w:spacing w:before="0" w:beforeLines="0" w:after="0" w:afterLines="0"/>
      <w:outlineLvl w:val="9"/>
    </w:pPr>
    <w:rPr>
      <w:rFonts w:ascii="宋体" w:eastAsia="宋体"/>
    </w:rPr>
  </w:style>
  <w:style w:type="paragraph" w:customStyle="1" w:styleId="167">
    <w:name w:val="标准文件_二级无标题"/>
    <w:basedOn w:val="67"/>
    <w:qFormat/>
    <w:uiPriority w:val="0"/>
    <w:pPr>
      <w:spacing w:before="0" w:beforeLines="0" w:after="0" w:afterLines="0"/>
      <w:outlineLvl w:val="9"/>
    </w:pPr>
    <w:rPr>
      <w:rFonts w:ascii="宋体" w:eastAsia="宋体"/>
    </w:rPr>
  </w:style>
  <w:style w:type="paragraph" w:customStyle="1" w:styleId="168">
    <w:name w:val="标准_四级无标题"/>
    <w:basedOn w:val="100"/>
    <w:next w:val="58"/>
    <w:qFormat/>
    <w:uiPriority w:val="0"/>
    <w:rPr>
      <w:rFonts w:eastAsia="宋体"/>
    </w:rPr>
  </w:style>
  <w:style w:type="paragraph" w:customStyle="1" w:styleId="169">
    <w:name w:val="标准文件_四级无标题"/>
    <w:basedOn w:val="100"/>
    <w:qFormat/>
    <w:uiPriority w:val="0"/>
    <w:pPr>
      <w:spacing w:before="0" w:beforeLines="0" w:after="0" w:afterLines="0"/>
      <w:outlineLvl w:val="9"/>
    </w:pPr>
    <w:rPr>
      <w:rFonts w:ascii="宋体" w:hAnsi="黑体" w:eastAsia="宋体"/>
      <w:szCs w:val="52"/>
    </w:rPr>
  </w:style>
  <w:style w:type="paragraph" w:customStyle="1" w:styleId="170">
    <w:name w:val="标准文件_大写罗马数字编号列项"/>
    <w:basedOn w:val="58"/>
    <w:qFormat/>
    <w:uiPriority w:val="0"/>
    <w:pPr>
      <w:numPr>
        <w:ilvl w:val="0"/>
        <w:numId w:val="23"/>
      </w:numPr>
      <w:ind w:firstLine="0" w:firstLineChars="0"/>
    </w:pPr>
    <w:rPr>
      <w:rFonts w:ascii="Times New Roman" w:cs="Arial"/>
      <w:szCs w:val="28"/>
    </w:rPr>
  </w:style>
  <w:style w:type="paragraph" w:customStyle="1" w:styleId="171">
    <w:name w:val="标准文件_小写罗马数字编号列项"/>
    <w:basedOn w:val="58"/>
    <w:qFormat/>
    <w:uiPriority w:val="0"/>
    <w:pPr>
      <w:numPr>
        <w:ilvl w:val="0"/>
        <w:numId w:val="24"/>
      </w:numPr>
      <w:ind w:firstLine="0" w:firstLineChars="0"/>
    </w:pPr>
    <w:rPr>
      <w:rFonts w:cs="Arial"/>
      <w:szCs w:val="28"/>
    </w:rPr>
  </w:style>
  <w:style w:type="paragraph" w:customStyle="1" w:styleId="172">
    <w:name w:val="标准文件_附录标题"/>
    <w:basedOn w:val="78"/>
    <w:qFormat/>
    <w:uiPriority w:val="0"/>
    <w:pPr>
      <w:numPr>
        <w:numId w:val="0"/>
      </w:numPr>
      <w:spacing w:after="280"/>
      <w:outlineLvl w:val="9"/>
    </w:pPr>
  </w:style>
  <w:style w:type="paragraph" w:customStyle="1" w:styleId="173">
    <w:name w:val="标准文件_二级项"/>
    <w:qFormat/>
    <w:uiPriority w:val="0"/>
    <w:rPr>
      <w:rFonts w:ascii="宋体" w:hAnsi="Times New Roman" w:eastAsia="宋体" w:cs="Times New Roman"/>
      <w:sz w:val="21"/>
      <w:lang w:val="en-US" w:eastAsia="zh-CN" w:bidi="ar-SA"/>
    </w:rPr>
  </w:style>
  <w:style w:type="paragraph" w:customStyle="1" w:styleId="174">
    <w:name w:val="标准文件_三级项"/>
    <w:basedOn w:val="1"/>
    <w:qFormat/>
    <w:uiPriority w:val="0"/>
    <w:pPr>
      <w:numPr>
        <w:ilvl w:val="2"/>
        <w:numId w:val="21"/>
      </w:numPr>
      <w:spacing w:line="536870612" w:lineRule="auto"/>
    </w:pPr>
    <w:rPr>
      <w:rFonts w:ascii="Times New Roman" w:hAnsi="Times New Roman"/>
    </w:rPr>
  </w:style>
  <w:style w:type="paragraph" w:customStyle="1" w:styleId="175">
    <w:name w:val="图表脚注说明"/>
    <w:basedOn w:val="1"/>
    <w:next w:val="58"/>
    <w:qFormat/>
    <w:uiPriority w:val="0"/>
    <w:pPr>
      <w:numPr>
        <w:ilvl w:val="0"/>
        <w:numId w:val="25"/>
      </w:numPr>
      <w:adjustRightInd/>
      <w:spacing w:line="240" w:lineRule="auto"/>
      <w:ind w:left="783"/>
    </w:pPr>
    <w:rPr>
      <w:rFonts w:ascii="宋体" w:hAnsi="Times New Roman"/>
      <w:sz w:val="18"/>
      <w:szCs w:val="18"/>
    </w:rPr>
  </w:style>
  <w:style w:type="paragraph" w:customStyle="1" w:styleId="176">
    <w:name w:val="标准文件_字母编号列项（一级）"/>
    <w:qFormat/>
    <w:uiPriority w:val="0"/>
    <w:pPr>
      <w:jc w:val="both"/>
    </w:pPr>
    <w:rPr>
      <w:rFonts w:ascii="宋体" w:hAnsi="Times New Roman" w:eastAsia="宋体" w:cs="Times New Roman"/>
      <w:sz w:val="21"/>
      <w:lang w:val="en-US" w:eastAsia="zh-CN" w:bidi="ar-SA"/>
    </w:rPr>
  </w:style>
  <w:style w:type="paragraph" w:customStyle="1" w:styleId="177">
    <w:name w:val="标准文件_索引字母"/>
    <w:next w:val="58"/>
    <w:qFormat/>
    <w:uiPriority w:val="0"/>
    <w:pPr>
      <w:jc w:val="center"/>
    </w:pPr>
    <w:rPr>
      <w:rFonts w:ascii="宋体" w:hAnsi="宋体" w:eastAsia="Times New Roman" w:cs="Times New Roman"/>
      <w:b/>
      <w:kern w:val="2"/>
      <w:sz w:val="21"/>
      <w:lang w:val="en-US" w:eastAsia="zh-CN" w:bidi="ar-SA"/>
    </w:rPr>
  </w:style>
  <w:style w:type="paragraph" w:customStyle="1" w:styleId="178">
    <w:name w:val="标准文件_附录前"/>
    <w:next w:val="58"/>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9">
    <w:name w:val="标准文件_正文标准名称"/>
    <w:qFormat/>
    <w:uiPriority w:val="0"/>
    <w:pPr>
      <w:spacing w:before="20" w:beforeLines="20" w:after="640" w:line="400" w:lineRule="exact"/>
      <w:jc w:val="center"/>
    </w:pPr>
    <w:rPr>
      <w:rFonts w:ascii="黑体" w:hAnsi="黑体" w:eastAsia="黑体" w:cs="Times New Roman"/>
      <w:kern w:val="2"/>
      <w:sz w:val="32"/>
      <w:szCs w:val="32"/>
      <w:lang w:val="en-US" w:eastAsia="zh-CN" w:bidi="ar-SA"/>
    </w:rPr>
  </w:style>
  <w:style w:type="paragraph" w:customStyle="1" w:styleId="180">
    <w:name w:val="标准文件_表格"/>
    <w:basedOn w:val="58"/>
    <w:qFormat/>
    <w:uiPriority w:val="0"/>
    <w:pPr>
      <w:ind w:firstLine="0" w:firstLineChars="0"/>
      <w:jc w:val="center"/>
    </w:pPr>
    <w:rPr>
      <w:sz w:val="18"/>
    </w:rPr>
  </w:style>
  <w:style w:type="paragraph" w:customStyle="1" w:styleId="181">
    <w:name w:val="标准文件_注："/>
    <w:next w:val="58"/>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示例："/>
    <w:next w:val="184"/>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4">
    <w:name w:val="标准文件_示例内容"/>
    <w:basedOn w:val="58"/>
    <w:qFormat/>
    <w:uiPriority w:val="0"/>
    <w:pPr>
      <w:ind w:firstLine="420"/>
    </w:pPr>
    <w:rPr>
      <w:sz w:val="18"/>
    </w:rPr>
  </w:style>
  <w:style w:type="paragraph" w:customStyle="1" w:styleId="185">
    <w:name w:val="标准文件_示例×："/>
    <w:basedOn w:val="1"/>
    <w:next w:val="184"/>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6">
    <w:name w:val="标准文件_段 Char"/>
    <w:link w:val="58"/>
    <w:qFormat/>
    <w:uiPriority w:val="0"/>
    <w:rPr>
      <w:rFonts w:ascii="宋体" w:hAnsi="Times New Roman"/>
      <w:sz w:val="21"/>
    </w:rPr>
  </w:style>
  <w:style w:type="paragraph" w:customStyle="1" w:styleId="187">
    <w:name w:val="标准文件_表格续"/>
    <w:basedOn w:val="58"/>
    <w:next w:val="58"/>
    <w:qFormat/>
    <w:uiPriority w:val="0"/>
    <w:pPr>
      <w:jc w:val="center"/>
    </w:pPr>
    <w:rPr>
      <w:rFonts w:ascii="黑体" w:hAnsi="黑体" w:eastAsia="黑体"/>
    </w:rPr>
  </w:style>
  <w:style w:type="character" w:styleId="188">
    <w:name w:val="Placeholder Text"/>
    <w:basedOn w:val="30"/>
    <w:semiHidden/>
    <w:qFormat/>
    <w:uiPriority w:val="99"/>
    <w:rPr>
      <w:color w:val="808080"/>
    </w:rPr>
  </w:style>
  <w:style w:type="paragraph" w:customStyle="1" w:styleId="189">
    <w:name w:val="标准文件_二级项2"/>
    <w:basedOn w:val="58"/>
    <w:qFormat/>
    <w:uiPriority w:val="0"/>
    <w:pPr>
      <w:numPr>
        <w:ilvl w:val="1"/>
        <w:numId w:val="21"/>
      </w:numPr>
      <w:ind w:left="1271" w:hanging="420" w:firstLineChars="0"/>
    </w:pPr>
  </w:style>
  <w:style w:type="paragraph" w:customStyle="1" w:styleId="190">
    <w:name w:val="标准文件_三级项2"/>
    <w:basedOn w:val="58"/>
    <w:qFormat/>
    <w:uiPriority w:val="0"/>
    <w:pPr>
      <w:numPr>
        <w:ilvl w:val="0"/>
        <w:numId w:val="30"/>
      </w:numPr>
      <w:spacing w:line="300" w:lineRule="exact"/>
      <w:ind w:left="1276" w:hanging="425" w:firstLineChars="0"/>
    </w:pPr>
    <w:rPr>
      <w:rFonts w:ascii="Times New Roman"/>
    </w:rPr>
  </w:style>
  <w:style w:type="paragraph" w:customStyle="1" w:styleId="191">
    <w:name w:val="标准文件_一级项2"/>
    <w:basedOn w:val="58"/>
    <w:qFormat/>
    <w:uiPriority w:val="0"/>
    <w:pPr>
      <w:numPr>
        <w:ilvl w:val="0"/>
        <w:numId w:val="31"/>
      </w:numPr>
      <w:spacing w:line="300" w:lineRule="exact"/>
      <w:ind w:left="1271" w:hanging="420" w:firstLineChars="0"/>
    </w:pPr>
    <w:rPr>
      <w:rFonts w:ascii="Times New Roman"/>
    </w:rPr>
  </w:style>
  <w:style w:type="paragraph" w:customStyle="1" w:styleId="192">
    <w:name w:val="标准文件_提示"/>
    <w:basedOn w:val="58"/>
    <w:next w:val="58"/>
    <w:qFormat/>
    <w:uiPriority w:val="0"/>
    <w:pPr>
      <w:ind w:firstLine="420"/>
    </w:pPr>
    <w:rPr>
      <w:rFonts w:ascii="黑体" w:eastAsia="黑体"/>
    </w:rPr>
  </w:style>
  <w:style w:type="character" w:customStyle="1" w:styleId="193">
    <w:name w:val="标准文件_来源"/>
    <w:basedOn w:val="30"/>
    <w:qFormat/>
    <w:uiPriority w:val="1"/>
    <w:rPr>
      <w:rFonts w:eastAsia="宋体"/>
      <w:sz w:val="21"/>
    </w:rPr>
  </w:style>
  <w:style w:type="paragraph" w:customStyle="1" w:styleId="194">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5">
    <w:name w:val="其他发布日期"/>
    <w:basedOn w:val="122"/>
    <w:qFormat/>
    <w:uiPriority w:val="0"/>
    <w:pPr>
      <w:framePr w:w="3997" w:h="471" w:hRule="exact" w:hSpace="0" w:vSpace="181" w:wrap="around" w:vAnchor="page" w:hAnchor="page" w:x="1419" w:y="14097"/>
    </w:pPr>
  </w:style>
  <w:style w:type="paragraph" w:customStyle="1" w:styleId="196">
    <w:name w:val="其他实施日期"/>
    <w:basedOn w:val="156"/>
    <w:qFormat/>
    <w:uiPriority w:val="0"/>
    <w:pPr>
      <w:framePr w:w="3997" w:h="471" w:hRule="exact" w:vSpace="181" w:wrap="around" w:vAnchor="page" w:hAnchor="page" w:x="7089" w:y="14097"/>
    </w:pPr>
  </w:style>
  <w:style w:type="paragraph" w:customStyle="1" w:styleId="197">
    <w:name w:val="标准文件_文件编号"/>
    <w:basedOn w:val="58"/>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198">
    <w:name w:val="标准文件_替换文件编号"/>
    <w:basedOn w:val="197"/>
    <w:qFormat/>
    <w:uiPriority w:val="0"/>
    <w:pPr>
      <w:framePr w:wrap="around"/>
      <w:spacing w:before="57"/>
    </w:pPr>
    <w:rPr>
      <w:sz w:val="21"/>
    </w:rPr>
  </w:style>
  <w:style w:type="paragraph" w:customStyle="1" w:styleId="199">
    <w:name w:val="标准文件_文件名称"/>
    <w:basedOn w:val="58"/>
    <w:next w:val="58"/>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200">
    <w:name w:val="标准文件_附录图标号"/>
    <w:basedOn w:val="58"/>
    <w:next w:val="58"/>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1">
    <w:name w:val="标准文件_附录表标号"/>
    <w:basedOn w:val="58"/>
    <w:next w:val="58"/>
    <w:qFormat/>
    <w:uiPriority w:val="0"/>
    <w:pPr>
      <w:numPr>
        <w:ilvl w:val="0"/>
        <w:numId w:val="5"/>
      </w:numPr>
      <w:spacing w:line="14" w:lineRule="exact"/>
      <w:ind w:firstLine="0" w:firstLineChars="0"/>
      <w:jc w:val="center"/>
    </w:pPr>
    <w:rPr>
      <w:rFonts w:eastAsia="黑体"/>
      <w:vanish/>
      <w:sz w:val="2"/>
    </w:rPr>
  </w:style>
  <w:style w:type="paragraph" w:customStyle="1" w:styleId="202">
    <w:name w:val="标准文件_引言一级条标题"/>
    <w:basedOn w:val="58"/>
    <w:next w:val="58"/>
    <w:qFormat/>
    <w:uiPriority w:val="0"/>
    <w:pPr>
      <w:numPr>
        <w:ilvl w:val="1"/>
        <w:numId w:val="8"/>
      </w:numPr>
      <w:spacing w:before="50" w:beforeLines="50" w:after="50" w:afterLines="50"/>
      <w:ind w:firstLineChars="0"/>
    </w:pPr>
    <w:rPr>
      <w:rFonts w:ascii="黑体" w:eastAsia="黑体"/>
    </w:rPr>
  </w:style>
  <w:style w:type="paragraph" w:customStyle="1" w:styleId="203">
    <w:name w:val="标准文件_引言二级条标题"/>
    <w:basedOn w:val="58"/>
    <w:next w:val="58"/>
    <w:qFormat/>
    <w:uiPriority w:val="0"/>
    <w:pPr>
      <w:numPr>
        <w:ilvl w:val="2"/>
        <w:numId w:val="8"/>
      </w:numPr>
      <w:spacing w:before="50" w:beforeLines="50" w:after="50" w:afterLines="50"/>
      <w:ind w:firstLineChars="0"/>
    </w:pPr>
    <w:rPr>
      <w:rFonts w:ascii="黑体" w:eastAsia="黑体"/>
    </w:rPr>
  </w:style>
  <w:style w:type="paragraph" w:customStyle="1" w:styleId="204">
    <w:name w:val="标准文件_引言三级条标题"/>
    <w:basedOn w:val="58"/>
    <w:next w:val="58"/>
    <w:qFormat/>
    <w:uiPriority w:val="0"/>
    <w:pPr>
      <w:numPr>
        <w:ilvl w:val="3"/>
        <w:numId w:val="8"/>
      </w:numPr>
      <w:spacing w:before="50" w:beforeLines="50" w:after="50" w:afterLines="50"/>
      <w:ind w:firstLineChars="0"/>
    </w:pPr>
    <w:rPr>
      <w:rFonts w:ascii="黑体" w:eastAsia="黑体"/>
    </w:rPr>
  </w:style>
  <w:style w:type="paragraph" w:customStyle="1" w:styleId="205">
    <w:name w:val="标准文件_引言四级条标题"/>
    <w:basedOn w:val="58"/>
    <w:next w:val="58"/>
    <w:qFormat/>
    <w:uiPriority w:val="0"/>
    <w:pPr>
      <w:numPr>
        <w:ilvl w:val="4"/>
        <w:numId w:val="8"/>
      </w:numPr>
      <w:spacing w:before="50" w:beforeLines="50" w:after="50" w:afterLines="50"/>
      <w:ind w:firstLineChars="0"/>
    </w:pPr>
    <w:rPr>
      <w:rFonts w:ascii="黑体" w:eastAsia="黑体"/>
    </w:rPr>
  </w:style>
  <w:style w:type="paragraph" w:customStyle="1" w:styleId="206">
    <w:name w:val="标准文件_引言五级条标题"/>
    <w:basedOn w:val="58"/>
    <w:next w:val="58"/>
    <w:qFormat/>
    <w:uiPriority w:val="0"/>
    <w:pPr>
      <w:numPr>
        <w:ilvl w:val="5"/>
        <w:numId w:val="8"/>
      </w:numPr>
      <w:spacing w:before="50" w:beforeLines="50" w:after="50" w:afterLines="50"/>
      <w:ind w:firstLineChars="0"/>
    </w:pPr>
    <w:rPr>
      <w:rFonts w:ascii="黑体" w:eastAsia="黑体"/>
    </w:rPr>
  </w:style>
  <w:style w:type="paragraph" w:customStyle="1" w:styleId="207">
    <w:name w:val="标准文件_注后"/>
    <w:basedOn w:val="58"/>
    <w:qFormat/>
    <w:uiPriority w:val="0"/>
    <w:pPr>
      <w:ind w:left="811" w:firstLine="0" w:firstLineChars="0"/>
    </w:pPr>
    <w:rPr>
      <w:sz w:val="18"/>
    </w:rPr>
  </w:style>
  <w:style w:type="paragraph" w:customStyle="1" w:styleId="208">
    <w:name w:val="标准文件_注X后"/>
    <w:basedOn w:val="58"/>
    <w:qFormat/>
    <w:uiPriority w:val="0"/>
    <w:pPr>
      <w:ind w:left="811" w:firstLine="0" w:firstLineChars="0"/>
    </w:pPr>
    <w:rPr>
      <w:sz w:val="18"/>
    </w:rPr>
  </w:style>
  <w:style w:type="paragraph" w:customStyle="1" w:styleId="209">
    <w:name w:val="标准文件_示例后"/>
    <w:basedOn w:val="58"/>
    <w:qFormat/>
    <w:uiPriority w:val="0"/>
    <w:pPr>
      <w:ind w:left="964" w:firstLine="0" w:firstLineChars="0"/>
    </w:pPr>
    <w:rPr>
      <w:sz w:val="18"/>
    </w:rPr>
  </w:style>
  <w:style w:type="paragraph" w:customStyle="1" w:styleId="210">
    <w:name w:val="标准文件_示例X后"/>
    <w:basedOn w:val="58"/>
    <w:link w:val="211"/>
    <w:qFormat/>
    <w:uiPriority w:val="0"/>
    <w:pPr>
      <w:ind w:left="1049" w:firstLine="0" w:firstLineChars="0"/>
    </w:pPr>
    <w:rPr>
      <w:sz w:val="18"/>
    </w:rPr>
  </w:style>
  <w:style w:type="character" w:customStyle="1" w:styleId="211">
    <w:name w:val="标准文件_示例X后 字符"/>
    <w:basedOn w:val="186"/>
    <w:link w:val="210"/>
    <w:qFormat/>
    <w:uiPriority w:val="0"/>
    <w:rPr>
      <w:rFonts w:ascii="宋体" w:hAnsi="Times New Roman"/>
      <w:sz w:val="18"/>
    </w:rPr>
  </w:style>
  <w:style w:type="paragraph" w:customStyle="1" w:styleId="212">
    <w:name w:val="标准文件_索引项"/>
    <w:basedOn w:val="58"/>
    <w:next w:val="58"/>
    <w:qFormat/>
    <w:uiPriority w:val="0"/>
    <w:pPr>
      <w:tabs>
        <w:tab w:val="right" w:leader="dot" w:pos="9356"/>
      </w:tabs>
      <w:ind w:left="210" w:hanging="210" w:firstLineChars="0"/>
      <w:jc w:val="left"/>
    </w:pPr>
  </w:style>
  <w:style w:type="paragraph" w:customStyle="1" w:styleId="213">
    <w:name w:val="标准文件_附录一级无标题"/>
    <w:basedOn w:val="80"/>
    <w:qFormat/>
    <w:uiPriority w:val="0"/>
    <w:pPr>
      <w:spacing w:before="0" w:beforeLines="0" w:after="0" w:afterLines="0" w:line="276" w:lineRule="auto"/>
      <w:outlineLvl w:val="9"/>
    </w:pPr>
    <w:rPr>
      <w:rFonts w:ascii="宋体" w:eastAsia="宋体"/>
    </w:rPr>
  </w:style>
  <w:style w:type="paragraph" w:customStyle="1" w:styleId="214">
    <w:name w:val="标准文件_附录二级无标题"/>
    <w:basedOn w:val="81"/>
    <w:qFormat/>
    <w:uiPriority w:val="0"/>
    <w:pPr>
      <w:spacing w:before="0" w:beforeLines="0" w:after="0" w:afterLines="0" w:line="276" w:lineRule="auto"/>
      <w:outlineLvl w:val="9"/>
    </w:pPr>
    <w:rPr>
      <w:rFonts w:ascii="宋体" w:eastAsia="宋体"/>
    </w:rPr>
  </w:style>
  <w:style w:type="paragraph" w:customStyle="1" w:styleId="215">
    <w:name w:val="标准文件_附录三级无标题"/>
    <w:basedOn w:val="83"/>
    <w:qFormat/>
    <w:uiPriority w:val="0"/>
    <w:pPr>
      <w:spacing w:before="0" w:beforeLines="0" w:after="0" w:afterLines="0" w:line="276" w:lineRule="auto"/>
      <w:outlineLvl w:val="9"/>
    </w:pPr>
    <w:rPr>
      <w:rFonts w:ascii="宋体" w:eastAsia="宋体"/>
    </w:rPr>
  </w:style>
  <w:style w:type="paragraph" w:customStyle="1" w:styleId="216">
    <w:name w:val="标准文件_附录四级无标题"/>
    <w:basedOn w:val="84"/>
    <w:qFormat/>
    <w:uiPriority w:val="0"/>
    <w:pPr>
      <w:spacing w:before="0" w:beforeLines="0" w:after="0" w:afterLines="0" w:line="276" w:lineRule="auto"/>
      <w:outlineLvl w:val="9"/>
    </w:pPr>
    <w:rPr>
      <w:rFonts w:ascii="宋体" w:eastAsia="宋体"/>
    </w:rPr>
  </w:style>
  <w:style w:type="paragraph" w:customStyle="1" w:styleId="217">
    <w:name w:val="标准文件_附录五级无标题"/>
    <w:basedOn w:val="86"/>
    <w:qFormat/>
    <w:uiPriority w:val="0"/>
    <w:pPr>
      <w:spacing w:before="0" w:beforeLines="0" w:after="0" w:afterLines="0" w:line="276" w:lineRule="auto"/>
      <w:outlineLvl w:val="9"/>
    </w:pPr>
    <w:rPr>
      <w:rFonts w:ascii="宋体" w:eastAsia="宋体"/>
    </w:rPr>
  </w:style>
  <w:style w:type="paragraph" w:customStyle="1" w:styleId="218">
    <w:name w:val="标准文件_引言一级无标题"/>
    <w:basedOn w:val="202"/>
    <w:next w:val="58"/>
    <w:qFormat/>
    <w:uiPriority w:val="0"/>
    <w:pPr>
      <w:spacing w:before="0" w:beforeLines="0" w:after="0" w:afterLines="0" w:line="276" w:lineRule="auto"/>
    </w:pPr>
    <w:rPr>
      <w:rFonts w:ascii="宋体" w:eastAsia="宋体"/>
    </w:rPr>
  </w:style>
  <w:style w:type="paragraph" w:customStyle="1" w:styleId="219">
    <w:name w:val="标准文件_引言二级无标题"/>
    <w:basedOn w:val="203"/>
    <w:next w:val="58"/>
    <w:qFormat/>
    <w:uiPriority w:val="0"/>
    <w:pPr>
      <w:spacing w:before="0" w:beforeLines="0" w:after="0" w:afterLines="0" w:line="276" w:lineRule="auto"/>
    </w:pPr>
    <w:rPr>
      <w:rFonts w:ascii="宋体" w:eastAsia="宋体"/>
    </w:rPr>
  </w:style>
  <w:style w:type="paragraph" w:customStyle="1" w:styleId="220">
    <w:name w:val="标准文件_引言三级无标题"/>
    <w:basedOn w:val="204"/>
    <w:qFormat/>
    <w:uiPriority w:val="0"/>
    <w:pPr>
      <w:spacing w:before="0" w:beforeLines="0" w:after="0" w:afterLines="0" w:line="276" w:lineRule="auto"/>
    </w:pPr>
    <w:rPr>
      <w:rFonts w:ascii="宋体" w:eastAsia="宋体"/>
    </w:rPr>
  </w:style>
  <w:style w:type="paragraph" w:customStyle="1" w:styleId="221">
    <w:name w:val="标准文件_引言四级无标题"/>
    <w:basedOn w:val="205"/>
    <w:next w:val="58"/>
    <w:qFormat/>
    <w:uiPriority w:val="0"/>
    <w:pPr>
      <w:spacing w:before="0" w:beforeLines="0" w:after="0" w:afterLines="0" w:line="276" w:lineRule="auto"/>
    </w:pPr>
    <w:rPr>
      <w:rFonts w:ascii="宋体" w:eastAsia="宋体"/>
    </w:rPr>
  </w:style>
  <w:style w:type="paragraph" w:customStyle="1" w:styleId="222">
    <w:name w:val="标准文件_引言五级无标题"/>
    <w:basedOn w:val="206"/>
    <w:next w:val="58"/>
    <w:qFormat/>
    <w:uiPriority w:val="0"/>
    <w:pPr>
      <w:spacing w:before="0" w:beforeLines="0" w:after="0" w:afterLines="0" w:line="276" w:lineRule="auto"/>
    </w:pPr>
    <w:rPr>
      <w:rFonts w:ascii="宋体" w:eastAsia="宋体"/>
    </w:rPr>
  </w:style>
  <w:style w:type="paragraph" w:customStyle="1" w:styleId="223">
    <w:name w:val="标准文件_索引标题"/>
    <w:basedOn w:val="65"/>
    <w:next w:val="58"/>
    <w:qFormat/>
    <w:uiPriority w:val="0"/>
    <w:rPr>
      <w:rFonts w:hAnsi="黑体"/>
    </w:rPr>
  </w:style>
  <w:style w:type="paragraph" w:customStyle="1" w:styleId="224">
    <w:name w:val="标准文件_脚注内容"/>
    <w:basedOn w:val="58"/>
    <w:qFormat/>
    <w:uiPriority w:val="0"/>
    <w:pPr>
      <w:ind w:left="400" w:leftChars="200" w:hanging="200" w:hangingChars="200"/>
    </w:pPr>
    <w:rPr>
      <w:sz w:val="15"/>
    </w:rPr>
  </w:style>
  <w:style w:type="paragraph" w:customStyle="1" w:styleId="225">
    <w:name w:val="标准文件_术语条一"/>
    <w:basedOn w:val="164"/>
    <w:next w:val="58"/>
    <w:qFormat/>
    <w:uiPriority w:val="0"/>
  </w:style>
  <w:style w:type="paragraph" w:customStyle="1" w:styleId="226">
    <w:name w:val="标准文件_术语条二"/>
    <w:basedOn w:val="167"/>
    <w:next w:val="58"/>
    <w:qFormat/>
    <w:uiPriority w:val="0"/>
  </w:style>
  <w:style w:type="paragraph" w:customStyle="1" w:styleId="227">
    <w:name w:val="标准文件_术语条三"/>
    <w:basedOn w:val="166"/>
    <w:next w:val="58"/>
    <w:qFormat/>
    <w:uiPriority w:val="0"/>
  </w:style>
  <w:style w:type="paragraph" w:customStyle="1" w:styleId="228">
    <w:name w:val="标准文件_术语条四"/>
    <w:basedOn w:val="169"/>
    <w:next w:val="58"/>
    <w:qFormat/>
    <w:uiPriority w:val="0"/>
  </w:style>
  <w:style w:type="paragraph" w:customStyle="1" w:styleId="229">
    <w:name w:val="标准文件_术语条五"/>
    <w:basedOn w:val="165"/>
    <w:next w:val="58"/>
    <w:qFormat/>
    <w:uiPriority w:val="0"/>
  </w:style>
  <w:style w:type="paragraph" w:customStyle="1" w:styleId="23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31">
    <w:name w:val="段"/>
    <w:basedOn w:val="1"/>
    <w:link w:val="243"/>
    <w:qFormat/>
    <w:uiPriority w:val="0"/>
    <w:pPr>
      <w:widowControl/>
      <w:autoSpaceDE w:val="0"/>
      <w:autoSpaceDN w:val="0"/>
      <w:adjustRightInd/>
      <w:spacing w:line="240" w:lineRule="auto"/>
      <w:ind w:firstLine="420" w:firstLineChars="200"/>
    </w:pPr>
    <w:rPr>
      <w:rFonts w:ascii="宋体" w:hAnsi="Times New Roman"/>
      <w:kern w:val="0"/>
    </w:rPr>
  </w:style>
  <w:style w:type="paragraph" w:styleId="232">
    <w:name w:val="List Paragraph"/>
    <w:basedOn w:val="1"/>
    <w:qFormat/>
    <w:uiPriority w:val="34"/>
    <w:pPr>
      <w:ind w:firstLine="420" w:firstLineChars="200"/>
    </w:pPr>
  </w:style>
  <w:style w:type="paragraph" w:customStyle="1" w:styleId="233">
    <w:name w:val="一级条标题"/>
    <w:basedOn w:val="1"/>
    <w:next w:val="1"/>
    <w:qFormat/>
    <w:uiPriority w:val="0"/>
    <w:pPr>
      <w:widowControl/>
      <w:adjustRightInd/>
      <w:spacing w:beforeLines="50" w:afterLines="50" w:line="240" w:lineRule="auto"/>
      <w:jc w:val="left"/>
      <w:outlineLvl w:val="2"/>
    </w:pPr>
    <w:rPr>
      <w:rFonts w:ascii="黑体" w:hAnsi="Times New Roman" w:eastAsia="黑体"/>
      <w:kern w:val="0"/>
    </w:rPr>
  </w:style>
  <w:style w:type="paragraph" w:customStyle="1" w:styleId="234">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35">
    <w:name w:val="二级条标题"/>
    <w:basedOn w:val="1"/>
    <w:next w:val="1"/>
    <w:qFormat/>
    <w:uiPriority w:val="0"/>
    <w:pPr>
      <w:widowControl/>
      <w:adjustRightInd/>
      <w:spacing w:beforeLines="50" w:afterLines="50" w:line="240" w:lineRule="auto"/>
      <w:jc w:val="left"/>
      <w:outlineLvl w:val="3"/>
    </w:pPr>
    <w:rPr>
      <w:rFonts w:ascii="黑体" w:hAnsi="Times New Roman" w:eastAsia="黑体"/>
      <w:kern w:val="0"/>
    </w:rPr>
  </w:style>
  <w:style w:type="paragraph" w:customStyle="1" w:styleId="236">
    <w:name w:val="三级条标题"/>
    <w:basedOn w:val="1"/>
    <w:next w:val="1"/>
    <w:qFormat/>
    <w:uiPriority w:val="0"/>
    <w:pPr>
      <w:widowControl/>
      <w:adjustRightInd/>
      <w:spacing w:beforeLines="50" w:afterLines="50" w:line="240" w:lineRule="auto"/>
      <w:jc w:val="left"/>
      <w:outlineLvl w:val="4"/>
    </w:pPr>
    <w:rPr>
      <w:rFonts w:ascii="黑体" w:hAnsi="Times New Roman" w:eastAsia="黑体"/>
      <w:kern w:val="0"/>
    </w:rPr>
  </w:style>
  <w:style w:type="paragraph" w:customStyle="1" w:styleId="237">
    <w:name w:val="四级条标题"/>
    <w:basedOn w:val="1"/>
    <w:next w:val="1"/>
    <w:qFormat/>
    <w:uiPriority w:val="0"/>
    <w:pPr>
      <w:widowControl/>
      <w:adjustRightInd/>
      <w:spacing w:beforeLines="50" w:afterLines="50" w:line="240" w:lineRule="auto"/>
      <w:jc w:val="left"/>
      <w:outlineLvl w:val="5"/>
    </w:pPr>
    <w:rPr>
      <w:rFonts w:ascii="黑体" w:hAnsi="Times New Roman" w:eastAsia="黑体"/>
      <w:kern w:val="0"/>
    </w:rPr>
  </w:style>
  <w:style w:type="character" w:customStyle="1" w:styleId="238">
    <w:name w:val="15"/>
    <w:basedOn w:val="30"/>
    <w:qFormat/>
    <w:uiPriority w:val="0"/>
    <w:rPr>
      <w:rFonts w:hint="default" w:ascii="Times New Roman" w:hAnsi="Times New Roman" w:cs="Times New Roman"/>
      <w:vertAlign w:val="superscript"/>
    </w:rPr>
  </w:style>
  <w:style w:type="paragraph" w:customStyle="1" w:styleId="239">
    <w:name w:val="附录二级条标题"/>
    <w:basedOn w:val="1"/>
    <w:next w:val="231"/>
    <w:qFormat/>
    <w:uiPriority w:val="0"/>
    <w:pPr>
      <w:widowControl/>
      <w:wordWrap w:val="0"/>
      <w:overflowPunct w:val="0"/>
      <w:autoSpaceDE w:val="0"/>
      <w:autoSpaceDN w:val="0"/>
      <w:adjustRightInd/>
      <w:spacing w:beforeLines="50" w:afterLines="50" w:line="240" w:lineRule="auto"/>
      <w:textAlignment w:val="baseline"/>
      <w:outlineLvl w:val="3"/>
    </w:pPr>
    <w:rPr>
      <w:rFonts w:ascii="黑体" w:hAnsi="Times New Roman" w:eastAsia="黑体"/>
      <w:kern w:val="21"/>
    </w:rPr>
  </w:style>
  <w:style w:type="paragraph" w:customStyle="1" w:styleId="240">
    <w:name w:val="附录图标题"/>
    <w:basedOn w:val="1"/>
    <w:next w:val="1"/>
    <w:qFormat/>
    <w:uiPriority w:val="0"/>
    <w:pPr>
      <w:adjustRightInd/>
      <w:spacing w:beforeLines="50" w:afterLines="50" w:line="240" w:lineRule="auto"/>
      <w:ind w:left="1190" w:hanging="567"/>
      <w:jc w:val="center"/>
    </w:pPr>
    <w:rPr>
      <w:rFonts w:ascii="黑体" w:hAnsi="Times New Roman" w:eastAsia="黑体"/>
    </w:rPr>
  </w:style>
  <w:style w:type="paragraph" w:customStyle="1" w:styleId="241">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242">
    <w:name w:val="正文3"/>
    <w:qFormat/>
    <w:uiPriority w:val="0"/>
    <w:pPr>
      <w:jc w:val="both"/>
    </w:pPr>
    <w:rPr>
      <w:rFonts w:ascii="Times New Roman" w:hAnsi="Times New Roman" w:eastAsia="宋体" w:cs="Times New Roman"/>
      <w:kern w:val="2"/>
      <w:sz w:val="21"/>
      <w:szCs w:val="21"/>
      <w:lang w:val="en-US" w:eastAsia="zh-CN" w:bidi="ar-SA"/>
    </w:rPr>
  </w:style>
  <w:style w:type="character" w:customStyle="1" w:styleId="243">
    <w:name w:val="段 Char"/>
    <w:link w:val="231"/>
    <w:qFormat/>
    <w:uiPriority w:val="0"/>
    <w:rPr>
      <w:rFonts w:ascii="宋体" w:hAnsi="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6" Type="http://schemas.openxmlformats.org/officeDocument/2006/relationships/glossaryDocument" Target="glossary/document.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5.jpe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jpeg"/><Relationship Id="rId21" Type="http://schemas.openxmlformats.org/officeDocument/2006/relationships/image" Target="media/image5.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3.bin"/><Relationship Id="rId17" Type="http://schemas.openxmlformats.org/officeDocument/2006/relationships/image" Target="media/image3.wmf"/><Relationship Id="rId16" Type="http://schemas.openxmlformats.org/officeDocument/2006/relationships/oleObject" Target="embeddings/oleObject2.bin"/><Relationship Id="rId15" Type="http://schemas.openxmlformats.org/officeDocument/2006/relationships/image" Target="media/image2.wmf"/><Relationship Id="rId14" Type="http://schemas.openxmlformats.org/officeDocument/2006/relationships/oleObject" Target="embeddings/oleObject1.bin"/><Relationship Id="rId13" Type="http://schemas.openxmlformats.org/officeDocument/2006/relationships/image" Target="media/image1.tiff"/><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6B1C3DA0EE14067AC45201A809E9EBB"/>
        <w:style w:val=""/>
        <w:category>
          <w:name w:val="常规"/>
          <w:gallery w:val="placeholder"/>
        </w:category>
        <w:types>
          <w:type w:val="bbPlcHdr"/>
        </w:types>
        <w:behaviors>
          <w:behavior w:val="content"/>
        </w:behaviors>
        <w:description w:val=""/>
        <w:guid w:val="{87F83930-404C-4FDA-BD8A-19D971B22E32}"/>
      </w:docPartPr>
      <w:docPartBody>
        <w:p>
          <w:pPr>
            <w:pStyle w:val="5"/>
          </w:pPr>
          <w:r>
            <w:rPr>
              <w:rStyle w:val="4"/>
              <w:rFonts w:hint="eastAsia"/>
            </w:rPr>
            <w:t>单击或点击此处输入文字。</w:t>
          </w:r>
        </w:p>
      </w:docPartBody>
    </w:docPart>
    <w:docPart>
      <w:docPartPr>
        <w:name w:val="E0A056214E3145118E6B02A4F391E06B"/>
        <w:style w:val=""/>
        <w:category>
          <w:name w:val="常规"/>
          <w:gallery w:val="placeholder"/>
        </w:category>
        <w:types>
          <w:type w:val="bbPlcHdr"/>
        </w:types>
        <w:behaviors>
          <w:behavior w:val="content"/>
        </w:behaviors>
        <w:description w:val=""/>
        <w:guid w:val="{3564C8AE-97E4-4D1A-B1E3-20F5602FD098}"/>
      </w:docPartPr>
      <w:docPartBody>
        <w:p>
          <w:pPr>
            <w:pStyle w:val="6"/>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294"/>
    <w:rsid w:val="000042D0"/>
    <w:rsid w:val="00051162"/>
    <w:rsid w:val="000A2215"/>
    <w:rsid w:val="001A078B"/>
    <w:rsid w:val="001C0C5C"/>
    <w:rsid w:val="0032231F"/>
    <w:rsid w:val="00415949"/>
    <w:rsid w:val="004E7EE6"/>
    <w:rsid w:val="00505514"/>
    <w:rsid w:val="005A6630"/>
    <w:rsid w:val="00601181"/>
    <w:rsid w:val="006820C8"/>
    <w:rsid w:val="006F47F3"/>
    <w:rsid w:val="007C7248"/>
    <w:rsid w:val="00854223"/>
    <w:rsid w:val="008E3FBC"/>
    <w:rsid w:val="0091133B"/>
    <w:rsid w:val="0096212E"/>
    <w:rsid w:val="00A5479D"/>
    <w:rsid w:val="00AC017F"/>
    <w:rsid w:val="00AC51F0"/>
    <w:rsid w:val="00AE780D"/>
    <w:rsid w:val="00AF2294"/>
    <w:rsid w:val="00B00301"/>
    <w:rsid w:val="00B1115B"/>
    <w:rsid w:val="00BA3561"/>
    <w:rsid w:val="00BB1D68"/>
    <w:rsid w:val="00C321DE"/>
    <w:rsid w:val="00D10FEC"/>
    <w:rsid w:val="00D92442"/>
    <w:rsid w:val="00DB0C14"/>
    <w:rsid w:val="00DE6A5B"/>
    <w:rsid w:val="00E0191F"/>
    <w:rsid w:val="00EE2423"/>
    <w:rsid w:val="00F841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26B1C3DA0EE14067AC45201A809E9E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E0A056214E3145118E6B02A4F391E06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59EF0F-8D01-4F3F-BC16-9348BCDF882A}">
  <ds:schemaRefs/>
</ds:datastoreItem>
</file>

<file path=docProps/app.xml><?xml version="1.0" encoding="utf-8"?>
<Properties xmlns="http://schemas.openxmlformats.org/officeDocument/2006/extended-properties" xmlns:vt="http://schemas.openxmlformats.org/officeDocument/2006/docPropsVTypes">
  <Template>国家标准</Template>
  <Company>PCMI</Company>
  <Pages>22</Pages>
  <Words>1613</Words>
  <Characters>9197</Characters>
  <Lines>76</Lines>
  <Paragraphs>21</Paragraphs>
  <TotalTime>1228</TotalTime>
  <ScaleCrop>false</ScaleCrop>
  <LinksUpToDate>false</LinksUpToDate>
  <CharactersWithSpaces>10789</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2021-05-10T05:45:00Z</dcterms:created>
  <dc:creator>jimx</dc:creator>
  <dc:description>&lt;config cover="true" show_menu="true" version="1.0.0" doctype="SDKXY"&gt;_x000d_
&lt;/config&gt;</dc:description>
  <cp:lastModifiedBy>纪梦雪</cp:lastModifiedBy>
  <cp:lastPrinted>2021-07-13T08:50:00Z</cp:lastPrinted>
  <dcterms:modified xsi:type="dcterms:W3CDTF">2021-07-15T05:30:23Z</dcterms:modified>
  <dc:title>国家标准</dc:title>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_DocHome">
    <vt:i4>-593321207</vt:i4>
  </property>
  <property fmtid="{D5CDD505-2E9C-101B-9397-08002B2CF9AE}" pid="15" name="KSOProductBuildVer">
    <vt:lpwstr>2052-11.8.2.8808</vt:lpwstr>
  </property>
</Properties>
</file>