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spacing w:after="120" w:afterLines="50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项强制性国家标准（</w:t>
      </w:r>
      <w:r>
        <w:rPr>
          <w:rFonts w:hint="eastAsia" w:eastAsia="方正小标宋简体" w:cs="Times New Roman"/>
          <w:b w:val="0"/>
          <w:bCs/>
          <w:sz w:val="36"/>
          <w:szCs w:val="36"/>
          <w:lang w:eastAsia="zh-CN"/>
        </w:rPr>
        <w:t>报批稿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）主要内容等一览表</w:t>
      </w:r>
    </w:p>
    <w:tbl>
      <w:tblPr>
        <w:tblStyle w:val="2"/>
        <w:tblW w:w="14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70"/>
        <w:gridCol w:w="1842"/>
        <w:gridCol w:w="4222"/>
        <w:gridCol w:w="1302"/>
        <w:gridCol w:w="1107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计划编号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标准名称</w:t>
            </w:r>
          </w:p>
        </w:tc>
        <w:tc>
          <w:tcPr>
            <w:tcW w:w="42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标准主要内容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代替标准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采标情况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建议实施日期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14569" w:type="dxa"/>
            <w:gridSpan w:val="7"/>
            <w:noWrap/>
            <w:vAlign w:val="center"/>
          </w:tcPr>
          <w:p>
            <w:pPr>
              <w:widowControl/>
              <w:spacing w:line="288" w:lineRule="auto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一、强制性国家标准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14569" w:type="dxa"/>
            <w:gridSpan w:val="7"/>
            <w:noWrap/>
            <w:vAlign w:val="center"/>
          </w:tcPr>
          <w:p>
            <w:pPr>
              <w:widowControl/>
              <w:spacing w:line="288" w:lineRule="auto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eastAsia="zh-CN"/>
              </w:rPr>
              <w:t>汽车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bookmarkStart w:id="0" w:name="_Hlk66863149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20183272-Q-339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燃气汽车燃气系统的安装要求</w:t>
            </w:r>
          </w:p>
        </w:tc>
        <w:tc>
          <w:tcPr>
            <w:tcW w:w="42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本文件规定了燃气汽车燃气系统的安装要求、试验方法、检验规则及实施过渡期。</w:t>
            </w:r>
          </w:p>
          <w:p>
            <w:pPr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本文件适用于可以使用压缩天然气/液化天然气/液化石油气作为燃料的燃气汽车，其他类型燃气汽车参照执行。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19239-2013,GB/T 20734-2006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pacing w:line="288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本标准建议自2022年7月1日起开始实施。对于新申请车辆型式批准的车型，自实施之日起开始执行；对于已获得车辆型式批准的车型，自实施之日起第7个月开始执行。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20183273-Q-339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制动软管的结构、性能要求及试验方法</w:t>
            </w:r>
          </w:p>
        </w:tc>
        <w:tc>
          <w:tcPr>
            <w:tcW w:w="42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本文件规定了汽车、摩托车、轻便摩托车及挂车用制动软管、制动软管接头和制动软管总成的结构、性能要求、试验方法、标识。</w:t>
            </w:r>
          </w:p>
          <w:p>
            <w:pPr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本文件适用于汽车、摩托车、轻便摩托车及挂车使用的液压、气压、真空制动软管及制动软管接头和制动软管总成。</w:t>
            </w:r>
          </w:p>
          <w:p>
            <w:pPr>
              <w:spacing w:line="288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本文件不适用于汽车用螺旋管和高温输气橡胶软管。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16897-2010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spacing w:line="288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本标准建议自2022年7月1日起开始实施。对于新申请车辆型式批准的车型，自实施之日起开始执行；对于已获得车辆型式批准的车型，自实施之日起第7个月开始执行。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14569" w:type="dxa"/>
            <w:gridSpan w:val="7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highlight w:val="none"/>
              </w:rPr>
              <w:t>二、强制性国家标准修改单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《电玩具的安全》第1号修改单</w:t>
            </w:r>
          </w:p>
        </w:tc>
        <w:tc>
          <w:tcPr>
            <w:tcW w:w="42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19865-2005的第1号修改单，与GB 19865-2005相比，主要修改内容：</w:t>
            </w:r>
          </w:p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）关于“电池盒”相关条款的修改，涉及条款“7.1.1”和“7.4”，明确了：（1）“设计上能够阻止被其他电池盒或供电电源替代的电池盒”的产品结构，不用标注“直流电符号”；（2）不用声明“玩具不能连接到多于推荐数量的电源上”的两种情况。</w:t>
            </w:r>
          </w:p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2）条款“9.4”，对“借助工具或同时施加至少两个独立的动作才能打开电池盖的电池室”豁免了9.4条款的要求。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自发布之日起实施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《玩具安全 第2部分：机械与物理性能》第1号修改单</w:t>
            </w:r>
          </w:p>
        </w:tc>
        <w:tc>
          <w:tcPr>
            <w:tcW w:w="42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6675.2-2014的第1号修改单，与GB 6675.2-2014相比，主要修改内容：</w:t>
            </w:r>
          </w:p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1）部分条款内容勘误；</w:t>
            </w:r>
          </w:p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2）条款4.18中部分要求的适用条件及相应测试方法修改。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自发布之日起实施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《玩具安全 第11部分家用秋千、滑梯及类似用途室内、室外活动玩具》第1号修改单</w:t>
            </w:r>
          </w:p>
        </w:tc>
        <w:tc>
          <w:tcPr>
            <w:tcW w:w="42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6675.11—2014的第1号修改单，与GB 6675.11-2014相比，主要修改内容：</w:t>
            </w:r>
          </w:p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1）涉及“4.7.7 摆动元件与地面之间的最小间距” 的修改；</w:t>
            </w:r>
          </w:p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2）图18修改编辑错误。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批准发布后6个月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05B07"/>
    <w:rsid w:val="07BD5B57"/>
    <w:rsid w:val="38206F46"/>
    <w:rsid w:val="3CD84BBA"/>
    <w:rsid w:val="3CFCD418"/>
    <w:rsid w:val="4EB9772A"/>
    <w:rsid w:val="5B205B07"/>
    <w:rsid w:val="5FA92913"/>
    <w:rsid w:val="7658479D"/>
    <w:rsid w:val="77D24906"/>
    <w:rsid w:val="7DC13FFD"/>
    <w:rsid w:val="F7B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2021-06-04T01:58:00Z</dcterms:created>
  <dc:creator>HGB-BZ-01</dc:creator>
  <cp:lastModifiedBy>kylin</cp:lastModifiedBy>
  <dcterms:modified xsi:type="dcterms:W3CDTF">2021-09-02T08:48:23Z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