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spacing w:afterLines="50"/>
        <w:ind w:left="5250" w:leftChars="2500" w:right="1039" w:rightChars="495"/>
        <w:rPr>
          <w:rFonts w:ascii="方正小标宋简体" w:hAnsi="方正小标宋简体" w:eastAsia="方正小标宋简体" w:cs="方正小标宋简体"/>
          <w:bCs/>
          <w:kern w:val="0"/>
          <w:sz w:val="48"/>
          <w:szCs w:val="48"/>
        </w:rPr>
      </w:pPr>
      <w:r>
        <w:pict>
          <v:shape id="_x0000_i1025" o:spt="75" type="#_x0000_t75" style="height:65.25pt;width:146.25pt;" filled="f" o:preferrelative="t" stroked="f" coordsize="21600,21600">
            <v:path/>
            <v:fill on="f" focussize="0,0"/>
            <v:stroke on="f" joinstyle="miter"/>
            <v:imagedata r:id="rId11" cropleft="42283f" croptop="6540f" cropright="7184f" cropbottom="41511f" o:title="7ae779013415e90a1541f6088b01d14"/>
            <o:lock v:ext="edit" aspectratio="t"/>
            <w10:wrap type="none"/>
            <w10:anchorlock/>
          </v:shape>
        </w:pict>
      </w:r>
    </w:p>
    <w:p>
      <w:pPr>
        <w:autoSpaceDE w:val="0"/>
        <w:autoSpaceDN w:val="0"/>
        <w:adjustRightInd w:val="0"/>
        <w:snapToGrid w:val="0"/>
        <w:spacing w:beforeLines="100"/>
        <w:jc w:val="center"/>
        <w:rPr>
          <w:rFonts w:ascii="方正小标宋简体" w:hAnsi="方正小标宋简体" w:eastAsia="方正小标宋简体" w:cs="方正小标宋简体"/>
          <w:bCs/>
          <w:kern w:val="0"/>
          <w:sz w:val="48"/>
          <w:szCs w:val="48"/>
        </w:rPr>
      </w:pPr>
      <w:r>
        <w:rPr>
          <w:rFonts w:ascii="方正小标宋简体" w:hAnsi="方正小标宋简体" w:eastAsia="方正小标宋简体" w:cs="方正小标宋简体"/>
          <w:bCs/>
          <w:kern w:val="0"/>
          <w:sz w:val="48"/>
          <w:szCs w:val="48"/>
        </w:rPr>
        <w:pict>
          <v:shape id="_x0000_i1026" o:spt="136" type="#_x0000_t136" style="height:25.5pt;width:439.5pt;" fillcolor="#000000" filled="t" coordsize="21600,21600">
            <v:path/>
            <v:fill on="t" focussize="0,0"/>
            <v:stroke/>
            <v:imagedata o:title=""/>
            <o:lock v:ext="edit"/>
            <v:textpath on="t" fitshape="t" fitpath="t" trim="t" xscale="f" string="中华人民共和国工业和信息化部" style="font-family:方正小标宋_GBK;font-size:36pt;v-text-align:center;"/>
            <w10:wrap type="none"/>
            <w10:anchorlock/>
          </v:shape>
        </w:pict>
      </w:r>
    </w:p>
    <w:p>
      <w:pPr>
        <w:autoSpaceDE w:val="0"/>
        <w:autoSpaceDN w:val="0"/>
        <w:adjustRightInd w:val="0"/>
        <w:snapToGrid w:val="0"/>
        <w:spacing w:afterLines="50"/>
        <w:jc w:val="center"/>
        <w:rPr>
          <w:rFonts w:ascii="方正小标宋简体" w:hAnsi="方正小标宋简体" w:eastAsia="方正小标宋简体" w:cs="方正小标宋简体"/>
          <w:bCs/>
          <w:kern w:val="0"/>
          <w:sz w:val="48"/>
          <w:szCs w:val="48"/>
        </w:rPr>
      </w:pPr>
      <w:r>
        <w:rPr>
          <w:rFonts w:ascii="方正小标宋简体" w:hAnsi="方正小标宋简体" w:eastAsia="方正小标宋简体" w:cs="方正小标宋简体"/>
          <w:bCs/>
          <w:kern w:val="0"/>
          <w:sz w:val="48"/>
          <w:szCs w:val="48"/>
        </w:rPr>
        <w:pict>
          <v:shape id="_x0000_i1027" o:spt="136" type="#_x0000_t136" style="height:25.5pt;width:255pt;" fillcolor="#000000" filled="t" coordsize="21600,21600">
            <v:path/>
            <v:fill on="t" focussize="0,0"/>
            <v:stroke/>
            <v:imagedata o:title=""/>
            <o:lock v:ext="edit"/>
            <v:textpath on="t" fitshape="t" fitpath="t" trim="t" xscale="f" string="建材计量技术规范" style="font-family:方正小标宋_GBK;font-size:32pt;v-text-align:center;"/>
            <w10:wrap type="none"/>
            <w10:anchorlock/>
          </v:shape>
        </w:pict>
      </w:r>
    </w:p>
    <w:p>
      <w:pPr>
        <w:autoSpaceDE w:val="0"/>
        <w:autoSpaceDN w:val="0"/>
        <w:adjustRightInd w:val="0"/>
        <w:spacing w:beforeLines="150" w:afterLines="150"/>
        <w:ind w:right="1417"/>
        <w:jc w:val="right"/>
        <w:rPr>
          <w:rFonts w:ascii="黑体" w:hAnsi="黑体" w:eastAsia="黑体" w:cs="黑体"/>
          <w:kern w:val="0"/>
          <w:sz w:val="28"/>
          <w:szCs w:val="28"/>
        </w:rPr>
      </w:pPr>
      <w:r>
        <w:rPr>
          <w:rFonts w:hint="eastAsia" w:ascii="黑体" w:hAnsi="黑体" w:eastAsia="黑体" w:cs="BatangChe"/>
          <w:b/>
          <w:bCs/>
          <w:kern w:val="0"/>
          <w:sz w:val="28"/>
          <w:szCs w:val="28"/>
        </w:rPr>
        <w:t>JJF</w:t>
      </w:r>
      <w:r>
        <w:rPr>
          <w:rFonts w:ascii="黑体" w:hAnsi="黑体" w:eastAsia="黑体" w:cs="黑体"/>
          <w:kern w:val="0"/>
          <w:sz w:val="28"/>
          <w:szCs w:val="28"/>
        </w:rPr>
        <w:t>(</w:t>
      </w:r>
      <w:r>
        <w:rPr>
          <w:rFonts w:hint="eastAsia" w:ascii="黑体" w:hAnsi="黑体" w:eastAsia="黑体" w:cs="黑体"/>
          <w:kern w:val="0"/>
          <w:sz w:val="28"/>
          <w:szCs w:val="28"/>
        </w:rPr>
        <w:t>建材</w:t>
      </w:r>
      <w:r>
        <w:rPr>
          <w:rFonts w:ascii="黑体" w:hAnsi="黑体" w:eastAsia="黑体" w:cs="黑体"/>
          <w:kern w:val="0"/>
          <w:sz w:val="28"/>
          <w:szCs w:val="28"/>
        </w:rPr>
        <w:t>)</w:t>
      </w:r>
      <w:r>
        <w:rPr>
          <w:rFonts w:hint="eastAsia" w:ascii="黑体" w:hAnsi="黑体" w:eastAsia="黑体" w:cs="黑体"/>
          <w:kern w:val="0"/>
          <w:sz w:val="28"/>
          <w:szCs w:val="28"/>
        </w:rPr>
        <w:t xml:space="preserve"> XXXX</w:t>
      </w:r>
      <w:r>
        <w:rPr>
          <w:rFonts w:ascii="黑体" w:hAnsi="黑体" w:eastAsia="黑体" w:cs="黑体"/>
          <w:kern w:val="0"/>
          <w:sz w:val="28"/>
          <w:szCs w:val="28"/>
        </w:rPr>
        <w:t>─</w:t>
      </w:r>
      <w:r>
        <w:rPr>
          <w:rFonts w:hint="eastAsia" w:ascii="黑体" w:hAnsi="黑体" w:eastAsia="黑体" w:cs="黑体"/>
          <w:kern w:val="0"/>
          <w:sz w:val="28"/>
          <w:szCs w:val="28"/>
        </w:rPr>
        <w:t>XXXX</w:t>
      </w:r>
    </w:p>
    <w:p>
      <w:pPr>
        <w:autoSpaceDE w:val="0"/>
        <w:autoSpaceDN w:val="0"/>
        <w:adjustRightInd w:val="0"/>
        <w:jc w:val="left"/>
        <w:rPr>
          <w:rFonts w:ascii="黑体" w:eastAsia="黑体" w:cs="黑体"/>
          <w:kern w:val="0"/>
          <w:sz w:val="14"/>
          <w:szCs w:val="14"/>
        </w:rPr>
      </w:pPr>
      <w:r>
        <w:rPr>
          <w:rFonts w:ascii="黑体" w:eastAsia="黑体" w:cs="黑体"/>
          <w:kern w:val="0"/>
          <w:sz w:val="38"/>
          <w:szCs w:val="38"/>
        </w:rPr>
        <w:pict>
          <v:group id="_x0000_s1033" o:spid="_x0000_s1033" o:spt="203" style="position:absolute;left:0pt;margin-left:-13.5pt;margin-top:0.5pt;height:8.55pt;width:479.05pt;z-index:251659264;mso-width-relative:page;mso-height-relative:page;" coordorigin="1148,6413" coordsize="9581,171203" editas="canvas">
            <o:lock v:ext="edit"/>
            <v:shape id="_x0000_s1032" o:spid="_x0000_s1032" o:spt="75" type="#_x0000_t75" style="position:absolute;left:1148;top:6413;height:171203;width:9581;" filled="f" o:preferrelative="t" stroked="f" coordsize="21600,21600">
              <v:path/>
              <v:fill on="f" focussize="0,0"/>
              <v:stroke on="f" joinstyle="miter"/>
              <v:imagedata o:title=""/>
              <o:lock v:ext="edit" rotation="t" text="t" aspectratio="t"/>
            </v:shape>
            <v:line id="_x0000_s1034" o:spid="_x0000_s1034" o:spt="20" style="position:absolute;left:1382;top:6413;height:1;width:9197;" coordsize="21600,21600">
              <v:path arrowok="t"/>
              <v:fill focussize="0,0"/>
              <v:stroke weight="1pt"/>
              <v:imagedata o:title=""/>
              <o:lock v:ext="edit"/>
            </v:line>
          </v:group>
        </w:pict>
      </w:r>
    </w:p>
    <w:p>
      <w:pPr>
        <w:autoSpaceDE w:val="0"/>
        <w:autoSpaceDN w:val="0"/>
        <w:adjustRightInd w:val="0"/>
        <w:jc w:val="left"/>
        <w:rPr>
          <w:rFonts w:ascii="黑体" w:eastAsia="黑体" w:cs="黑体"/>
          <w:kern w:val="0"/>
          <w:sz w:val="52"/>
          <w:szCs w:val="52"/>
        </w:rPr>
      </w:pPr>
    </w:p>
    <w:p>
      <w:pPr>
        <w:autoSpaceDE w:val="0"/>
        <w:autoSpaceDN w:val="0"/>
        <w:adjustRightInd w:val="0"/>
        <w:jc w:val="left"/>
        <w:rPr>
          <w:rFonts w:ascii="黑体" w:eastAsia="黑体" w:cs="黑体"/>
          <w:kern w:val="0"/>
          <w:sz w:val="52"/>
          <w:szCs w:val="52"/>
        </w:rPr>
      </w:pPr>
    </w:p>
    <w:p>
      <w:pPr>
        <w:autoSpaceDE w:val="0"/>
        <w:autoSpaceDN w:val="0"/>
        <w:adjustRightInd w:val="0"/>
        <w:jc w:val="center"/>
        <w:rPr>
          <w:rFonts w:eastAsia="黑体"/>
          <w:kern w:val="0"/>
          <w:sz w:val="52"/>
          <w:szCs w:val="52"/>
        </w:rPr>
      </w:pPr>
      <w:r>
        <w:rPr>
          <w:rFonts w:hint="eastAsia" w:eastAsia="黑体"/>
          <w:kern w:val="0"/>
          <w:sz w:val="52"/>
          <w:szCs w:val="52"/>
        </w:rPr>
        <w:t>低辐射镀膜玻璃膜面辐射率测试仪</w:t>
      </w:r>
      <w:r>
        <w:rPr>
          <w:rFonts w:eastAsia="黑体"/>
          <w:kern w:val="0"/>
          <w:sz w:val="52"/>
          <w:szCs w:val="52"/>
        </w:rPr>
        <w:t>校准规范</w:t>
      </w:r>
    </w:p>
    <w:p>
      <w:pPr>
        <w:autoSpaceDE w:val="0"/>
        <w:autoSpaceDN w:val="0"/>
        <w:adjustRightInd w:val="0"/>
        <w:spacing w:beforeLines="50" w:line="360" w:lineRule="auto"/>
        <w:jc w:val="center"/>
        <w:rPr>
          <w:rFonts w:ascii="黑体" w:eastAsia="黑体" w:cs="黑体"/>
          <w:kern w:val="0"/>
          <w:sz w:val="18"/>
          <w:szCs w:val="18"/>
        </w:rPr>
      </w:pPr>
      <w:r>
        <w:rPr>
          <w:rFonts w:hint="eastAsia" w:ascii="黑体" w:hAnsi="黑体" w:eastAsia="黑体"/>
          <w:kern w:val="0"/>
          <w:sz w:val="28"/>
          <w:szCs w:val="28"/>
        </w:rPr>
        <w:t xml:space="preserve">Calibration Specification of Emissometers for Low Emissivity Coated Glass </w:t>
      </w:r>
    </w:p>
    <w:p>
      <w:pPr>
        <w:autoSpaceDE w:val="0"/>
        <w:autoSpaceDN w:val="0"/>
        <w:adjustRightInd w:val="0"/>
        <w:jc w:val="left"/>
        <w:rPr>
          <w:rFonts w:ascii="黑体" w:eastAsia="黑体" w:cs="黑体"/>
          <w:kern w:val="0"/>
          <w:sz w:val="18"/>
          <w:szCs w:val="18"/>
        </w:rPr>
      </w:pPr>
    </w:p>
    <w:p>
      <w:pPr>
        <w:autoSpaceDE w:val="0"/>
        <w:autoSpaceDN w:val="0"/>
        <w:adjustRightInd w:val="0"/>
        <w:jc w:val="left"/>
        <w:rPr>
          <w:rFonts w:ascii="黑体" w:eastAsia="黑体" w:cs="黑体"/>
          <w:kern w:val="0"/>
          <w:sz w:val="18"/>
          <w:szCs w:val="18"/>
        </w:rPr>
      </w:pPr>
    </w:p>
    <w:p>
      <w:pPr>
        <w:autoSpaceDE w:val="0"/>
        <w:autoSpaceDN w:val="0"/>
        <w:adjustRightInd w:val="0"/>
        <w:jc w:val="left"/>
        <w:rPr>
          <w:rFonts w:ascii="黑体" w:eastAsia="黑体" w:cs="黑体"/>
          <w:kern w:val="0"/>
          <w:sz w:val="18"/>
          <w:szCs w:val="18"/>
        </w:rPr>
      </w:pPr>
    </w:p>
    <w:p>
      <w:pPr>
        <w:autoSpaceDE w:val="0"/>
        <w:autoSpaceDN w:val="0"/>
        <w:adjustRightInd w:val="0"/>
        <w:jc w:val="left"/>
        <w:rPr>
          <w:rFonts w:ascii="黑体" w:eastAsia="黑体" w:cs="黑体"/>
          <w:kern w:val="0"/>
          <w:sz w:val="18"/>
          <w:szCs w:val="18"/>
        </w:rPr>
      </w:pPr>
    </w:p>
    <w:p>
      <w:pPr>
        <w:autoSpaceDE w:val="0"/>
        <w:autoSpaceDN w:val="0"/>
        <w:adjustRightInd w:val="0"/>
        <w:jc w:val="left"/>
        <w:rPr>
          <w:rFonts w:ascii="黑体" w:eastAsia="黑体" w:cs="黑体"/>
          <w:kern w:val="0"/>
          <w:sz w:val="18"/>
          <w:szCs w:val="18"/>
        </w:rPr>
      </w:pPr>
    </w:p>
    <w:p>
      <w:pPr>
        <w:autoSpaceDE w:val="0"/>
        <w:autoSpaceDN w:val="0"/>
        <w:adjustRightInd w:val="0"/>
        <w:jc w:val="left"/>
        <w:rPr>
          <w:rFonts w:ascii="黑体" w:eastAsia="黑体" w:cs="黑体"/>
          <w:kern w:val="0"/>
          <w:sz w:val="18"/>
          <w:szCs w:val="18"/>
        </w:rPr>
      </w:pPr>
    </w:p>
    <w:p>
      <w:pPr>
        <w:autoSpaceDE w:val="0"/>
        <w:autoSpaceDN w:val="0"/>
        <w:adjustRightInd w:val="0"/>
        <w:jc w:val="left"/>
        <w:rPr>
          <w:rFonts w:ascii="黑体" w:eastAsia="黑体" w:cs="黑体"/>
          <w:kern w:val="0"/>
          <w:sz w:val="18"/>
          <w:szCs w:val="18"/>
        </w:rPr>
      </w:pPr>
    </w:p>
    <w:p>
      <w:pPr>
        <w:autoSpaceDE w:val="0"/>
        <w:autoSpaceDN w:val="0"/>
        <w:adjustRightInd w:val="0"/>
        <w:jc w:val="left"/>
        <w:rPr>
          <w:rFonts w:ascii="黑体" w:eastAsia="黑体" w:cs="黑体"/>
          <w:kern w:val="0"/>
          <w:sz w:val="18"/>
          <w:szCs w:val="18"/>
        </w:rPr>
      </w:pPr>
    </w:p>
    <w:p>
      <w:pPr>
        <w:autoSpaceDE w:val="0"/>
        <w:autoSpaceDN w:val="0"/>
        <w:adjustRightInd w:val="0"/>
        <w:jc w:val="left"/>
        <w:rPr>
          <w:rFonts w:ascii="黑体" w:eastAsia="黑体" w:cs="黑体"/>
          <w:kern w:val="0"/>
          <w:sz w:val="18"/>
          <w:szCs w:val="18"/>
        </w:rPr>
      </w:pPr>
    </w:p>
    <w:p>
      <w:pPr>
        <w:autoSpaceDE w:val="0"/>
        <w:autoSpaceDN w:val="0"/>
        <w:adjustRightInd w:val="0"/>
        <w:jc w:val="left"/>
        <w:rPr>
          <w:rFonts w:ascii="黑体" w:eastAsia="黑体" w:cs="黑体"/>
          <w:kern w:val="0"/>
          <w:sz w:val="18"/>
          <w:szCs w:val="18"/>
        </w:rPr>
      </w:pPr>
    </w:p>
    <w:p>
      <w:pPr>
        <w:autoSpaceDE w:val="0"/>
        <w:autoSpaceDN w:val="0"/>
        <w:adjustRightInd w:val="0"/>
        <w:jc w:val="left"/>
        <w:rPr>
          <w:rFonts w:ascii="黑体" w:eastAsia="黑体" w:cs="黑体"/>
          <w:kern w:val="0"/>
          <w:sz w:val="18"/>
          <w:szCs w:val="18"/>
        </w:rPr>
      </w:pPr>
    </w:p>
    <w:p>
      <w:pPr>
        <w:autoSpaceDE w:val="0"/>
        <w:autoSpaceDN w:val="0"/>
        <w:adjustRightInd w:val="0"/>
        <w:jc w:val="left"/>
        <w:rPr>
          <w:rFonts w:ascii="黑体" w:eastAsia="黑体" w:cs="黑体"/>
          <w:kern w:val="0"/>
          <w:sz w:val="18"/>
          <w:szCs w:val="18"/>
        </w:rPr>
      </w:pPr>
    </w:p>
    <w:p>
      <w:pPr>
        <w:autoSpaceDE w:val="0"/>
        <w:autoSpaceDN w:val="0"/>
        <w:adjustRightInd w:val="0"/>
        <w:jc w:val="left"/>
        <w:rPr>
          <w:rFonts w:ascii="黑体" w:eastAsia="黑体" w:cs="黑体"/>
          <w:kern w:val="0"/>
          <w:sz w:val="18"/>
          <w:szCs w:val="18"/>
        </w:rPr>
      </w:pPr>
    </w:p>
    <w:p>
      <w:pPr>
        <w:autoSpaceDE w:val="0"/>
        <w:autoSpaceDN w:val="0"/>
        <w:adjustRightInd w:val="0"/>
        <w:jc w:val="left"/>
        <w:rPr>
          <w:rFonts w:ascii="黑体" w:eastAsia="黑体" w:cs="黑体"/>
          <w:kern w:val="0"/>
          <w:sz w:val="18"/>
          <w:szCs w:val="18"/>
        </w:rPr>
      </w:pPr>
    </w:p>
    <w:p>
      <w:pPr>
        <w:autoSpaceDE w:val="0"/>
        <w:autoSpaceDN w:val="0"/>
        <w:adjustRightInd w:val="0"/>
        <w:jc w:val="left"/>
        <w:rPr>
          <w:rFonts w:ascii="黑体" w:eastAsia="黑体" w:cs="黑体"/>
          <w:kern w:val="0"/>
          <w:sz w:val="18"/>
          <w:szCs w:val="18"/>
        </w:rPr>
      </w:pPr>
    </w:p>
    <w:p>
      <w:pPr>
        <w:autoSpaceDE w:val="0"/>
        <w:autoSpaceDN w:val="0"/>
        <w:adjustRightInd w:val="0"/>
        <w:jc w:val="left"/>
        <w:rPr>
          <w:rFonts w:ascii="黑体" w:eastAsia="黑体" w:cs="黑体"/>
          <w:kern w:val="0"/>
          <w:sz w:val="18"/>
          <w:szCs w:val="18"/>
        </w:rPr>
      </w:pPr>
    </w:p>
    <w:p>
      <w:pPr>
        <w:autoSpaceDE w:val="0"/>
        <w:autoSpaceDN w:val="0"/>
        <w:adjustRightInd w:val="0"/>
        <w:jc w:val="left"/>
        <w:rPr>
          <w:rFonts w:ascii="黑体" w:eastAsia="黑体" w:cs="黑体"/>
          <w:kern w:val="0"/>
          <w:sz w:val="18"/>
          <w:szCs w:val="18"/>
        </w:rPr>
      </w:pPr>
    </w:p>
    <w:p>
      <w:pPr>
        <w:autoSpaceDE w:val="0"/>
        <w:autoSpaceDN w:val="0"/>
        <w:adjustRightInd w:val="0"/>
        <w:jc w:val="left"/>
        <w:rPr>
          <w:rFonts w:ascii="黑体" w:eastAsia="黑体" w:cs="黑体"/>
          <w:kern w:val="0"/>
          <w:sz w:val="18"/>
          <w:szCs w:val="18"/>
        </w:rPr>
      </w:pPr>
    </w:p>
    <w:p>
      <w:pPr>
        <w:autoSpaceDE w:val="0"/>
        <w:autoSpaceDN w:val="0"/>
        <w:adjustRightInd w:val="0"/>
        <w:jc w:val="left"/>
        <w:rPr>
          <w:rFonts w:ascii="黑体" w:eastAsia="黑体" w:cs="黑体"/>
          <w:kern w:val="0"/>
          <w:sz w:val="18"/>
          <w:szCs w:val="18"/>
        </w:rPr>
      </w:pPr>
    </w:p>
    <w:p>
      <w:pPr>
        <w:autoSpaceDE w:val="0"/>
        <w:autoSpaceDN w:val="0"/>
        <w:adjustRightInd w:val="0"/>
        <w:spacing w:afterLines="50"/>
        <w:jc w:val="center"/>
        <w:rPr>
          <w:rFonts w:ascii="黑体" w:eastAsia="黑体" w:cs="黑体"/>
          <w:kern w:val="0"/>
          <w:sz w:val="28"/>
          <w:szCs w:val="28"/>
        </w:rPr>
      </w:pPr>
      <w:r>
        <w:rPr>
          <w:rFonts w:hint="eastAsia" w:ascii="黑体" w:eastAsia="黑体" w:cs="黑体"/>
          <w:kern w:val="0"/>
          <w:sz w:val="28"/>
          <w:szCs w:val="28"/>
        </w:rPr>
        <w:t>××××-××-××发布                    ××××-××-××实施</w:t>
      </w:r>
    </w:p>
    <w:p>
      <w:pPr>
        <w:rPr>
          <w:rFonts w:ascii="黑体" w:eastAsia="黑体" w:cs="黑体"/>
          <w:kern w:val="0"/>
          <w:sz w:val="28"/>
          <w:szCs w:val="28"/>
        </w:rPr>
      </w:pPr>
      <w:r>
        <w:rPr>
          <w:rFonts w:ascii="黑体" w:eastAsia="黑体" w:cs="黑体"/>
          <w:kern w:val="0"/>
          <w:sz w:val="28"/>
          <w:szCs w:val="28"/>
        </w:rPr>
        <w:pict>
          <v:line id="直线 10" o:spid="_x0000_s1087" o:spt="20" style="position:absolute;left:0pt;margin-left:-2.5pt;margin-top:0.6pt;height:0.05pt;width:459.85pt;z-index:251659264;mso-width-relative:page;mso-height-relative:page;" coordsize="21600,21600">
            <v:path arrowok="t"/>
            <v:fill focussize="0,0"/>
            <v:stroke weight="1pt"/>
            <v:imagedata o:title=""/>
            <o:lock v:ext="edit"/>
          </v:line>
        </w:pict>
      </w:r>
      <w:r>
        <w:rPr>
          <w:rFonts w:ascii="宋体" w:hAnsi="宋体"/>
          <w:sz w:val="28"/>
          <w:szCs w:val="28"/>
        </w:rPr>
        <w:pict>
          <v:shape id="_x0000_s1079" o:spid="_x0000_s1079" o:spt="202" type="#_x0000_t202" style="position:absolute;left:0pt;margin-left:42pt;margin-top:11.7pt;height:41.3pt;width:324.1pt;z-index:251659264;mso-width-relative:margin;mso-height-relative:margin;mso-height-percent:200;" stroked="f" coordsize="21600,21600">
            <v:path/>
            <v:fill focussize="0,0"/>
            <v:stroke on="f" joinstyle="miter"/>
            <v:imagedata o:title=""/>
            <o:lock v:ext="edit"/>
            <v:textbox style="mso-fit-shape-to-text:t;">
              <w:txbxContent>
                <w:p>
                  <w:pPr>
                    <w:rPr>
                      <w:rFonts w:ascii="方正小标宋_GBK" w:eastAsia="方正小标宋_GBK"/>
                      <w:sz w:val="44"/>
                      <w:szCs w:val="44"/>
                    </w:rPr>
                  </w:pPr>
                  <w:r>
                    <w:rPr>
                      <w:rFonts w:hint="eastAsia" w:ascii="方正小标宋_GBK" w:eastAsia="方正小标宋_GBK"/>
                      <w:sz w:val="44"/>
                      <w:szCs w:val="44"/>
                    </w:rPr>
                    <w:t>中华人民共和国工业和信息化部</w:t>
                  </w:r>
                </w:p>
              </w:txbxContent>
            </v:textbox>
          </v:shape>
        </w:pict>
      </w:r>
    </w:p>
    <w:p>
      <w:pPr>
        <w:autoSpaceDE w:val="0"/>
        <w:autoSpaceDN w:val="0"/>
        <w:adjustRightInd w:val="0"/>
        <w:rPr>
          <w:rFonts w:ascii="宋体" w:hAnsi="宋体"/>
          <w:sz w:val="24"/>
        </w:rPr>
      </w:pPr>
      <w:r>
        <w:rPr>
          <w:rFonts w:ascii="方正小标宋_GBK" w:hAnsi="宋体" w:eastAsia="方正小标宋_GBK"/>
          <w:sz w:val="44"/>
          <w:szCs w:val="44"/>
        </w:rPr>
        <w:pict>
          <v:shape id="_x0000_s1077" o:spid="_x0000_s1077" o:spt="202" type="#_x0000_t202" style="position:absolute;left:0pt;margin-left:372.3pt;margin-top:0.55pt;height:25.35pt;width:49.7pt;z-index:251659264;mso-width-relative:margin;mso-height-relative:margin;mso-height-percent:200;" stroked="f" coordsize="21600,21600">
            <v:path/>
            <v:fill focussize="0,0"/>
            <v:stroke on="f" joinstyle="miter"/>
            <v:imagedata o:title=""/>
            <o:lock v:ext="edit"/>
            <v:textbox style="mso-fit-shape-to-text:t;">
              <w:txbxContent>
                <w:p>
                  <w:r>
                    <w:rPr>
                      <w:rFonts w:hint="eastAsia" w:ascii="黑体" w:hAnsi="黑体" w:eastAsia="黑体"/>
                      <w:sz w:val="28"/>
                      <w:szCs w:val="28"/>
                    </w:rPr>
                    <w:t>发 布</w:t>
                  </w:r>
                </w:p>
              </w:txbxContent>
            </v:textbox>
          </v:shape>
        </w:pict>
      </w:r>
    </w:p>
    <w:p>
      <w:pPr>
        <w:autoSpaceDE w:val="0"/>
        <w:autoSpaceDN w:val="0"/>
        <w:adjustRightInd w:val="0"/>
        <w:rPr>
          <w:sz w:val="24"/>
        </w:rPr>
        <w:sectPr>
          <w:headerReference r:id="rId3" w:type="default"/>
          <w:pgSz w:w="11906" w:h="16838"/>
          <w:pgMar w:top="1418" w:right="1418" w:bottom="1418" w:left="1418" w:header="851" w:footer="992" w:gutter="0"/>
          <w:pgNumType w:fmt="upperRoman"/>
          <w:cols w:space="720" w:num="1"/>
          <w:docGrid w:linePitch="312" w:charSpace="0"/>
        </w:sectPr>
      </w:pPr>
    </w:p>
    <w:p>
      <w:pPr>
        <w:rPr>
          <w:color w:val="000000"/>
        </w:rPr>
      </w:pPr>
    </w:p>
    <w:p>
      <w:pPr>
        <w:jc w:val="left"/>
        <w:rPr>
          <w:rFonts w:eastAsia="黑体"/>
          <w:color w:val="000000"/>
          <w:sz w:val="44"/>
          <w:szCs w:val="44"/>
        </w:rPr>
      </w:pPr>
      <w:r>
        <w:rPr>
          <w:color w:val="000000"/>
          <w:sz w:val="44"/>
          <w:szCs w:val="44"/>
        </w:rPr>
        <w:pict>
          <v:rect id="矩形 192" o:spid="_x0000_s1088" o:spt="1" style="position:absolute;left:0pt;margin-left:256.7pt;margin-top:9.95pt;height:64.05pt;width:150pt;z-index:251659264;mso-width-relative:page;mso-height-relative:page;" coordsize="21600,21600">
            <v:path/>
            <v:fill focussize="0,0"/>
            <v:stroke weight="4.5pt" dashstyle="1 1" endcap="round"/>
            <v:imagedata o:title=""/>
            <o:lock v:ext="edit"/>
            <v:textbox>
              <w:txbxContent>
                <w:p>
                  <w:pPr>
                    <w:pStyle w:val="3"/>
                    <w:jc w:val="center"/>
                    <w:rPr>
                      <w:rFonts w:ascii="黑体" w:eastAsia="黑体"/>
                      <w:b/>
                      <w:bCs/>
                      <w:sz w:val="28"/>
                      <w:szCs w:val="28"/>
                    </w:rPr>
                  </w:pPr>
                  <w:r>
                    <w:rPr>
                      <w:rFonts w:hint="eastAsia" w:ascii="黑体" w:eastAsia="黑体"/>
                      <w:b/>
                      <w:bCs/>
                      <w:sz w:val="28"/>
                      <w:szCs w:val="28"/>
                    </w:rPr>
                    <w:t>JJF</w:t>
                  </w:r>
                  <w:r>
                    <w:rPr>
                      <w:rFonts w:hint="eastAsia" w:ascii="黑体" w:eastAsia="黑体"/>
                      <w:b/>
                      <w:bCs/>
                      <w:sz w:val="28"/>
                      <w:szCs w:val="28"/>
                      <w:lang w:val="en-US" w:eastAsia="zh-CN"/>
                    </w:rPr>
                    <w:t>（建材）××</w:t>
                  </w:r>
                  <w:r>
                    <w:rPr>
                      <w:rFonts w:hint="eastAsia" w:ascii="黑体" w:eastAsia="黑体"/>
                      <w:b/>
                      <w:bCs/>
                      <w:sz w:val="28"/>
                      <w:szCs w:val="28"/>
                      <w:lang w:val="en-GB"/>
                    </w:rPr>
                    <w:t>—</w:t>
                  </w:r>
                  <w:r>
                    <w:rPr>
                      <w:rFonts w:hint="eastAsia" w:ascii="黑体" w:hAnsi="宋体" w:eastAsia="黑体"/>
                      <w:b/>
                      <w:bCs/>
                      <w:sz w:val="28"/>
                      <w:szCs w:val="28"/>
                      <w:lang w:val="en-GB"/>
                    </w:rPr>
                    <w:t>××××</w:t>
                  </w:r>
                </w:p>
              </w:txbxContent>
            </v:textbox>
          </v:rect>
        </w:pict>
      </w:r>
      <w:r>
        <w:rPr>
          <w:rFonts w:hint="eastAsia" w:eastAsia="黑体"/>
          <w:color w:val="000000"/>
          <w:sz w:val="44"/>
          <w:szCs w:val="44"/>
        </w:rPr>
        <w:t>低辐射镀膜玻璃膜面辐</w:t>
      </w:r>
    </w:p>
    <w:p>
      <w:pPr>
        <w:jc w:val="left"/>
        <w:rPr>
          <w:rFonts w:eastAsia="黑体"/>
          <w:color w:val="000000"/>
          <w:sz w:val="44"/>
          <w:szCs w:val="44"/>
        </w:rPr>
      </w:pPr>
      <w:r>
        <w:rPr>
          <w:rFonts w:hint="eastAsia" w:eastAsia="黑体"/>
          <w:color w:val="000000"/>
          <w:sz w:val="44"/>
          <w:szCs w:val="44"/>
        </w:rPr>
        <w:t>射率测试仪校准规范</w:t>
      </w:r>
    </w:p>
    <w:p>
      <w:pPr>
        <w:spacing w:line="360" w:lineRule="auto"/>
        <w:rPr>
          <w:rFonts w:ascii="黑体" w:hAnsi="黑体" w:eastAsia="黑体" w:cs="黑体"/>
          <w:sz w:val="28"/>
          <w:szCs w:val="28"/>
        </w:rPr>
      </w:pPr>
      <w:r>
        <w:rPr>
          <w:rFonts w:hint="eastAsia" w:ascii="黑体" w:hAnsi="黑体" w:eastAsia="黑体" w:cs="黑体"/>
          <w:sz w:val="28"/>
          <w:szCs w:val="28"/>
        </w:rPr>
        <w:t xml:space="preserve">Calibration Specification of Emissometers </w:t>
      </w:r>
    </w:p>
    <w:p>
      <w:pPr>
        <w:spacing w:line="360" w:lineRule="auto"/>
        <w:rPr>
          <w:rFonts w:ascii="黑体" w:hAnsi="黑体" w:eastAsia="黑体" w:cs="黑体"/>
          <w:sz w:val="28"/>
          <w:szCs w:val="28"/>
        </w:rPr>
      </w:pPr>
      <w:r>
        <w:rPr>
          <w:rFonts w:hint="eastAsia" w:ascii="黑体" w:hAnsi="黑体" w:eastAsia="黑体" w:cs="黑体"/>
          <w:sz w:val="28"/>
          <w:szCs w:val="28"/>
        </w:rPr>
        <w:t xml:space="preserve">for Low Emissivity Coated Glass </w:t>
      </w:r>
    </w:p>
    <w:p>
      <w:pPr>
        <w:rPr>
          <w:color w:val="000000"/>
        </w:rPr>
      </w:pPr>
    </w:p>
    <w:p>
      <w:pPr>
        <w:pBdr>
          <w:bottom w:val="single" w:color="auto" w:sz="6" w:space="1"/>
        </w:pBdr>
        <w:rPr>
          <w:rFonts w:ascii="黑体"/>
          <w:color w:val="000000"/>
        </w:rPr>
      </w:pPr>
    </w:p>
    <w:p>
      <w:pPr>
        <w:ind w:firstLine="560" w:firstLineChars="200"/>
        <w:rPr>
          <w:color w:val="000000"/>
          <w:sz w:val="28"/>
        </w:rPr>
      </w:pPr>
    </w:p>
    <w:p>
      <w:pPr>
        <w:spacing w:line="360" w:lineRule="auto"/>
        <w:rPr>
          <w:rFonts w:eastAsia="黑体"/>
          <w:color w:val="000000"/>
          <w:sz w:val="28"/>
        </w:rPr>
      </w:pPr>
    </w:p>
    <w:p>
      <w:pPr>
        <w:spacing w:line="360" w:lineRule="auto"/>
        <w:rPr>
          <w:rFonts w:eastAsia="黑体"/>
          <w:color w:val="000000"/>
          <w:sz w:val="28"/>
        </w:rPr>
      </w:pPr>
    </w:p>
    <w:p>
      <w:pPr>
        <w:spacing w:line="360" w:lineRule="auto"/>
        <w:rPr>
          <w:rFonts w:eastAsia="黑体"/>
          <w:color w:val="000000"/>
          <w:sz w:val="28"/>
        </w:rPr>
      </w:pPr>
    </w:p>
    <w:p>
      <w:pPr>
        <w:spacing w:line="360" w:lineRule="auto"/>
        <w:ind w:firstLine="826" w:firstLineChars="295"/>
        <w:rPr>
          <w:rFonts w:eastAsia="黑体"/>
          <w:color w:val="000000"/>
          <w:sz w:val="28"/>
        </w:rPr>
      </w:pPr>
      <w:r>
        <w:rPr>
          <w:rFonts w:hint="eastAsia" w:eastAsia="黑体"/>
          <w:color w:val="000000"/>
          <w:sz w:val="28"/>
        </w:rPr>
        <w:t>归口单位：中国建筑材料联合会</w:t>
      </w:r>
    </w:p>
    <w:p>
      <w:pPr>
        <w:spacing w:line="360" w:lineRule="auto"/>
        <w:ind w:firstLine="826" w:firstLineChars="295"/>
        <w:rPr>
          <w:color w:val="000000"/>
          <w:sz w:val="28"/>
        </w:rPr>
      </w:pPr>
      <w:r>
        <w:rPr>
          <w:rFonts w:hint="eastAsia" w:eastAsia="黑体"/>
          <w:color w:val="000000"/>
          <w:sz w:val="28"/>
        </w:rPr>
        <w:t>主要起草单位：北京奥博泰科技有限公司</w:t>
      </w:r>
    </w:p>
    <w:p>
      <w:pPr>
        <w:spacing w:line="360" w:lineRule="auto"/>
        <w:ind w:firstLine="834" w:firstLineChars="298"/>
        <w:rPr>
          <w:rFonts w:eastAsia="黑体"/>
          <w:color w:val="000000"/>
          <w:sz w:val="28"/>
        </w:rPr>
      </w:pPr>
      <w:r>
        <w:rPr>
          <w:rFonts w:hint="eastAsia" w:eastAsia="黑体"/>
          <w:color w:val="000000"/>
          <w:sz w:val="28"/>
        </w:rPr>
        <w:t>参加起草单位：中国计量科学研究院</w:t>
      </w:r>
    </w:p>
    <w:p>
      <w:pPr>
        <w:spacing w:line="360" w:lineRule="auto"/>
        <w:ind w:firstLine="2791" w:firstLineChars="997"/>
        <w:rPr>
          <w:rFonts w:eastAsia="黑体"/>
          <w:color w:val="000000"/>
          <w:sz w:val="28"/>
        </w:rPr>
      </w:pPr>
      <w:r>
        <w:rPr>
          <w:rFonts w:hint="eastAsia" w:eastAsia="黑体"/>
          <w:color w:val="000000"/>
          <w:sz w:val="28"/>
        </w:rPr>
        <w:t>威海中玻新材料技术研发有限公司</w:t>
      </w:r>
    </w:p>
    <w:p>
      <w:pPr>
        <w:spacing w:line="360" w:lineRule="auto"/>
        <w:ind w:firstLine="2791" w:firstLineChars="997"/>
        <w:rPr>
          <w:rFonts w:eastAsia="黑体"/>
          <w:color w:val="000000"/>
          <w:sz w:val="28"/>
        </w:rPr>
      </w:pPr>
      <w:r>
        <w:rPr>
          <w:rFonts w:hint="eastAsia" w:eastAsia="黑体"/>
          <w:color w:val="000000"/>
          <w:sz w:val="28"/>
        </w:rPr>
        <w:t>国家玻璃质量监督检验中心</w:t>
      </w:r>
    </w:p>
    <w:p>
      <w:pPr>
        <w:spacing w:line="360" w:lineRule="auto"/>
        <w:ind w:firstLine="2791" w:firstLineChars="997"/>
        <w:rPr>
          <w:rFonts w:eastAsia="黑体"/>
          <w:color w:val="000000"/>
          <w:sz w:val="28"/>
        </w:rPr>
      </w:pPr>
      <w:r>
        <w:rPr>
          <w:rFonts w:hint="eastAsia" w:eastAsia="黑体"/>
          <w:color w:val="000000"/>
          <w:sz w:val="28"/>
        </w:rPr>
        <w:t>上海市质量监督检验技术研究院</w:t>
      </w:r>
    </w:p>
    <w:p>
      <w:pPr>
        <w:spacing w:line="360" w:lineRule="auto"/>
        <w:rPr>
          <w:color w:val="000000"/>
        </w:rPr>
      </w:pPr>
    </w:p>
    <w:p>
      <w:pPr>
        <w:spacing w:line="360" w:lineRule="auto"/>
        <w:ind w:firstLine="358" w:firstLineChars="128"/>
        <w:jc w:val="center"/>
        <w:rPr>
          <w:color w:val="000000"/>
        </w:rPr>
        <w:sectPr>
          <w:headerReference r:id="rId4" w:type="default"/>
          <w:footerReference r:id="rId5" w:type="default"/>
          <w:pgSz w:w="11850" w:h="16783"/>
          <w:pgMar w:top="1440" w:right="1797" w:bottom="1440" w:left="1797" w:header="851" w:footer="992" w:gutter="0"/>
          <w:pgNumType w:fmt="upperRoman" w:start="1"/>
          <w:cols w:space="720" w:num="1"/>
          <w:docGrid w:type="lines" w:linePitch="481" w:charSpace="-5735"/>
        </w:sectPr>
      </w:pPr>
      <w:r>
        <w:rPr>
          <w:rFonts w:hint="eastAsia"/>
          <w:color w:val="000000"/>
          <w:sz w:val="28"/>
        </w:rPr>
        <w:t>本规范委托全国建材工业计量技术委员会负责解释。</w:t>
      </w:r>
    </w:p>
    <w:p>
      <w:pPr>
        <w:spacing w:line="360" w:lineRule="auto"/>
        <w:ind w:firstLine="268" w:firstLineChars="128"/>
        <w:jc w:val="center"/>
        <w:rPr>
          <w:color w:val="000000"/>
        </w:rPr>
      </w:pPr>
    </w:p>
    <w:p>
      <w:pPr>
        <w:spacing w:line="600" w:lineRule="exact"/>
        <w:ind w:firstLine="719" w:firstLineChars="257"/>
        <w:rPr>
          <w:rFonts w:ascii="黑体" w:eastAsia="黑体"/>
          <w:color w:val="000000"/>
          <w:sz w:val="28"/>
          <w:szCs w:val="28"/>
        </w:rPr>
      </w:pPr>
      <w:r>
        <w:rPr>
          <w:rFonts w:hint="eastAsia" w:ascii="黑体" w:eastAsia="黑体"/>
          <w:color w:val="000000"/>
          <w:sz w:val="28"/>
          <w:szCs w:val="28"/>
        </w:rPr>
        <w:t>本规范主要起草人：</w:t>
      </w:r>
    </w:p>
    <w:p>
      <w:pPr>
        <w:spacing w:line="600" w:lineRule="exact"/>
        <w:ind w:firstLine="2800" w:firstLineChars="1000"/>
        <w:rPr>
          <w:rFonts w:ascii="黑体" w:eastAsia="黑体"/>
          <w:color w:val="000000"/>
          <w:sz w:val="28"/>
          <w:szCs w:val="28"/>
        </w:rPr>
      </w:pPr>
      <w:r>
        <w:rPr>
          <w:rFonts w:hint="eastAsia" w:ascii="黑体" w:eastAsia="黑体"/>
          <w:color w:val="000000"/>
          <w:sz w:val="28"/>
          <w:szCs w:val="28"/>
        </w:rPr>
        <w:t>黄达泉（北京奥博泰科技有限公司）</w:t>
      </w:r>
    </w:p>
    <w:p>
      <w:pPr>
        <w:spacing w:line="600" w:lineRule="exact"/>
        <w:ind w:firstLine="2800" w:firstLineChars="1000"/>
        <w:rPr>
          <w:rFonts w:ascii="黑体" w:eastAsia="黑体"/>
          <w:color w:val="000000"/>
          <w:sz w:val="28"/>
          <w:szCs w:val="28"/>
        </w:rPr>
      </w:pPr>
      <w:r>
        <w:rPr>
          <w:rFonts w:hint="eastAsia" w:ascii="黑体" w:eastAsia="黑体"/>
          <w:color w:val="000000"/>
          <w:sz w:val="28"/>
          <w:szCs w:val="28"/>
        </w:rPr>
        <w:t>孙若端（中国计量科学研究院）</w:t>
      </w:r>
    </w:p>
    <w:p>
      <w:pPr>
        <w:spacing w:line="600" w:lineRule="exact"/>
        <w:ind w:firstLine="2800" w:firstLineChars="1000"/>
        <w:rPr>
          <w:rFonts w:ascii="黑体" w:eastAsia="黑体"/>
          <w:color w:val="000000"/>
          <w:sz w:val="28"/>
          <w:szCs w:val="28"/>
        </w:rPr>
      </w:pPr>
      <w:r>
        <w:rPr>
          <w:rFonts w:hint="eastAsia" w:ascii="黑体" w:eastAsia="黑体"/>
          <w:color w:val="000000"/>
          <w:sz w:val="28"/>
          <w:szCs w:val="28"/>
        </w:rPr>
        <w:t>武文杰（北京奥博泰科技有限公司）</w:t>
      </w:r>
    </w:p>
    <w:p>
      <w:pPr>
        <w:spacing w:line="600" w:lineRule="exact"/>
        <w:ind w:firstLine="719" w:firstLineChars="257"/>
        <w:rPr>
          <w:rFonts w:ascii="黑体" w:eastAsia="黑体"/>
          <w:color w:val="000000"/>
          <w:sz w:val="28"/>
          <w:szCs w:val="28"/>
        </w:rPr>
      </w:pPr>
      <w:r>
        <w:rPr>
          <w:rFonts w:hint="eastAsia" w:ascii="黑体" w:eastAsia="黑体"/>
          <w:color w:val="000000"/>
          <w:sz w:val="28"/>
          <w:szCs w:val="28"/>
        </w:rPr>
        <w:t>参加起草人：</w:t>
      </w:r>
    </w:p>
    <w:p>
      <w:pPr>
        <w:spacing w:line="600" w:lineRule="exact"/>
        <w:ind w:firstLine="2800" w:firstLineChars="1000"/>
        <w:rPr>
          <w:rFonts w:ascii="黑体" w:eastAsia="黑体"/>
          <w:color w:val="000000"/>
          <w:sz w:val="28"/>
          <w:szCs w:val="28"/>
        </w:rPr>
      </w:pPr>
      <w:r>
        <w:rPr>
          <w:rFonts w:hint="eastAsia" w:ascii="黑体" w:eastAsia="黑体"/>
          <w:color w:val="000000"/>
          <w:sz w:val="28"/>
          <w:szCs w:val="28"/>
        </w:rPr>
        <w:t>刘起英（威海中玻新材料技术研发有限公司）</w:t>
      </w:r>
    </w:p>
    <w:p>
      <w:pPr>
        <w:spacing w:line="600" w:lineRule="exact"/>
        <w:ind w:firstLine="2800" w:firstLineChars="1000"/>
        <w:rPr>
          <w:rFonts w:ascii="黑体" w:eastAsia="黑体"/>
          <w:color w:val="000000"/>
          <w:sz w:val="28"/>
          <w:szCs w:val="28"/>
        </w:rPr>
      </w:pPr>
      <w:r>
        <w:rPr>
          <w:rFonts w:hint="eastAsia" w:ascii="黑体" w:eastAsia="黑体"/>
          <w:color w:val="000000"/>
          <w:sz w:val="28"/>
          <w:szCs w:val="28"/>
        </w:rPr>
        <w:t>嵇书伟（国家玻璃质量监督检验中心）</w:t>
      </w:r>
    </w:p>
    <w:p>
      <w:pPr>
        <w:spacing w:line="600" w:lineRule="exact"/>
        <w:ind w:firstLine="2800" w:firstLineChars="1000"/>
        <w:rPr>
          <w:rFonts w:ascii="黑体" w:eastAsia="黑体"/>
          <w:color w:val="000000"/>
          <w:sz w:val="28"/>
          <w:szCs w:val="28"/>
        </w:rPr>
      </w:pPr>
      <w:r>
        <w:rPr>
          <w:rFonts w:hint="eastAsia" w:ascii="黑体" w:eastAsia="黑体"/>
          <w:color w:val="000000"/>
          <w:sz w:val="28"/>
          <w:szCs w:val="28"/>
        </w:rPr>
        <w:t>张红（上海市质量监督检验技术研究院）</w:t>
      </w:r>
    </w:p>
    <w:p>
      <w:pPr>
        <w:spacing w:line="600" w:lineRule="exact"/>
        <w:ind w:firstLine="2800" w:firstLineChars="1000"/>
        <w:rPr>
          <w:rFonts w:ascii="黑体" w:eastAsia="黑体"/>
          <w:color w:val="000000"/>
          <w:sz w:val="28"/>
          <w:szCs w:val="28"/>
        </w:rPr>
      </w:pPr>
      <w:r>
        <w:rPr>
          <w:rFonts w:hint="eastAsia" w:ascii="黑体" w:eastAsia="黑体"/>
          <w:color w:val="000000"/>
          <w:sz w:val="28"/>
          <w:szCs w:val="28"/>
        </w:rPr>
        <w:t>苑  静（北京奥博泰科技有限公司）</w:t>
      </w:r>
    </w:p>
    <w:p>
      <w:pPr>
        <w:ind w:firstLine="2100" w:firstLineChars="1000"/>
        <w:rPr>
          <w:color w:val="000000"/>
        </w:rPr>
      </w:pPr>
    </w:p>
    <w:p>
      <w:pPr>
        <w:ind w:firstLine="2100" w:firstLineChars="1000"/>
        <w:rPr>
          <w:color w:val="000000"/>
        </w:rPr>
      </w:pPr>
    </w:p>
    <w:p>
      <w:pPr>
        <w:rPr>
          <w:color w:val="000000"/>
        </w:rPr>
      </w:pPr>
    </w:p>
    <w:p>
      <w:pPr>
        <w:rPr>
          <w:color w:val="000000"/>
        </w:rPr>
      </w:pPr>
    </w:p>
    <w:p>
      <w:pPr>
        <w:rPr>
          <w:color w:val="000000"/>
        </w:rPr>
      </w:pPr>
    </w:p>
    <w:p>
      <w:pPr>
        <w:rPr>
          <w:rFonts w:ascii="宋体" w:hAnsi="宋体"/>
          <w:bCs/>
          <w:color w:val="000000"/>
          <w:szCs w:val="21"/>
        </w:rPr>
      </w:pPr>
    </w:p>
    <w:p>
      <w:pPr>
        <w:jc w:val="distribute"/>
        <w:rPr>
          <w:rFonts w:ascii="宋体" w:hAnsi="宋体"/>
          <w:bCs/>
          <w:color w:val="000000"/>
          <w:szCs w:val="21"/>
        </w:rPr>
      </w:pPr>
    </w:p>
    <w:p>
      <w:pPr>
        <w:jc w:val="distribute"/>
        <w:rPr>
          <w:rFonts w:ascii="宋体" w:hAnsi="宋体"/>
          <w:bCs/>
          <w:color w:val="000000"/>
          <w:szCs w:val="21"/>
        </w:rPr>
      </w:pPr>
    </w:p>
    <w:p>
      <w:pPr>
        <w:jc w:val="distribute"/>
        <w:rPr>
          <w:rFonts w:ascii="宋体" w:hAnsi="宋体"/>
          <w:bCs/>
          <w:color w:val="000000"/>
          <w:szCs w:val="21"/>
        </w:rPr>
      </w:pPr>
    </w:p>
    <w:p>
      <w:pPr>
        <w:jc w:val="distribute"/>
        <w:rPr>
          <w:rFonts w:ascii="宋体" w:hAnsi="宋体"/>
          <w:bCs/>
          <w:color w:val="000000"/>
          <w:szCs w:val="21"/>
        </w:rPr>
      </w:pPr>
    </w:p>
    <w:p>
      <w:pPr>
        <w:jc w:val="distribute"/>
        <w:rPr>
          <w:rFonts w:ascii="宋体" w:hAnsi="宋体"/>
          <w:bCs/>
          <w:color w:val="000000"/>
          <w:szCs w:val="21"/>
        </w:rPr>
      </w:pPr>
    </w:p>
    <w:p>
      <w:pPr>
        <w:jc w:val="distribute"/>
        <w:rPr>
          <w:rFonts w:ascii="宋体" w:hAnsi="宋体"/>
          <w:bCs/>
          <w:color w:val="000000"/>
          <w:szCs w:val="21"/>
        </w:rPr>
      </w:pPr>
    </w:p>
    <w:p>
      <w:pPr>
        <w:jc w:val="distribute"/>
        <w:rPr>
          <w:rFonts w:ascii="宋体" w:hAnsi="宋体"/>
          <w:bCs/>
          <w:color w:val="000000"/>
          <w:szCs w:val="21"/>
        </w:rPr>
      </w:pPr>
    </w:p>
    <w:p>
      <w:pPr>
        <w:jc w:val="distribute"/>
        <w:rPr>
          <w:rFonts w:ascii="宋体" w:hAnsi="宋体"/>
          <w:bCs/>
          <w:color w:val="000000"/>
          <w:szCs w:val="21"/>
        </w:rPr>
      </w:pPr>
    </w:p>
    <w:p>
      <w:pPr>
        <w:jc w:val="distribute"/>
        <w:rPr>
          <w:rFonts w:ascii="宋体" w:hAnsi="宋体"/>
          <w:bCs/>
          <w:color w:val="000000"/>
          <w:szCs w:val="21"/>
        </w:rPr>
      </w:pPr>
    </w:p>
    <w:p>
      <w:pPr>
        <w:jc w:val="distribute"/>
        <w:rPr>
          <w:rFonts w:ascii="宋体" w:hAnsi="宋体"/>
          <w:bCs/>
          <w:color w:val="000000"/>
          <w:szCs w:val="21"/>
        </w:rPr>
        <w:sectPr>
          <w:footerReference r:id="rId6" w:type="default"/>
          <w:pgSz w:w="11850" w:h="16783"/>
          <w:pgMar w:top="1440" w:right="1797" w:bottom="1440" w:left="1797" w:header="851" w:footer="992" w:gutter="0"/>
          <w:pgNumType w:fmt="upperRoman" w:start="1"/>
          <w:cols w:space="720" w:num="1"/>
          <w:docGrid w:type="lines" w:linePitch="481" w:charSpace="-5735"/>
        </w:sectPr>
      </w:pPr>
    </w:p>
    <w:p>
      <w:pPr>
        <w:pStyle w:val="11"/>
        <w:tabs>
          <w:tab w:val="right" w:leader="dot" w:pos="8306"/>
          <w:tab w:val="clear" w:pos="8296"/>
        </w:tabs>
        <w:jc w:val="center"/>
        <w:rPr>
          <w:sz w:val="44"/>
          <w:szCs w:val="44"/>
        </w:rPr>
      </w:pPr>
      <w:r>
        <w:rPr>
          <w:rFonts w:eastAsia="黑体"/>
          <w:sz w:val="44"/>
          <w:szCs w:val="44"/>
        </w:rPr>
        <w:t>目录</w:t>
      </w:r>
      <w:bookmarkStart w:id="210" w:name="_GoBack"/>
      <w:bookmarkEnd w:id="210"/>
    </w:p>
    <w:p>
      <w:pPr>
        <w:pStyle w:val="11"/>
        <w:tabs>
          <w:tab w:val="right" w:leader="dot" w:pos="8306"/>
          <w:tab w:val="clear" w:pos="8296"/>
        </w:tabs>
        <w:rPr>
          <w:rFonts w:hint="eastAsia" w:ascii="宋体" w:hAnsi="宋体" w:eastAsia="宋体" w:cs="宋体"/>
          <w:lang w:val="en-US" w:eastAsia="zh-CN"/>
        </w:rPr>
      </w:pPr>
      <w:r>
        <w:fldChar w:fldCharType="begin"/>
      </w:r>
      <w:r>
        <w:instrText xml:space="preserve">TOC \o "1-1" \t "标题 2,1,标题 3,1,样式1,1"</w:instrText>
      </w:r>
      <w:r>
        <w:fldChar w:fldCharType="separate"/>
      </w:r>
      <w:r>
        <w:rPr>
          <w:rFonts w:hint="eastAsia" w:ascii="宋体" w:hAnsi="宋体" w:cs="宋体"/>
          <w:szCs w:val="44"/>
        </w:rPr>
        <w:t>引言</w:t>
      </w:r>
      <w:r>
        <w:rPr>
          <w:rFonts w:hint="eastAsia" w:ascii="宋体" w:hAnsi="宋体" w:cs="宋体"/>
        </w:rPr>
        <w:tab/>
      </w:r>
      <w:r>
        <w:rPr>
          <w:rFonts w:hint="eastAsia" w:ascii="宋体" w:hAnsi="宋体" w:cs="宋体"/>
          <w:lang w:val="en-US" w:eastAsia="zh-CN"/>
        </w:rPr>
        <w:t>(</w:t>
      </w:r>
      <w:r>
        <w:rPr>
          <w:rFonts w:hint="eastAsia" w:ascii="宋体" w:hAnsi="宋体" w:cs="宋体"/>
        </w:rPr>
        <w:fldChar w:fldCharType="begin"/>
      </w:r>
      <w:r>
        <w:rPr>
          <w:rFonts w:hint="eastAsia" w:ascii="宋体" w:hAnsi="宋体" w:cs="宋体"/>
        </w:rPr>
        <w:instrText xml:space="preserve"> PAGEREF _Toc19656 \h </w:instrText>
      </w:r>
      <w:r>
        <w:rPr>
          <w:rFonts w:hint="eastAsia" w:ascii="宋体" w:hAnsi="宋体" w:cs="宋体"/>
        </w:rPr>
        <w:fldChar w:fldCharType="separate"/>
      </w:r>
      <w:r>
        <w:rPr>
          <w:rFonts w:hint="eastAsia" w:ascii="宋体" w:hAnsi="宋体" w:cs="宋体"/>
        </w:rPr>
        <w:t>II</w:t>
      </w:r>
      <w:r>
        <w:rPr>
          <w:rFonts w:hint="eastAsia" w:ascii="宋体" w:hAnsi="宋体" w:cs="宋体"/>
        </w:rPr>
        <w:fldChar w:fldCharType="end"/>
      </w:r>
      <w:r>
        <w:rPr>
          <w:rFonts w:hint="eastAsia" w:ascii="宋体" w:hAnsi="宋体" w:cs="宋体"/>
          <w:lang w:val="en-US" w:eastAsia="zh-CN"/>
        </w:rPr>
        <w:t>)</w:t>
      </w:r>
    </w:p>
    <w:p>
      <w:pPr>
        <w:pStyle w:val="11"/>
        <w:tabs>
          <w:tab w:val="right" w:leader="dot" w:pos="8306"/>
          <w:tab w:val="clear" w:pos="8296"/>
        </w:tabs>
        <w:rPr>
          <w:rFonts w:hint="eastAsia" w:ascii="宋体" w:hAnsi="宋体" w:eastAsia="宋体" w:cs="宋体"/>
          <w:lang w:val="en-US" w:eastAsia="zh-CN"/>
        </w:rPr>
      </w:pPr>
      <w:r>
        <w:rPr>
          <w:rFonts w:hint="eastAsia" w:ascii="宋体" w:hAnsi="宋体" w:cs="宋体"/>
        </w:rPr>
        <w:t>1 范围</w:t>
      </w:r>
      <w:r>
        <w:rPr>
          <w:rFonts w:hint="eastAsia" w:ascii="宋体" w:hAnsi="宋体" w:cs="宋体"/>
        </w:rPr>
        <w:tab/>
      </w:r>
      <w:r>
        <w:rPr>
          <w:rFonts w:hint="eastAsia" w:ascii="宋体" w:hAnsi="宋体" w:cs="宋体"/>
          <w:lang w:val="en-US" w:eastAsia="zh-CN"/>
        </w:rPr>
        <w:t>(</w:t>
      </w:r>
      <w:r>
        <w:rPr>
          <w:rFonts w:hint="eastAsia" w:ascii="宋体" w:hAnsi="宋体" w:cs="宋体"/>
        </w:rPr>
        <w:fldChar w:fldCharType="begin"/>
      </w:r>
      <w:r>
        <w:rPr>
          <w:rFonts w:hint="eastAsia" w:ascii="宋体" w:hAnsi="宋体" w:cs="宋体"/>
        </w:rPr>
        <w:instrText xml:space="preserve"> PAGEREF _Toc17509 \h </w:instrText>
      </w:r>
      <w:r>
        <w:rPr>
          <w:rFonts w:hint="eastAsia" w:ascii="宋体" w:hAnsi="宋体" w:cs="宋体"/>
        </w:rPr>
        <w:fldChar w:fldCharType="separate"/>
      </w:r>
      <w:r>
        <w:rPr>
          <w:rFonts w:hint="eastAsia" w:ascii="宋体" w:hAnsi="宋体" w:cs="宋体"/>
        </w:rPr>
        <w:t>1</w:t>
      </w:r>
      <w:r>
        <w:rPr>
          <w:rFonts w:hint="eastAsia" w:ascii="宋体" w:hAnsi="宋体" w:cs="宋体"/>
        </w:rPr>
        <w:fldChar w:fldCharType="end"/>
      </w:r>
      <w:r>
        <w:rPr>
          <w:rFonts w:hint="eastAsia" w:ascii="宋体" w:hAnsi="宋体" w:cs="宋体"/>
          <w:lang w:val="en-US" w:eastAsia="zh-CN"/>
        </w:rPr>
        <w:t>)</w:t>
      </w:r>
    </w:p>
    <w:p>
      <w:pPr>
        <w:pStyle w:val="11"/>
        <w:tabs>
          <w:tab w:val="right" w:leader="dot" w:pos="8306"/>
          <w:tab w:val="clear" w:pos="8296"/>
        </w:tabs>
        <w:rPr>
          <w:rFonts w:hint="eastAsia" w:ascii="宋体" w:hAnsi="宋体" w:eastAsia="宋体" w:cs="宋体"/>
          <w:lang w:val="en-US" w:eastAsia="zh-CN"/>
        </w:rPr>
      </w:pPr>
      <w:r>
        <w:rPr>
          <w:rFonts w:hint="eastAsia" w:ascii="宋体" w:hAnsi="宋体" w:cs="宋体"/>
        </w:rPr>
        <w:t>2 引用文件</w:t>
      </w:r>
      <w:r>
        <w:rPr>
          <w:rFonts w:hint="eastAsia" w:ascii="宋体" w:hAnsi="宋体" w:cs="宋体"/>
        </w:rPr>
        <w:tab/>
      </w:r>
      <w:r>
        <w:rPr>
          <w:rFonts w:hint="eastAsia" w:ascii="宋体" w:hAnsi="宋体" w:cs="宋体"/>
          <w:lang w:val="en-US" w:eastAsia="zh-CN"/>
        </w:rPr>
        <w:t>(</w:t>
      </w:r>
      <w:r>
        <w:rPr>
          <w:rFonts w:hint="eastAsia" w:ascii="宋体" w:hAnsi="宋体" w:cs="宋体"/>
        </w:rPr>
        <w:fldChar w:fldCharType="begin"/>
      </w:r>
      <w:r>
        <w:rPr>
          <w:rFonts w:hint="eastAsia" w:ascii="宋体" w:hAnsi="宋体" w:cs="宋体"/>
        </w:rPr>
        <w:instrText xml:space="preserve"> PAGEREF _Toc18750 \h </w:instrText>
      </w:r>
      <w:r>
        <w:rPr>
          <w:rFonts w:hint="eastAsia" w:ascii="宋体" w:hAnsi="宋体" w:cs="宋体"/>
        </w:rPr>
        <w:fldChar w:fldCharType="separate"/>
      </w:r>
      <w:r>
        <w:rPr>
          <w:rFonts w:hint="eastAsia" w:ascii="宋体" w:hAnsi="宋体" w:cs="宋体"/>
        </w:rPr>
        <w:t>1</w:t>
      </w:r>
      <w:r>
        <w:rPr>
          <w:rFonts w:hint="eastAsia" w:ascii="宋体" w:hAnsi="宋体" w:cs="宋体"/>
        </w:rPr>
        <w:fldChar w:fldCharType="end"/>
      </w:r>
      <w:r>
        <w:rPr>
          <w:rFonts w:hint="eastAsia" w:ascii="宋体" w:hAnsi="宋体" w:cs="宋体"/>
          <w:lang w:val="en-US" w:eastAsia="zh-CN"/>
        </w:rPr>
        <w:t>)</w:t>
      </w:r>
    </w:p>
    <w:p>
      <w:pPr>
        <w:pStyle w:val="11"/>
        <w:tabs>
          <w:tab w:val="right" w:leader="dot" w:pos="8306"/>
          <w:tab w:val="clear" w:pos="8296"/>
        </w:tabs>
        <w:rPr>
          <w:rFonts w:hint="eastAsia" w:ascii="宋体" w:hAnsi="宋体" w:eastAsia="宋体" w:cs="宋体"/>
          <w:lang w:val="en-US" w:eastAsia="zh-CN"/>
        </w:rPr>
      </w:pPr>
      <w:r>
        <w:rPr>
          <w:rFonts w:hint="eastAsia" w:ascii="宋体" w:hAnsi="宋体" w:cs="宋体"/>
        </w:rPr>
        <w:t>3 术语和定义</w:t>
      </w:r>
      <w:r>
        <w:rPr>
          <w:rFonts w:hint="eastAsia" w:ascii="宋体" w:hAnsi="宋体" w:cs="宋体"/>
        </w:rPr>
        <w:tab/>
      </w:r>
      <w:r>
        <w:rPr>
          <w:rFonts w:hint="eastAsia" w:ascii="宋体" w:hAnsi="宋体" w:cs="宋体"/>
          <w:lang w:val="en-US" w:eastAsia="zh-CN"/>
        </w:rPr>
        <w:t>(</w:t>
      </w:r>
      <w:r>
        <w:rPr>
          <w:rFonts w:hint="eastAsia" w:ascii="宋体" w:hAnsi="宋体" w:cs="宋体"/>
        </w:rPr>
        <w:fldChar w:fldCharType="begin"/>
      </w:r>
      <w:r>
        <w:rPr>
          <w:rFonts w:hint="eastAsia" w:ascii="宋体" w:hAnsi="宋体" w:cs="宋体"/>
        </w:rPr>
        <w:instrText xml:space="preserve"> PAGEREF _Toc855 \h </w:instrText>
      </w:r>
      <w:r>
        <w:rPr>
          <w:rFonts w:hint="eastAsia" w:ascii="宋体" w:hAnsi="宋体" w:cs="宋体"/>
        </w:rPr>
        <w:fldChar w:fldCharType="separate"/>
      </w:r>
      <w:r>
        <w:rPr>
          <w:rFonts w:hint="eastAsia" w:ascii="宋体" w:hAnsi="宋体" w:cs="宋体"/>
        </w:rPr>
        <w:t>1</w:t>
      </w:r>
      <w:r>
        <w:rPr>
          <w:rFonts w:hint="eastAsia" w:ascii="宋体" w:hAnsi="宋体" w:cs="宋体"/>
        </w:rPr>
        <w:fldChar w:fldCharType="end"/>
      </w:r>
      <w:r>
        <w:rPr>
          <w:rFonts w:hint="eastAsia" w:ascii="宋体" w:hAnsi="宋体" w:cs="宋体"/>
          <w:lang w:val="en-US" w:eastAsia="zh-CN"/>
        </w:rPr>
        <w:t>)</w:t>
      </w:r>
    </w:p>
    <w:p>
      <w:pPr>
        <w:pStyle w:val="11"/>
        <w:tabs>
          <w:tab w:val="right" w:leader="dot" w:pos="8306"/>
          <w:tab w:val="clear" w:pos="8296"/>
        </w:tabs>
        <w:rPr>
          <w:rFonts w:hint="eastAsia" w:ascii="宋体" w:hAnsi="宋体" w:eastAsia="宋体" w:cs="宋体"/>
          <w:lang w:val="en-US" w:eastAsia="zh-CN"/>
        </w:rPr>
      </w:pPr>
      <w:r>
        <w:rPr>
          <w:rFonts w:hint="eastAsia" w:ascii="宋体" w:hAnsi="宋体" w:cs="宋体"/>
        </w:rPr>
        <w:t xml:space="preserve">4 概述 </w:t>
      </w:r>
      <w:r>
        <w:rPr>
          <w:rFonts w:hint="eastAsia" w:ascii="宋体" w:hAnsi="宋体" w:cs="宋体"/>
        </w:rPr>
        <w:tab/>
      </w:r>
      <w:r>
        <w:rPr>
          <w:rFonts w:hint="eastAsia" w:ascii="宋体" w:hAnsi="宋体" w:cs="宋体"/>
          <w:lang w:val="en-US" w:eastAsia="zh-CN"/>
        </w:rPr>
        <w:t>(</w:t>
      </w:r>
      <w:r>
        <w:rPr>
          <w:rFonts w:hint="eastAsia" w:ascii="宋体" w:hAnsi="宋体" w:cs="宋体"/>
        </w:rPr>
        <w:fldChar w:fldCharType="begin"/>
      </w:r>
      <w:r>
        <w:rPr>
          <w:rFonts w:hint="eastAsia" w:ascii="宋体" w:hAnsi="宋体" w:cs="宋体"/>
        </w:rPr>
        <w:instrText xml:space="preserve"> PAGEREF _Toc31219 \h </w:instrText>
      </w:r>
      <w:r>
        <w:rPr>
          <w:rFonts w:hint="eastAsia" w:ascii="宋体" w:hAnsi="宋体" w:cs="宋体"/>
        </w:rPr>
        <w:fldChar w:fldCharType="separate"/>
      </w:r>
      <w:r>
        <w:rPr>
          <w:rFonts w:hint="eastAsia" w:ascii="宋体" w:hAnsi="宋体" w:cs="宋体"/>
        </w:rPr>
        <w:t>1</w:t>
      </w:r>
      <w:r>
        <w:rPr>
          <w:rFonts w:hint="eastAsia" w:ascii="宋体" w:hAnsi="宋体" w:cs="宋体"/>
        </w:rPr>
        <w:fldChar w:fldCharType="end"/>
      </w:r>
      <w:r>
        <w:rPr>
          <w:rFonts w:hint="eastAsia" w:ascii="宋体" w:hAnsi="宋体" w:cs="宋体"/>
          <w:lang w:val="en-US" w:eastAsia="zh-CN"/>
        </w:rPr>
        <w:t>)</w:t>
      </w:r>
    </w:p>
    <w:p>
      <w:pPr>
        <w:pStyle w:val="11"/>
        <w:tabs>
          <w:tab w:val="right" w:leader="dot" w:pos="8306"/>
          <w:tab w:val="clear" w:pos="8296"/>
        </w:tabs>
        <w:rPr>
          <w:rFonts w:hint="eastAsia" w:ascii="宋体" w:hAnsi="宋体" w:eastAsia="宋体" w:cs="宋体"/>
          <w:lang w:val="en-US" w:eastAsia="zh-CN"/>
        </w:rPr>
      </w:pPr>
      <w:r>
        <w:rPr>
          <w:rFonts w:hint="eastAsia" w:ascii="宋体" w:hAnsi="宋体" w:cs="宋体"/>
        </w:rPr>
        <w:t>5 计量特性</w:t>
      </w:r>
      <w:r>
        <w:rPr>
          <w:rFonts w:hint="eastAsia" w:ascii="宋体" w:hAnsi="宋体" w:cs="宋体"/>
        </w:rPr>
        <w:tab/>
      </w:r>
      <w:r>
        <w:rPr>
          <w:rFonts w:hint="eastAsia" w:ascii="宋体" w:hAnsi="宋体" w:cs="宋体"/>
          <w:lang w:val="en-US" w:eastAsia="zh-CN"/>
        </w:rPr>
        <w:t>(</w:t>
      </w:r>
      <w:r>
        <w:rPr>
          <w:rFonts w:hint="eastAsia" w:ascii="宋体" w:hAnsi="宋体" w:cs="宋体"/>
        </w:rPr>
        <w:fldChar w:fldCharType="begin"/>
      </w:r>
      <w:r>
        <w:rPr>
          <w:rFonts w:hint="eastAsia" w:ascii="宋体" w:hAnsi="宋体" w:cs="宋体"/>
        </w:rPr>
        <w:instrText xml:space="preserve"> PAGEREF _Toc30850 \h </w:instrText>
      </w:r>
      <w:r>
        <w:rPr>
          <w:rFonts w:hint="eastAsia" w:ascii="宋体" w:hAnsi="宋体" w:cs="宋体"/>
        </w:rPr>
        <w:fldChar w:fldCharType="separate"/>
      </w:r>
      <w:r>
        <w:rPr>
          <w:rFonts w:hint="eastAsia" w:ascii="宋体" w:hAnsi="宋体" w:cs="宋体"/>
        </w:rPr>
        <w:t>1</w:t>
      </w:r>
      <w:r>
        <w:rPr>
          <w:rFonts w:hint="eastAsia" w:ascii="宋体" w:hAnsi="宋体" w:cs="宋体"/>
        </w:rPr>
        <w:fldChar w:fldCharType="end"/>
      </w:r>
      <w:r>
        <w:rPr>
          <w:rFonts w:hint="eastAsia" w:ascii="宋体" w:hAnsi="宋体" w:cs="宋体"/>
          <w:lang w:val="en-US" w:eastAsia="zh-CN"/>
        </w:rPr>
        <w:t>)</w:t>
      </w:r>
    </w:p>
    <w:p>
      <w:pPr>
        <w:pStyle w:val="11"/>
        <w:tabs>
          <w:tab w:val="right" w:leader="dot" w:pos="8306"/>
          <w:tab w:val="clear" w:pos="8296"/>
        </w:tabs>
        <w:rPr>
          <w:rFonts w:hint="eastAsia" w:ascii="宋体" w:hAnsi="宋体" w:eastAsia="宋体" w:cs="宋体"/>
          <w:lang w:val="en-US" w:eastAsia="zh-CN"/>
        </w:rPr>
      </w:pPr>
      <w:r>
        <w:rPr>
          <w:rFonts w:hint="eastAsia" w:ascii="宋体" w:hAnsi="宋体" w:cs="宋体"/>
        </w:rPr>
        <w:t>6校准条件</w:t>
      </w:r>
      <w:r>
        <w:rPr>
          <w:rFonts w:hint="eastAsia" w:ascii="宋体" w:hAnsi="宋体" w:cs="宋体"/>
        </w:rPr>
        <w:tab/>
      </w:r>
      <w:r>
        <w:rPr>
          <w:rFonts w:hint="eastAsia" w:ascii="宋体" w:hAnsi="宋体" w:cs="宋体"/>
          <w:lang w:val="en-US" w:eastAsia="zh-CN"/>
        </w:rPr>
        <w:t>(</w:t>
      </w:r>
      <w:r>
        <w:rPr>
          <w:rFonts w:hint="eastAsia" w:ascii="宋体" w:hAnsi="宋体" w:cs="宋体"/>
        </w:rPr>
        <w:fldChar w:fldCharType="begin"/>
      </w:r>
      <w:r>
        <w:rPr>
          <w:rFonts w:hint="eastAsia" w:ascii="宋体" w:hAnsi="宋体" w:cs="宋体"/>
        </w:rPr>
        <w:instrText xml:space="preserve"> PAGEREF _Toc17151 \h </w:instrText>
      </w:r>
      <w:r>
        <w:rPr>
          <w:rFonts w:hint="eastAsia" w:ascii="宋体" w:hAnsi="宋体" w:cs="宋体"/>
        </w:rPr>
        <w:fldChar w:fldCharType="separate"/>
      </w:r>
      <w:r>
        <w:rPr>
          <w:rFonts w:hint="eastAsia" w:ascii="宋体" w:hAnsi="宋体" w:cs="宋体"/>
        </w:rPr>
        <w:t>2</w:t>
      </w:r>
      <w:r>
        <w:rPr>
          <w:rFonts w:hint="eastAsia" w:ascii="宋体" w:hAnsi="宋体" w:cs="宋体"/>
        </w:rPr>
        <w:fldChar w:fldCharType="end"/>
      </w:r>
      <w:r>
        <w:rPr>
          <w:rFonts w:hint="eastAsia" w:ascii="宋体" w:hAnsi="宋体" w:cs="宋体"/>
          <w:lang w:val="en-US" w:eastAsia="zh-CN"/>
        </w:rPr>
        <w:t>)</w:t>
      </w:r>
    </w:p>
    <w:p>
      <w:pPr>
        <w:pStyle w:val="11"/>
        <w:tabs>
          <w:tab w:val="right" w:leader="dot" w:pos="8306"/>
          <w:tab w:val="clear" w:pos="8296"/>
        </w:tabs>
        <w:rPr>
          <w:rFonts w:hint="eastAsia" w:ascii="宋体" w:hAnsi="宋体" w:eastAsia="宋体" w:cs="宋体"/>
          <w:lang w:val="en-US" w:eastAsia="zh-CN"/>
        </w:rPr>
      </w:pPr>
      <w:r>
        <w:rPr>
          <w:rFonts w:hint="eastAsia" w:ascii="宋体" w:hAnsi="宋体" w:cs="宋体"/>
        </w:rPr>
        <w:t>6.1 环境条件</w:t>
      </w:r>
      <w:r>
        <w:rPr>
          <w:rFonts w:hint="eastAsia" w:ascii="宋体" w:hAnsi="宋体" w:cs="宋体"/>
        </w:rPr>
        <w:tab/>
      </w:r>
      <w:r>
        <w:rPr>
          <w:rFonts w:hint="eastAsia" w:ascii="宋体" w:hAnsi="宋体" w:cs="宋体"/>
          <w:lang w:val="en-US" w:eastAsia="zh-CN"/>
        </w:rPr>
        <w:t>(</w:t>
      </w:r>
      <w:r>
        <w:rPr>
          <w:rFonts w:hint="eastAsia" w:ascii="宋体" w:hAnsi="宋体" w:cs="宋体"/>
        </w:rPr>
        <w:fldChar w:fldCharType="begin"/>
      </w:r>
      <w:r>
        <w:rPr>
          <w:rFonts w:hint="eastAsia" w:ascii="宋体" w:hAnsi="宋体" w:cs="宋体"/>
        </w:rPr>
        <w:instrText xml:space="preserve"> PAGEREF _Toc14587 \h </w:instrText>
      </w:r>
      <w:r>
        <w:rPr>
          <w:rFonts w:hint="eastAsia" w:ascii="宋体" w:hAnsi="宋体" w:cs="宋体"/>
        </w:rPr>
        <w:fldChar w:fldCharType="separate"/>
      </w:r>
      <w:r>
        <w:rPr>
          <w:rFonts w:hint="eastAsia" w:ascii="宋体" w:hAnsi="宋体" w:cs="宋体"/>
        </w:rPr>
        <w:t>2</w:t>
      </w:r>
      <w:r>
        <w:rPr>
          <w:rFonts w:hint="eastAsia" w:ascii="宋体" w:hAnsi="宋体" w:cs="宋体"/>
        </w:rPr>
        <w:fldChar w:fldCharType="end"/>
      </w:r>
      <w:r>
        <w:rPr>
          <w:rFonts w:hint="eastAsia" w:ascii="宋体" w:hAnsi="宋体" w:cs="宋体"/>
          <w:lang w:val="en-US" w:eastAsia="zh-CN"/>
        </w:rPr>
        <w:t>)</w:t>
      </w:r>
    </w:p>
    <w:p>
      <w:pPr>
        <w:pStyle w:val="11"/>
        <w:tabs>
          <w:tab w:val="right" w:leader="dot" w:pos="8306"/>
          <w:tab w:val="clear" w:pos="8296"/>
        </w:tabs>
        <w:rPr>
          <w:rFonts w:hint="eastAsia" w:ascii="宋体" w:hAnsi="宋体" w:eastAsia="宋体" w:cs="宋体"/>
          <w:lang w:val="en-US" w:eastAsia="zh-CN"/>
        </w:rPr>
      </w:pPr>
      <w:r>
        <w:rPr>
          <w:rFonts w:hint="eastAsia" w:ascii="宋体" w:hAnsi="宋体" w:cs="宋体"/>
        </w:rPr>
        <w:t>6.2标准样品</w:t>
      </w:r>
      <w:r>
        <w:rPr>
          <w:rFonts w:hint="eastAsia" w:ascii="宋体" w:hAnsi="宋体" w:cs="宋体"/>
        </w:rPr>
        <w:tab/>
      </w:r>
      <w:r>
        <w:rPr>
          <w:rFonts w:hint="eastAsia" w:ascii="宋体" w:hAnsi="宋体" w:cs="宋体"/>
          <w:lang w:val="en-US" w:eastAsia="zh-CN"/>
        </w:rPr>
        <w:t>(</w:t>
      </w:r>
      <w:r>
        <w:rPr>
          <w:rFonts w:hint="eastAsia" w:ascii="宋体" w:hAnsi="宋体" w:cs="宋体"/>
        </w:rPr>
        <w:fldChar w:fldCharType="begin"/>
      </w:r>
      <w:r>
        <w:rPr>
          <w:rFonts w:hint="eastAsia" w:ascii="宋体" w:hAnsi="宋体" w:cs="宋体"/>
        </w:rPr>
        <w:instrText xml:space="preserve"> PAGEREF _Toc7898 \h </w:instrText>
      </w:r>
      <w:r>
        <w:rPr>
          <w:rFonts w:hint="eastAsia" w:ascii="宋体" w:hAnsi="宋体" w:cs="宋体"/>
        </w:rPr>
        <w:fldChar w:fldCharType="separate"/>
      </w:r>
      <w:r>
        <w:rPr>
          <w:rFonts w:hint="eastAsia" w:ascii="宋体" w:hAnsi="宋体" w:cs="宋体"/>
        </w:rPr>
        <w:t>2</w:t>
      </w:r>
      <w:r>
        <w:rPr>
          <w:rFonts w:hint="eastAsia" w:ascii="宋体" w:hAnsi="宋体" w:cs="宋体"/>
        </w:rPr>
        <w:fldChar w:fldCharType="end"/>
      </w:r>
      <w:r>
        <w:rPr>
          <w:rFonts w:hint="eastAsia" w:ascii="宋体" w:hAnsi="宋体" w:cs="宋体"/>
          <w:lang w:val="en-US" w:eastAsia="zh-CN"/>
        </w:rPr>
        <w:t>)</w:t>
      </w:r>
    </w:p>
    <w:p>
      <w:pPr>
        <w:pStyle w:val="11"/>
        <w:tabs>
          <w:tab w:val="right" w:leader="dot" w:pos="8306"/>
          <w:tab w:val="clear" w:pos="8296"/>
        </w:tabs>
        <w:rPr>
          <w:rFonts w:hint="eastAsia" w:ascii="宋体" w:hAnsi="宋体" w:eastAsia="宋体" w:cs="宋体"/>
          <w:lang w:val="en-US" w:eastAsia="zh-CN"/>
        </w:rPr>
      </w:pPr>
      <w:r>
        <w:rPr>
          <w:rFonts w:hint="eastAsia" w:ascii="宋体" w:hAnsi="宋体" w:cs="宋体"/>
        </w:rPr>
        <w:t>7 校准项目和校准方法</w:t>
      </w:r>
      <w:r>
        <w:rPr>
          <w:rFonts w:hint="eastAsia" w:ascii="宋体" w:hAnsi="宋体" w:cs="宋体"/>
        </w:rPr>
        <w:tab/>
      </w:r>
      <w:r>
        <w:rPr>
          <w:rFonts w:hint="eastAsia" w:ascii="宋体" w:hAnsi="宋体" w:cs="宋体"/>
          <w:lang w:val="en-US" w:eastAsia="zh-CN"/>
        </w:rPr>
        <w:t>(</w:t>
      </w:r>
      <w:r>
        <w:rPr>
          <w:rFonts w:hint="eastAsia" w:ascii="宋体" w:hAnsi="宋体" w:cs="宋体"/>
        </w:rPr>
        <w:fldChar w:fldCharType="begin"/>
      </w:r>
      <w:r>
        <w:rPr>
          <w:rFonts w:hint="eastAsia" w:ascii="宋体" w:hAnsi="宋体" w:cs="宋体"/>
        </w:rPr>
        <w:instrText xml:space="preserve"> PAGEREF _Toc32053 \h </w:instrText>
      </w:r>
      <w:r>
        <w:rPr>
          <w:rFonts w:hint="eastAsia" w:ascii="宋体" w:hAnsi="宋体" w:cs="宋体"/>
        </w:rPr>
        <w:fldChar w:fldCharType="separate"/>
      </w:r>
      <w:r>
        <w:rPr>
          <w:rFonts w:hint="eastAsia" w:ascii="宋体" w:hAnsi="宋体" w:cs="宋体"/>
        </w:rPr>
        <w:t>2</w:t>
      </w:r>
      <w:r>
        <w:rPr>
          <w:rFonts w:hint="eastAsia" w:ascii="宋体" w:hAnsi="宋体" w:cs="宋体"/>
        </w:rPr>
        <w:fldChar w:fldCharType="end"/>
      </w:r>
      <w:r>
        <w:rPr>
          <w:rFonts w:hint="eastAsia" w:ascii="宋体" w:hAnsi="宋体" w:cs="宋体"/>
          <w:lang w:val="en-US" w:eastAsia="zh-CN"/>
        </w:rPr>
        <w:t>)</w:t>
      </w:r>
    </w:p>
    <w:p>
      <w:pPr>
        <w:pStyle w:val="11"/>
        <w:tabs>
          <w:tab w:val="right" w:leader="dot" w:pos="8306"/>
          <w:tab w:val="clear" w:pos="8296"/>
        </w:tabs>
        <w:rPr>
          <w:rFonts w:hint="eastAsia" w:ascii="宋体" w:hAnsi="宋体" w:eastAsia="宋体" w:cs="宋体"/>
          <w:lang w:val="en-US" w:eastAsia="zh-CN"/>
        </w:rPr>
      </w:pPr>
      <w:r>
        <w:rPr>
          <w:rFonts w:hint="eastAsia" w:ascii="宋体" w:hAnsi="宋体" w:cs="宋体"/>
        </w:rPr>
        <w:t>7.1校准项目</w:t>
      </w:r>
      <w:r>
        <w:rPr>
          <w:rFonts w:hint="eastAsia" w:ascii="宋体" w:hAnsi="宋体" w:cs="宋体"/>
        </w:rPr>
        <w:tab/>
      </w:r>
      <w:r>
        <w:rPr>
          <w:rFonts w:hint="eastAsia" w:ascii="宋体" w:hAnsi="宋体" w:cs="宋体"/>
          <w:lang w:val="en-US" w:eastAsia="zh-CN"/>
        </w:rPr>
        <w:t>(</w:t>
      </w:r>
      <w:r>
        <w:rPr>
          <w:rFonts w:hint="eastAsia" w:ascii="宋体" w:hAnsi="宋体" w:cs="宋体"/>
        </w:rPr>
        <w:fldChar w:fldCharType="begin"/>
      </w:r>
      <w:r>
        <w:rPr>
          <w:rFonts w:hint="eastAsia" w:ascii="宋体" w:hAnsi="宋体" w:cs="宋体"/>
        </w:rPr>
        <w:instrText xml:space="preserve"> PAGEREF _Toc15342 \h </w:instrText>
      </w:r>
      <w:r>
        <w:rPr>
          <w:rFonts w:hint="eastAsia" w:ascii="宋体" w:hAnsi="宋体" w:cs="宋体"/>
        </w:rPr>
        <w:fldChar w:fldCharType="separate"/>
      </w:r>
      <w:r>
        <w:rPr>
          <w:rFonts w:hint="eastAsia" w:ascii="宋体" w:hAnsi="宋体" w:cs="宋体"/>
        </w:rPr>
        <w:t>2</w:t>
      </w:r>
      <w:r>
        <w:rPr>
          <w:rFonts w:hint="eastAsia" w:ascii="宋体" w:hAnsi="宋体" w:cs="宋体"/>
        </w:rPr>
        <w:fldChar w:fldCharType="end"/>
      </w:r>
      <w:r>
        <w:rPr>
          <w:rFonts w:hint="eastAsia" w:ascii="宋体" w:hAnsi="宋体" w:cs="宋体"/>
          <w:lang w:val="en-US" w:eastAsia="zh-CN"/>
        </w:rPr>
        <w:t>)</w:t>
      </w:r>
    </w:p>
    <w:p>
      <w:pPr>
        <w:pStyle w:val="11"/>
        <w:tabs>
          <w:tab w:val="right" w:leader="dot" w:pos="8306"/>
          <w:tab w:val="clear" w:pos="8296"/>
        </w:tabs>
        <w:rPr>
          <w:rFonts w:hint="eastAsia" w:ascii="宋体" w:hAnsi="宋体" w:eastAsia="宋体" w:cs="宋体"/>
          <w:lang w:val="en-US" w:eastAsia="zh-CN"/>
        </w:rPr>
      </w:pPr>
      <w:r>
        <w:rPr>
          <w:rFonts w:hint="eastAsia" w:ascii="宋体" w:hAnsi="宋体" w:cs="宋体"/>
        </w:rPr>
        <w:t xml:space="preserve">7.2 </w:t>
      </w:r>
      <w:r>
        <w:rPr>
          <w:rFonts w:hint="eastAsia" w:ascii="宋体" w:hAnsi="宋体" w:cs="宋体"/>
          <w:bCs/>
          <w:color w:val="000000"/>
        </w:rPr>
        <w:t>仪器示值误差</w:t>
      </w:r>
      <w:r>
        <w:rPr>
          <w:rFonts w:hint="eastAsia" w:ascii="宋体" w:hAnsi="宋体" w:cs="宋体"/>
        </w:rPr>
        <w:tab/>
      </w:r>
      <w:r>
        <w:rPr>
          <w:rFonts w:hint="eastAsia" w:ascii="宋体" w:hAnsi="宋体" w:cs="宋体"/>
          <w:lang w:val="en-US" w:eastAsia="zh-CN"/>
        </w:rPr>
        <w:t>(</w:t>
      </w:r>
      <w:r>
        <w:rPr>
          <w:rFonts w:hint="eastAsia" w:ascii="宋体" w:hAnsi="宋体" w:cs="宋体"/>
        </w:rPr>
        <w:fldChar w:fldCharType="begin"/>
      </w:r>
      <w:r>
        <w:rPr>
          <w:rFonts w:hint="eastAsia" w:ascii="宋体" w:hAnsi="宋体" w:cs="宋体"/>
        </w:rPr>
        <w:instrText xml:space="preserve"> PAGEREF _Toc5456 \h </w:instrText>
      </w:r>
      <w:r>
        <w:rPr>
          <w:rFonts w:hint="eastAsia" w:ascii="宋体" w:hAnsi="宋体" w:cs="宋体"/>
        </w:rPr>
        <w:fldChar w:fldCharType="separate"/>
      </w:r>
      <w:r>
        <w:rPr>
          <w:rFonts w:hint="eastAsia" w:ascii="宋体" w:hAnsi="宋体" w:cs="宋体"/>
        </w:rPr>
        <w:t>2</w:t>
      </w:r>
      <w:r>
        <w:rPr>
          <w:rFonts w:hint="eastAsia" w:ascii="宋体" w:hAnsi="宋体" w:cs="宋体"/>
        </w:rPr>
        <w:fldChar w:fldCharType="end"/>
      </w:r>
      <w:r>
        <w:rPr>
          <w:rFonts w:hint="eastAsia" w:ascii="宋体" w:hAnsi="宋体" w:cs="宋体"/>
          <w:lang w:val="en-US" w:eastAsia="zh-CN"/>
        </w:rPr>
        <w:t>)</w:t>
      </w:r>
    </w:p>
    <w:p>
      <w:pPr>
        <w:pStyle w:val="11"/>
        <w:tabs>
          <w:tab w:val="right" w:leader="dot" w:pos="8306"/>
          <w:tab w:val="clear" w:pos="8296"/>
        </w:tabs>
        <w:rPr>
          <w:rFonts w:hint="eastAsia" w:ascii="宋体" w:hAnsi="宋体" w:eastAsia="宋体" w:cs="宋体"/>
          <w:lang w:val="en-US" w:eastAsia="zh-CN"/>
        </w:rPr>
      </w:pPr>
      <w:r>
        <w:rPr>
          <w:rFonts w:hint="eastAsia" w:ascii="宋体" w:hAnsi="宋体" w:cs="宋体"/>
          <w:bCs/>
          <w:color w:val="000000"/>
        </w:rPr>
        <w:t>7.3 重复性</w:t>
      </w:r>
      <w:r>
        <w:rPr>
          <w:rFonts w:hint="eastAsia" w:ascii="宋体" w:hAnsi="宋体" w:cs="宋体"/>
        </w:rPr>
        <w:tab/>
      </w:r>
      <w:r>
        <w:rPr>
          <w:rFonts w:hint="eastAsia" w:ascii="宋体" w:hAnsi="宋体" w:cs="宋体"/>
          <w:lang w:val="en-US" w:eastAsia="zh-CN"/>
        </w:rPr>
        <w:t>(</w:t>
      </w:r>
      <w:r>
        <w:rPr>
          <w:rFonts w:hint="eastAsia" w:ascii="宋体" w:hAnsi="宋体" w:cs="宋体"/>
        </w:rPr>
        <w:fldChar w:fldCharType="begin"/>
      </w:r>
      <w:r>
        <w:rPr>
          <w:rFonts w:hint="eastAsia" w:ascii="宋体" w:hAnsi="宋体" w:cs="宋体"/>
        </w:rPr>
        <w:instrText xml:space="preserve"> PAGEREF _Toc8120 \h </w:instrText>
      </w:r>
      <w:r>
        <w:rPr>
          <w:rFonts w:hint="eastAsia" w:ascii="宋体" w:hAnsi="宋体" w:cs="宋体"/>
        </w:rPr>
        <w:fldChar w:fldCharType="separate"/>
      </w:r>
      <w:r>
        <w:rPr>
          <w:rFonts w:hint="eastAsia" w:ascii="宋体" w:hAnsi="宋体" w:cs="宋体"/>
        </w:rPr>
        <w:t>2</w:t>
      </w:r>
      <w:r>
        <w:rPr>
          <w:rFonts w:hint="eastAsia" w:ascii="宋体" w:hAnsi="宋体" w:cs="宋体"/>
        </w:rPr>
        <w:fldChar w:fldCharType="end"/>
      </w:r>
      <w:r>
        <w:rPr>
          <w:rFonts w:hint="eastAsia" w:ascii="宋体" w:hAnsi="宋体" w:cs="宋体"/>
          <w:lang w:val="en-US" w:eastAsia="zh-CN"/>
        </w:rPr>
        <w:t>)</w:t>
      </w:r>
    </w:p>
    <w:p>
      <w:pPr>
        <w:pStyle w:val="11"/>
        <w:tabs>
          <w:tab w:val="right" w:leader="dot" w:pos="8306"/>
          <w:tab w:val="clear" w:pos="8296"/>
        </w:tabs>
        <w:rPr>
          <w:rFonts w:hint="eastAsia" w:ascii="宋体" w:hAnsi="宋体" w:eastAsia="宋体" w:cs="宋体"/>
          <w:lang w:val="en-US" w:eastAsia="zh-CN"/>
        </w:rPr>
      </w:pPr>
      <w:r>
        <w:rPr>
          <w:rFonts w:hint="eastAsia" w:ascii="宋体" w:hAnsi="宋体" w:cs="宋体"/>
        </w:rPr>
        <w:t>8 校准结果表达</w:t>
      </w:r>
      <w:r>
        <w:rPr>
          <w:rFonts w:hint="eastAsia" w:ascii="宋体" w:hAnsi="宋体" w:cs="宋体"/>
        </w:rPr>
        <w:tab/>
      </w:r>
      <w:r>
        <w:rPr>
          <w:rFonts w:hint="eastAsia" w:ascii="宋体" w:hAnsi="宋体" w:cs="宋体"/>
          <w:lang w:val="en-US" w:eastAsia="zh-CN"/>
        </w:rPr>
        <w:t>(</w:t>
      </w:r>
      <w:r>
        <w:rPr>
          <w:rFonts w:hint="eastAsia" w:ascii="宋体" w:hAnsi="宋体" w:cs="宋体"/>
        </w:rPr>
        <w:fldChar w:fldCharType="begin"/>
      </w:r>
      <w:r>
        <w:rPr>
          <w:rFonts w:hint="eastAsia" w:ascii="宋体" w:hAnsi="宋体" w:cs="宋体"/>
        </w:rPr>
        <w:instrText xml:space="preserve"> PAGEREF _Toc30539 \h </w:instrText>
      </w:r>
      <w:r>
        <w:rPr>
          <w:rFonts w:hint="eastAsia" w:ascii="宋体" w:hAnsi="宋体" w:cs="宋体"/>
        </w:rPr>
        <w:fldChar w:fldCharType="separate"/>
      </w:r>
      <w:r>
        <w:rPr>
          <w:rFonts w:hint="eastAsia" w:ascii="宋体" w:hAnsi="宋体" w:cs="宋体"/>
        </w:rPr>
        <w:t>3</w:t>
      </w:r>
      <w:r>
        <w:rPr>
          <w:rFonts w:hint="eastAsia" w:ascii="宋体" w:hAnsi="宋体" w:cs="宋体"/>
        </w:rPr>
        <w:fldChar w:fldCharType="end"/>
      </w:r>
      <w:r>
        <w:rPr>
          <w:rFonts w:hint="eastAsia" w:ascii="宋体" w:hAnsi="宋体" w:cs="宋体"/>
          <w:lang w:val="en-US" w:eastAsia="zh-CN"/>
        </w:rPr>
        <w:t>)</w:t>
      </w:r>
    </w:p>
    <w:p>
      <w:pPr>
        <w:pStyle w:val="11"/>
        <w:tabs>
          <w:tab w:val="right" w:leader="dot" w:pos="8306"/>
          <w:tab w:val="clear" w:pos="8296"/>
        </w:tabs>
        <w:rPr>
          <w:rFonts w:hint="eastAsia" w:ascii="宋体" w:hAnsi="宋体" w:eastAsia="宋体" w:cs="宋体"/>
          <w:lang w:val="en-US" w:eastAsia="zh-CN"/>
        </w:rPr>
      </w:pPr>
      <w:r>
        <w:rPr>
          <w:rFonts w:hint="eastAsia" w:ascii="宋体" w:hAnsi="宋体" w:cs="宋体"/>
        </w:rPr>
        <w:t>9 复校时间间隔</w:t>
      </w:r>
      <w:r>
        <w:rPr>
          <w:rFonts w:hint="eastAsia" w:ascii="宋体" w:hAnsi="宋体" w:cs="宋体"/>
        </w:rPr>
        <w:tab/>
      </w:r>
      <w:r>
        <w:rPr>
          <w:rFonts w:hint="eastAsia" w:ascii="宋体" w:hAnsi="宋体" w:cs="宋体"/>
          <w:lang w:val="en-US" w:eastAsia="zh-CN"/>
        </w:rPr>
        <w:t>(</w:t>
      </w:r>
      <w:r>
        <w:rPr>
          <w:rFonts w:hint="eastAsia" w:ascii="宋体" w:hAnsi="宋体" w:cs="宋体"/>
        </w:rPr>
        <w:fldChar w:fldCharType="begin"/>
      </w:r>
      <w:r>
        <w:rPr>
          <w:rFonts w:hint="eastAsia" w:ascii="宋体" w:hAnsi="宋体" w:cs="宋体"/>
        </w:rPr>
        <w:instrText xml:space="preserve"> PAGEREF _Toc7389 \h </w:instrText>
      </w:r>
      <w:r>
        <w:rPr>
          <w:rFonts w:hint="eastAsia" w:ascii="宋体" w:hAnsi="宋体" w:cs="宋体"/>
        </w:rPr>
        <w:fldChar w:fldCharType="separate"/>
      </w:r>
      <w:r>
        <w:rPr>
          <w:rFonts w:hint="eastAsia" w:ascii="宋体" w:hAnsi="宋体" w:cs="宋体"/>
        </w:rPr>
        <w:t>3</w:t>
      </w:r>
      <w:r>
        <w:rPr>
          <w:rFonts w:hint="eastAsia" w:ascii="宋体" w:hAnsi="宋体" w:cs="宋体"/>
        </w:rPr>
        <w:fldChar w:fldCharType="end"/>
      </w:r>
      <w:r>
        <w:rPr>
          <w:rFonts w:hint="eastAsia" w:ascii="宋体" w:hAnsi="宋体" w:cs="宋体"/>
          <w:lang w:val="en-US" w:eastAsia="zh-CN"/>
        </w:rPr>
        <w:t>)</w:t>
      </w:r>
    </w:p>
    <w:p>
      <w:pPr>
        <w:pStyle w:val="11"/>
        <w:tabs>
          <w:tab w:val="right" w:leader="dot" w:pos="8306"/>
          <w:tab w:val="clear" w:pos="8296"/>
        </w:tabs>
        <w:rPr>
          <w:rFonts w:hint="eastAsia" w:ascii="宋体" w:hAnsi="宋体" w:eastAsia="宋体" w:cs="宋体"/>
          <w:lang w:val="en-US" w:eastAsia="zh-CN"/>
        </w:rPr>
      </w:pPr>
      <w:r>
        <w:rPr>
          <w:rFonts w:hint="eastAsia" w:ascii="宋体" w:hAnsi="宋体" w:cs="宋体"/>
          <w:szCs w:val="28"/>
        </w:rPr>
        <w:t>附录A 辐射率标准样品的赋值</w:t>
      </w:r>
      <w:r>
        <w:rPr>
          <w:rFonts w:hint="eastAsia" w:ascii="宋体" w:hAnsi="宋体" w:cs="宋体"/>
        </w:rPr>
        <w:tab/>
      </w:r>
      <w:r>
        <w:rPr>
          <w:rFonts w:hint="eastAsia" w:ascii="宋体" w:hAnsi="宋体" w:cs="宋体"/>
          <w:lang w:val="en-US" w:eastAsia="zh-CN"/>
        </w:rPr>
        <w:t>(</w:t>
      </w:r>
      <w:r>
        <w:rPr>
          <w:rFonts w:hint="eastAsia" w:ascii="宋体" w:hAnsi="宋体" w:cs="宋体"/>
        </w:rPr>
        <w:fldChar w:fldCharType="begin"/>
      </w:r>
      <w:r>
        <w:rPr>
          <w:rFonts w:hint="eastAsia" w:ascii="宋体" w:hAnsi="宋体" w:cs="宋体"/>
        </w:rPr>
        <w:instrText xml:space="preserve"> PAGEREF _Toc26414 \h </w:instrText>
      </w:r>
      <w:r>
        <w:rPr>
          <w:rFonts w:hint="eastAsia" w:ascii="宋体" w:hAnsi="宋体" w:cs="宋体"/>
        </w:rPr>
        <w:fldChar w:fldCharType="separate"/>
      </w:r>
      <w:r>
        <w:rPr>
          <w:rFonts w:hint="eastAsia" w:ascii="宋体" w:hAnsi="宋体" w:cs="宋体"/>
        </w:rPr>
        <w:t>4</w:t>
      </w:r>
      <w:r>
        <w:rPr>
          <w:rFonts w:hint="eastAsia" w:ascii="宋体" w:hAnsi="宋体" w:cs="宋体"/>
        </w:rPr>
        <w:fldChar w:fldCharType="end"/>
      </w:r>
      <w:r>
        <w:rPr>
          <w:rFonts w:hint="eastAsia" w:ascii="宋体" w:hAnsi="宋体" w:cs="宋体"/>
          <w:lang w:val="en-US" w:eastAsia="zh-CN"/>
        </w:rPr>
        <w:t>)</w:t>
      </w:r>
    </w:p>
    <w:p>
      <w:pPr>
        <w:pStyle w:val="11"/>
        <w:tabs>
          <w:tab w:val="right" w:leader="dot" w:pos="8306"/>
          <w:tab w:val="clear" w:pos="8296"/>
        </w:tabs>
        <w:rPr>
          <w:rFonts w:hint="eastAsia" w:ascii="宋体" w:hAnsi="宋体" w:eastAsia="宋体" w:cs="宋体"/>
          <w:lang w:val="en-US" w:eastAsia="zh-CN"/>
        </w:rPr>
      </w:pPr>
      <w:r>
        <w:rPr>
          <w:rFonts w:hint="eastAsia" w:ascii="宋体" w:hAnsi="宋体" w:cs="宋体"/>
          <w:szCs w:val="28"/>
        </w:rPr>
        <w:t>附录B 低辐射镀膜玻璃膜面辐射率测试仪校准记录参考格式</w:t>
      </w:r>
      <w:r>
        <w:rPr>
          <w:rFonts w:hint="eastAsia" w:ascii="宋体" w:hAnsi="宋体" w:cs="宋体"/>
        </w:rPr>
        <w:tab/>
      </w:r>
      <w:r>
        <w:rPr>
          <w:rFonts w:hint="eastAsia" w:ascii="宋体" w:hAnsi="宋体" w:cs="宋体"/>
          <w:lang w:val="en-US" w:eastAsia="zh-CN"/>
        </w:rPr>
        <w:t>(</w:t>
      </w:r>
      <w:r>
        <w:rPr>
          <w:rFonts w:hint="eastAsia" w:ascii="宋体" w:hAnsi="宋体" w:cs="宋体"/>
        </w:rPr>
        <w:fldChar w:fldCharType="begin"/>
      </w:r>
      <w:r>
        <w:rPr>
          <w:rFonts w:hint="eastAsia" w:ascii="宋体" w:hAnsi="宋体" w:cs="宋体"/>
        </w:rPr>
        <w:instrText xml:space="preserve"> PAGEREF _Toc18633 \h </w:instrText>
      </w:r>
      <w:r>
        <w:rPr>
          <w:rFonts w:hint="eastAsia" w:ascii="宋体" w:hAnsi="宋体" w:cs="宋体"/>
        </w:rPr>
        <w:fldChar w:fldCharType="separate"/>
      </w:r>
      <w:r>
        <w:rPr>
          <w:rFonts w:hint="eastAsia" w:ascii="宋体" w:hAnsi="宋体" w:cs="宋体"/>
        </w:rPr>
        <w:t>6</w:t>
      </w:r>
      <w:r>
        <w:rPr>
          <w:rFonts w:hint="eastAsia" w:ascii="宋体" w:hAnsi="宋体" w:cs="宋体"/>
        </w:rPr>
        <w:fldChar w:fldCharType="end"/>
      </w:r>
      <w:r>
        <w:rPr>
          <w:rFonts w:hint="eastAsia" w:ascii="宋体" w:hAnsi="宋体" w:cs="宋体"/>
          <w:lang w:val="en-US" w:eastAsia="zh-CN"/>
        </w:rPr>
        <w:t>)</w:t>
      </w:r>
    </w:p>
    <w:p>
      <w:pPr>
        <w:pStyle w:val="11"/>
        <w:tabs>
          <w:tab w:val="right" w:leader="dot" w:pos="8306"/>
          <w:tab w:val="clear" w:pos="8296"/>
        </w:tabs>
        <w:rPr>
          <w:rFonts w:hint="eastAsia" w:ascii="宋体" w:hAnsi="宋体" w:eastAsia="宋体" w:cs="宋体"/>
          <w:lang w:val="en-US" w:eastAsia="zh-CN"/>
        </w:rPr>
      </w:pPr>
      <w:r>
        <w:rPr>
          <w:rFonts w:hint="eastAsia" w:ascii="宋体" w:hAnsi="宋体" w:cs="宋体"/>
          <w:szCs w:val="28"/>
        </w:rPr>
        <w:t>附录C 校准证书（内页）参考格式</w:t>
      </w:r>
      <w:r>
        <w:rPr>
          <w:rFonts w:hint="eastAsia" w:ascii="宋体" w:hAnsi="宋体" w:cs="宋体"/>
        </w:rPr>
        <w:tab/>
      </w:r>
      <w:r>
        <w:rPr>
          <w:rFonts w:hint="eastAsia" w:ascii="宋体" w:hAnsi="宋体" w:cs="宋体"/>
          <w:lang w:val="en-US" w:eastAsia="zh-CN"/>
        </w:rPr>
        <w:t>(</w:t>
      </w:r>
      <w:r>
        <w:rPr>
          <w:rFonts w:hint="eastAsia" w:ascii="宋体" w:hAnsi="宋体" w:cs="宋体"/>
        </w:rPr>
        <w:fldChar w:fldCharType="begin"/>
      </w:r>
      <w:r>
        <w:rPr>
          <w:rFonts w:hint="eastAsia" w:ascii="宋体" w:hAnsi="宋体" w:cs="宋体"/>
        </w:rPr>
        <w:instrText xml:space="preserve"> PAGEREF _Toc15302 \h </w:instrText>
      </w:r>
      <w:r>
        <w:rPr>
          <w:rFonts w:hint="eastAsia" w:ascii="宋体" w:hAnsi="宋体" w:cs="宋体"/>
        </w:rPr>
        <w:fldChar w:fldCharType="separate"/>
      </w:r>
      <w:r>
        <w:rPr>
          <w:rFonts w:hint="eastAsia" w:ascii="宋体" w:hAnsi="宋体" w:cs="宋体"/>
        </w:rPr>
        <w:t>7</w:t>
      </w:r>
      <w:r>
        <w:rPr>
          <w:rFonts w:hint="eastAsia" w:ascii="宋体" w:hAnsi="宋体" w:cs="宋体"/>
        </w:rPr>
        <w:fldChar w:fldCharType="end"/>
      </w:r>
      <w:r>
        <w:rPr>
          <w:rFonts w:hint="eastAsia" w:ascii="宋体" w:hAnsi="宋体" w:cs="宋体"/>
          <w:lang w:val="en-US" w:eastAsia="zh-CN"/>
        </w:rPr>
        <w:t>)</w:t>
      </w:r>
    </w:p>
    <w:p>
      <w:pPr>
        <w:pStyle w:val="11"/>
        <w:tabs>
          <w:tab w:val="right" w:leader="dot" w:pos="8306"/>
          <w:tab w:val="clear" w:pos="8296"/>
        </w:tabs>
        <w:rPr>
          <w:rFonts w:hint="eastAsia" w:eastAsia="宋体"/>
          <w:lang w:val="en-US" w:eastAsia="zh-CN"/>
        </w:rPr>
      </w:pPr>
      <w:r>
        <w:rPr>
          <w:rFonts w:hint="eastAsia" w:ascii="宋体" w:hAnsi="宋体" w:cs="宋体"/>
          <w:szCs w:val="28"/>
        </w:rPr>
        <w:t>附录D 低辐射镀膜玻璃辐射率仪器示值误差不确定度评定实例</w:t>
      </w:r>
      <w:r>
        <w:rPr>
          <w:rFonts w:hint="eastAsia" w:ascii="宋体" w:hAnsi="宋体" w:cs="宋体"/>
        </w:rPr>
        <w:tab/>
      </w:r>
      <w:r>
        <w:rPr>
          <w:rFonts w:hint="eastAsia" w:ascii="宋体" w:hAnsi="宋体" w:cs="宋体"/>
          <w:lang w:val="en-US" w:eastAsia="zh-CN"/>
        </w:rPr>
        <w:t>(</w:t>
      </w:r>
      <w:r>
        <w:rPr>
          <w:rFonts w:hint="eastAsia" w:ascii="宋体" w:hAnsi="宋体" w:cs="宋体"/>
        </w:rPr>
        <w:fldChar w:fldCharType="begin"/>
      </w:r>
      <w:r>
        <w:rPr>
          <w:rFonts w:hint="eastAsia" w:ascii="宋体" w:hAnsi="宋体" w:cs="宋体"/>
        </w:rPr>
        <w:instrText xml:space="preserve"> PAGEREF _Toc13835 \h </w:instrText>
      </w:r>
      <w:r>
        <w:rPr>
          <w:rFonts w:hint="eastAsia" w:ascii="宋体" w:hAnsi="宋体" w:cs="宋体"/>
        </w:rPr>
        <w:fldChar w:fldCharType="separate"/>
      </w:r>
      <w:r>
        <w:rPr>
          <w:rFonts w:hint="eastAsia" w:ascii="宋体" w:hAnsi="宋体" w:cs="宋体"/>
        </w:rPr>
        <w:t>8</w:t>
      </w:r>
      <w:r>
        <w:rPr>
          <w:rFonts w:hint="eastAsia" w:ascii="宋体" w:hAnsi="宋体" w:cs="宋体"/>
        </w:rPr>
        <w:fldChar w:fldCharType="end"/>
      </w:r>
      <w:r>
        <w:rPr>
          <w:rFonts w:hint="eastAsia" w:ascii="宋体" w:hAnsi="宋体" w:cs="宋体"/>
          <w:lang w:val="en-US" w:eastAsia="zh-CN"/>
        </w:rPr>
        <w:t>)</w:t>
      </w:r>
    </w:p>
    <w:p>
      <w:pPr>
        <w:spacing w:line="360" w:lineRule="auto"/>
        <w:sectPr>
          <w:footerReference r:id="rId7" w:type="default"/>
          <w:pgSz w:w="11906" w:h="16838"/>
          <w:pgMar w:top="1440" w:right="1800" w:bottom="1440" w:left="1800" w:header="851" w:footer="992" w:gutter="0"/>
          <w:pgNumType w:fmt="upperRoman" w:start="1" w:chapStyle="1"/>
          <w:cols w:space="720" w:num="1"/>
          <w:docGrid w:type="lines" w:linePitch="312" w:charSpace="0"/>
        </w:sectPr>
      </w:pPr>
      <w:r>
        <w:fldChar w:fldCharType="end"/>
      </w:r>
    </w:p>
    <w:p>
      <w:pPr>
        <w:pStyle w:val="2"/>
        <w:rPr>
          <w:rFonts w:eastAsia="黑体"/>
          <w:color w:val="000000"/>
          <w:sz w:val="44"/>
          <w:szCs w:val="44"/>
        </w:rPr>
      </w:pPr>
      <w:bookmarkStart w:id="0" w:name="_Toc19656"/>
      <w:bookmarkStart w:id="1" w:name="_Toc27314"/>
      <w:bookmarkStart w:id="2" w:name="_Toc2915"/>
      <w:bookmarkStart w:id="3" w:name="_Toc27614"/>
      <w:bookmarkStart w:id="4" w:name="_Toc17470"/>
      <w:bookmarkStart w:id="5" w:name="_Toc25820"/>
      <w:bookmarkStart w:id="6" w:name="_Toc21823"/>
      <w:r>
        <w:rPr>
          <w:rFonts w:eastAsia="黑体"/>
          <w:sz w:val="44"/>
          <w:szCs w:val="44"/>
        </w:rPr>
        <w:t>引言</w:t>
      </w:r>
      <w:bookmarkEnd w:id="0"/>
      <w:bookmarkEnd w:id="1"/>
      <w:bookmarkEnd w:id="2"/>
      <w:bookmarkEnd w:id="3"/>
      <w:bookmarkEnd w:id="4"/>
      <w:bookmarkEnd w:id="5"/>
      <w:bookmarkEnd w:id="6"/>
    </w:p>
    <w:p>
      <w:pPr>
        <w:spacing w:line="360" w:lineRule="auto"/>
        <w:ind w:firstLine="480" w:firstLineChars="200"/>
        <w:rPr>
          <w:color w:val="000000"/>
          <w:sz w:val="24"/>
        </w:rPr>
      </w:pPr>
      <w:r>
        <w:rPr>
          <w:color w:val="000000"/>
          <w:sz w:val="24"/>
        </w:rPr>
        <w:t>本规范依据JJF1071-2010《国家计量校准规范编写规则》，JJF1001-2011《通用计量术语及定义》和JJF1059.1-2012《测量不确定度评定与表示》的规定而制定。</w:t>
      </w:r>
    </w:p>
    <w:p>
      <w:pPr>
        <w:spacing w:line="360" w:lineRule="auto"/>
        <w:ind w:firstLine="480" w:firstLineChars="200"/>
        <w:rPr>
          <w:color w:val="000000"/>
          <w:sz w:val="24"/>
        </w:rPr>
      </w:pPr>
      <w:r>
        <w:rPr>
          <w:color w:val="000000"/>
          <w:sz w:val="24"/>
        </w:rPr>
        <w:t xml:space="preserve">本规范的技术指标参考GB/T 18915.2 </w:t>
      </w:r>
      <w:r>
        <w:rPr>
          <w:rFonts w:hint="eastAsia"/>
          <w:color w:val="000000"/>
          <w:sz w:val="24"/>
        </w:rPr>
        <w:t>《</w:t>
      </w:r>
      <w:r>
        <w:rPr>
          <w:color w:val="000000"/>
          <w:sz w:val="24"/>
        </w:rPr>
        <w:t>镀膜玻璃 第2部分：低辐射镀膜玻璃</w:t>
      </w:r>
      <w:r>
        <w:rPr>
          <w:rFonts w:hint="eastAsia"/>
          <w:color w:val="000000"/>
          <w:sz w:val="24"/>
        </w:rPr>
        <w:t>》、</w:t>
      </w:r>
      <w:r>
        <w:rPr>
          <w:color w:val="000000"/>
          <w:sz w:val="24"/>
        </w:rPr>
        <w:t xml:space="preserve">GB/T 21186 </w:t>
      </w:r>
      <w:r>
        <w:rPr>
          <w:rFonts w:hint="eastAsia"/>
          <w:color w:val="000000"/>
          <w:sz w:val="24"/>
        </w:rPr>
        <w:t>《</w:t>
      </w:r>
      <w:r>
        <w:rPr>
          <w:color w:val="000000"/>
          <w:sz w:val="24"/>
        </w:rPr>
        <w:t>傅立叶变换红外光谱仪</w:t>
      </w:r>
      <w:r>
        <w:rPr>
          <w:rFonts w:hint="eastAsia"/>
          <w:color w:val="000000"/>
          <w:sz w:val="24"/>
        </w:rPr>
        <w:t>》、GB/T 2680《建筑玻璃 可见光透射比、太阳光直接透射比、太阳能总透射比、紫外线透射比及有关窗玻璃参数的测定 》</w:t>
      </w:r>
      <w:r>
        <w:rPr>
          <w:color w:val="000000"/>
          <w:sz w:val="24"/>
        </w:rPr>
        <w:t>。</w:t>
      </w:r>
    </w:p>
    <w:p>
      <w:pPr>
        <w:spacing w:line="360" w:lineRule="auto"/>
        <w:ind w:firstLine="480" w:firstLineChars="200"/>
        <w:rPr>
          <w:color w:val="000000"/>
          <w:sz w:val="24"/>
        </w:rPr>
      </w:pPr>
      <w:r>
        <w:rPr>
          <w:color w:val="000000"/>
          <w:sz w:val="24"/>
        </w:rPr>
        <w:t>本规范为首次发布。</w:t>
      </w:r>
    </w:p>
    <w:p>
      <w:pPr>
        <w:spacing w:line="240" w:lineRule="atLeast"/>
        <w:rPr>
          <w:rFonts w:eastAsia="黑体"/>
          <w:color w:val="000000"/>
          <w:sz w:val="32"/>
          <w:szCs w:val="32"/>
        </w:rPr>
      </w:pPr>
      <w:bookmarkStart w:id="7" w:name="OLE_LINK4"/>
    </w:p>
    <w:p>
      <w:pPr>
        <w:rPr>
          <w:rFonts w:eastAsia="黑体"/>
          <w:color w:val="000000"/>
          <w:sz w:val="32"/>
          <w:szCs w:val="32"/>
        </w:rPr>
      </w:pPr>
    </w:p>
    <w:p>
      <w:pPr>
        <w:rPr>
          <w:rFonts w:eastAsia="黑体"/>
          <w:color w:val="000000"/>
          <w:sz w:val="32"/>
          <w:szCs w:val="32"/>
        </w:rPr>
      </w:pPr>
    </w:p>
    <w:p>
      <w:pPr>
        <w:rPr>
          <w:rFonts w:eastAsia="黑体"/>
          <w:color w:val="000000"/>
          <w:sz w:val="32"/>
          <w:szCs w:val="32"/>
        </w:rPr>
      </w:pPr>
    </w:p>
    <w:p>
      <w:pPr>
        <w:tabs>
          <w:tab w:val="left" w:pos="6900"/>
        </w:tabs>
        <w:jc w:val="left"/>
        <w:sectPr>
          <w:footerReference r:id="rId8" w:type="default"/>
          <w:pgSz w:w="11906" w:h="16838"/>
          <w:pgMar w:top="1440" w:right="1800" w:bottom="1440" w:left="1800" w:header="851" w:footer="992" w:gutter="0"/>
          <w:pgNumType w:fmt="upperRoman"/>
          <w:cols w:space="720" w:num="1"/>
          <w:docGrid w:type="lines" w:linePitch="312" w:charSpace="0"/>
        </w:sectPr>
      </w:pPr>
      <w:r>
        <w:rPr>
          <w:rFonts w:eastAsia="黑体"/>
          <w:color w:val="000000"/>
          <w:sz w:val="32"/>
          <w:szCs w:val="32"/>
        </w:rPr>
        <w:tab/>
      </w:r>
    </w:p>
    <w:p>
      <w:pPr>
        <w:widowControl/>
        <w:spacing w:line="240" w:lineRule="atLeast"/>
        <w:ind w:firstLine="495"/>
        <w:jc w:val="center"/>
        <w:rPr>
          <w:rFonts w:eastAsia="黑体"/>
          <w:color w:val="000000"/>
          <w:sz w:val="32"/>
          <w:szCs w:val="32"/>
        </w:rPr>
      </w:pPr>
      <w:r>
        <w:rPr>
          <w:rFonts w:eastAsia="黑体"/>
          <w:color w:val="000000"/>
          <w:sz w:val="32"/>
          <w:szCs w:val="32"/>
        </w:rPr>
        <w:t>低辐射镀膜玻璃膜面辐射率测试仪校准规范</w:t>
      </w:r>
      <w:bookmarkStart w:id="8" w:name="_Toc31296"/>
      <w:bookmarkStart w:id="9" w:name="_Toc7194"/>
      <w:bookmarkStart w:id="10" w:name="_Toc11302"/>
    </w:p>
    <w:p>
      <w:pPr>
        <w:spacing w:beforeLines="50" w:afterLines="50"/>
        <w:rPr>
          <w:rStyle w:val="25"/>
          <w:rFonts w:eastAsia="黑体"/>
          <w:bCs/>
          <w:color w:val="000000"/>
          <w:sz w:val="24"/>
        </w:rPr>
      </w:pPr>
      <w:bookmarkStart w:id="11" w:name="_Toc18477"/>
      <w:bookmarkStart w:id="12" w:name="_Toc15077"/>
      <w:bookmarkStart w:id="13" w:name="_Toc22218"/>
      <w:bookmarkStart w:id="14" w:name="_Toc17509"/>
      <w:r>
        <w:rPr>
          <w:rStyle w:val="25"/>
          <w:rFonts w:eastAsia="黑体"/>
          <w:sz w:val="24"/>
        </w:rPr>
        <w:t>1 范围</w:t>
      </w:r>
      <w:bookmarkEnd w:id="8"/>
      <w:bookmarkEnd w:id="9"/>
      <w:bookmarkEnd w:id="10"/>
      <w:bookmarkEnd w:id="11"/>
    </w:p>
    <w:bookmarkEnd w:id="12"/>
    <w:bookmarkEnd w:id="13"/>
    <w:bookmarkEnd w:id="14"/>
    <w:p>
      <w:pPr>
        <w:ind w:firstLine="480" w:firstLineChars="200"/>
        <w:rPr>
          <w:sz w:val="24"/>
        </w:rPr>
      </w:pPr>
      <w:r>
        <w:rPr>
          <w:color w:val="000000"/>
          <w:sz w:val="24"/>
        </w:rPr>
        <w:t>本规范适用</w:t>
      </w:r>
      <w:r>
        <w:rPr>
          <w:rFonts w:hint="eastAsia"/>
          <w:color w:val="000000"/>
          <w:sz w:val="24"/>
        </w:rPr>
        <w:t>于</w:t>
      </w:r>
      <w:r>
        <w:rPr>
          <w:rFonts w:hint="eastAsia" w:ascii="宋体" w:hAnsi="宋体" w:cs="宋体"/>
          <w:sz w:val="24"/>
        </w:rPr>
        <w:t>差热电堆法和涡流法的</w:t>
      </w:r>
      <w:r>
        <w:rPr>
          <w:color w:val="000000"/>
          <w:sz w:val="24"/>
        </w:rPr>
        <w:t>低辐射镀膜玻璃</w:t>
      </w:r>
      <w:r>
        <w:rPr>
          <w:rFonts w:hint="eastAsia"/>
          <w:color w:val="000000"/>
          <w:sz w:val="24"/>
        </w:rPr>
        <w:t>（Low-E玻璃）</w:t>
      </w:r>
      <w:r>
        <w:rPr>
          <w:color w:val="000000"/>
          <w:sz w:val="24"/>
        </w:rPr>
        <w:t>膜面辐射率测试仪</w:t>
      </w:r>
      <w:r>
        <w:rPr>
          <w:sz w:val="24"/>
        </w:rPr>
        <w:t>的校准。</w:t>
      </w:r>
    </w:p>
    <w:p>
      <w:pPr>
        <w:pStyle w:val="3"/>
        <w:spacing w:beforeLines="50" w:afterLines="50"/>
        <w:rPr>
          <w:rFonts w:eastAsia="黑体"/>
          <w:sz w:val="24"/>
        </w:rPr>
      </w:pPr>
      <w:bookmarkStart w:id="15" w:name="_Toc16437"/>
      <w:bookmarkStart w:id="16" w:name="_Toc25641"/>
      <w:bookmarkStart w:id="17" w:name="_Toc18750"/>
      <w:bookmarkStart w:id="18" w:name="_Toc67"/>
      <w:bookmarkStart w:id="19" w:name="_Toc13912"/>
      <w:bookmarkStart w:id="20" w:name="_Toc3064"/>
      <w:bookmarkStart w:id="21" w:name="_Toc28862"/>
      <w:r>
        <w:rPr>
          <w:rFonts w:eastAsia="黑体"/>
          <w:sz w:val="24"/>
          <w:szCs w:val="24"/>
        </w:rPr>
        <w:t>2 引用文件</w:t>
      </w:r>
      <w:bookmarkEnd w:id="15"/>
      <w:bookmarkEnd w:id="16"/>
      <w:bookmarkEnd w:id="17"/>
      <w:bookmarkEnd w:id="18"/>
      <w:bookmarkEnd w:id="19"/>
      <w:bookmarkEnd w:id="20"/>
      <w:bookmarkEnd w:id="21"/>
    </w:p>
    <w:p>
      <w:pPr>
        <w:ind w:firstLine="480" w:firstLineChars="200"/>
        <w:rPr>
          <w:color w:val="000000"/>
          <w:sz w:val="24"/>
        </w:rPr>
      </w:pPr>
      <w:r>
        <w:rPr>
          <w:color w:val="000000"/>
          <w:sz w:val="24"/>
        </w:rPr>
        <w:t>本规范引用下列文件：</w:t>
      </w:r>
    </w:p>
    <w:p>
      <w:pPr>
        <w:ind w:firstLine="480" w:firstLineChars="200"/>
        <w:rPr>
          <w:sz w:val="24"/>
        </w:rPr>
      </w:pPr>
      <w:r>
        <w:rPr>
          <w:sz w:val="24"/>
        </w:rPr>
        <w:t>JJF1059.1</w:t>
      </w:r>
      <w:r>
        <w:rPr>
          <w:rFonts w:hint="eastAsia"/>
          <w:sz w:val="24"/>
        </w:rPr>
        <w:t xml:space="preserve"> 测量不确定度评定与表示 </w:t>
      </w:r>
    </w:p>
    <w:p>
      <w:pPr>
        <w:ind w:firstLine="480" w:firstLineChars="200"/>
        <w:rPr>
          <w:sz w:val="24"/>
        </w:rPr>
      </w:pPr>
      <w:r>
        <w:rPr>
          <w:rFonts w:hint="eastAsia"/>
          <w:color w:val="000000"/>
          <w:sz w:val="24"/>
        </w:rPr>
        <w:t xml:space="preserve">GB/T 2680建筑玻璃 可见光透射比、太阳光直接透射比、太阳能总透射比、紫外线透射比及有关窗玻璃参数的测定 </w:t>
      </w:r>
    </w:p>
    <w:p>
      <w:pPr>
        <w:ind w:firstLine="480" w:firstLineChars="200"/>
        <w:rPr>
          <w:sz w:val="24"/>
        </w:rPr>
      </w:pPr>
      <w:r>
        <w:rPr>
          <w:sz w:val="24"/>
        </w:rPr>
        <w:t>GB/T 21186</w:t>
      </w:r>
      <w:r>
        <w:rPr>
          <w:rFonts w:hint="eastAsia"/>
          <w:sz w:val="24"/>
        </w:rPr>
        <w:t xml:space="preserve"> 傅立叶变换红外光谱仪</w:t>
      </w:r>
    </w:p>
    <w:p>
      <w:pPr>
        <w:ind w:firstLine="480" w:firstLineChars="200"/>
        <w:rPr>
          <w:color w:val="000000"/>
          <w:sz w:val="24"/>
        </w:rPr>
      </w:pPr>
      <w:r>
        <w:rPr>
          <w:color w:val="000000"/>
          <w:sz w:val="24"/>
        </w:rPr>
        <w:t>凡是不注日期的引用文件，其最新版本（包括所有的修改单）适用于本规范。</w:t>
      </w:r>
    </w:p>
    <w:p>
      <w:pPr>
        <w:spacing w:beforeLines="50" w:afterLines="50"/>
        <w:rPr>
          <w:rStyle w:val="25"/>
          <w:rFonts w:eastAsia="黑体"/>
          <w:color w:val="2E75B5"/>
          <w:sz w:val="24"/>
        </w:rPr>
      </w:pPr>
      <w:bookmarkStart w:id="22" w:name="_Toc26415"/>
      <w:bookmarkStart w:id="23" w:name="_Toc24356"/>
      <w:bookmarkStart w:id="24" w:name="_Toc2571"/>
      <w:bookmarkStart w:id="25" w:name="_Toc19762"/>
      <w:bookmarkStart w:id="26" w:name="_Toc14375"/>
      <w:bookmarkStart w:id="27" w:name="_Toc855"/>
      <w:bookmarkStart w:id="28" w:name="_Toc21788"/>
      <w:r>
        <w:rPr>
          <w:rStyle w:val="25"/>
          <w:rFonts w:eastAsia="黑体"/>
          <w:sz w:val="24"/>
        </w:rPr>
        <w:t>3 术语和定义</w:t>
      </w:r>
      <w:bookmarkEnd w:id="22"/>
      <w:bookmarkEnd w:id="23"/>
      <w:bookmarkEnd w:id="24"/>
      <w:bookmarkEnd w:id="25"/>
    </w:p>
    <w:bookmarkEnd w:id="26"/>
    <w:bookmarkEnd w:id="27"/>
    <w:bookmarkEnd w:id="28"/>
    <w:p>
      <w:pPr>
        <w:ind w:firstLine="480" w:firstLineChars="200"/>
        <w:rPr>
          <w:color w:val="000000"/>
          <w:sz w:val="24"/>
        </w:rPr>
      </w:pPr>
      <w:r>
        <w:rPr>
          <w:rFonts w:hint="eastAsia"/>
          <w:color w:val="000000"/>
          <w:sz w:val="24"/>
        </w:rPr>
        <w:t>下列</w:t>
      </w:r>
      <w:r>
        <w:rPr>
          <w:color w:val="000000"/>
          <w:sz w:val="24"/>
        </w:rPr>
        <w:t>术语和定义适用于本规范。</w:t>
      </w:r>
    </w:p>
    <w:p>
      <w:pPr>
        <w:ind w:firstLine="0"/>
        <w:rPr>
          <w:sz w:val="24"/>
        </w:rPr>
      </w:pPr>
      <w:r>
        <w:rPr>
          <w:rFonts w:hint="eastAsia"/>
          <w:sz w:val="24"/>
        </w:rPr>
        <w:t>3.1</w:t>
      </w:r>
      <w:r>
        <w:rPr>
          <w:rFonts w:hint="eastAsia"/>
          <w:sz w:val="24"/>
          <w:lang w:val="en-US" w:eastAsia="zh-CN"/>
        </w:rPr>
        <w:t xml:space="preserve"> </w:t>
      </w:r>
      <w:r>
        <w:rPr>
          <w:rFonts w:hint="eastAsia"/>
          <w:sz w:val="24"/>
        </w:rPr>
        <w:t>低辐射镀膜玻璃 low emissivity coated glass</w:t>
      </w:r>
    </w:p>
    <w:p>
      <w:pPr>
        <w:ind w:firstLine="480" w:firstLineChars="200"/>
        <w:rPr>
          <w:rFonts w:hint="eastAsia"/>
          <w:sz w:val="24"/>
        </w:rPr>
      </w:pPr>
      <w:r>
        <w:rPr>
          <w:rFonts w:hint="eastAsia"/>
          <w:sz w:val="24"/>
        </w:rPr>
        <w:t>对中远红外（4.5</w:t>
      </w:r>
      <w:r>
        <w:rPr>
          <w:sz w:val="24"/>
        </w:rPr>
        <w:t>μm～25μm</w:t>
      </w:r>
      <w:r>
        <w:rPr>
          <w:rFonts w:hint="eastAsia"/>
          <w:sz w:val="24"/>
        </w:rPr>
        <w:t>）辐射</w:t>
      </w:r>
      <w:r>
        <w:rPr>
          <w:sz w:val="24"/>
        </w:rPr>
        <w:t>有较高反射比的镀膜玻璃，</w:t>
      </w:r>
      <w:r>
        <w:rPr>
          <w:rFonts w:hint="eastAsia"/>
          <w:sz w:val="24"/>
        </w:rPr>
        <w:t>其膜面辐射率较低，</w:t>
      </w:r>
      <w:r>
        <w:rPr>
          <w:sz w:val="24"/>
        </w:rPr>
        <w:t>也称Low-E玻璃</w:t>
      </w:r>
      <w:r>
        <w:rPr>
          <w:rFonts w:hint="eastAsia"/>
          <w:sz w:val="24"/>
        </w:rPr>
        <w:t>。</w:t>
      </w:r>
    </w:p>
    <w:p>
      <w:pPr>
        <w:ind w:firstLine="0"/>
        <w:rPr>
          <w:rFonts w:hint="eastAsia"/>
          <w:sz w:val="24"/>
        </w:rPr>
      </w:pPr>
      <w:r>
        <w:rPr>
          <w:rFonts w:hint="eastAsia"/>
          <w:sz w:val="24"/>
        </w:rPr>
        <w:t>3.2</w:t>
      </w:r>
      <w:r>
        <w:rPr>
          <w:rFonts w:hint="eastAsia"/>
          <w:sz w:val="24"/>
          <w:lang w:val="en-US" w:eastAsia="zh-CN"/>
        </w:rPr>
        <w:t xml:space="preserve"> </w:t>
      </w:r>
      <w:bookmarkStart w:id="29" w:name="_Toc9853"/>
      <w:bookmarkStart w:id="30" w:name="_Toc6164"/>
      <w:bookmarkStart w:id="31" w:name="_Toc1458"/>
      <w:r>
        <w:rPr>
          <w:rFonts w:hint="eastAsia"/>
          <w:sz w:val="24"/>
          <w:szCs w:val="24"/>
          <w:lang w:val="en-US" w:eastAsia="zh-CN"/>
        </w:rPr>
        <w:t>膜面辐射率 emissivity</w:t>
      </w:r>
      <w:bookmarkEnd w:id="29"/>
      <w:bookmarkEnd w:id="30"/>
      <w:bookmarkEnd w:id="31"/>
    </w:p>
    <w:p>
      <w:pPr>
        <w:ind w:firstLine="480" w:firstLineChars="200"/>
        <w:rPr>
          <w:sz w:val="24"/>
        </w:rPr>
      </w:pPr>
      <w:r>
        <w:rPr>
          <w:rFonts w:hint="eastAsia"/>
          <w:sz w:val="24"/>
        </w:rPr>
        <w:t>膜面的辐射出射度与处在相同温度黑体的辐射出射度之比。</w:t>
      </w:r>
    </w:p>
    <w:p>
      <w:pPr>
        <w:spacing w:beforeLines="50" w:afterLines="50"/>
        <w:rPr>
          <w:rStyle w:val="25"/>
          <w:rFonts w:ascii="黑体" w:hAnsi="黑体" w:eastAsia="黑体" w:cs="黑体"/>
          <w:bCs/>
          <w:color w:val="2E75B5"/>
          <w:sz w:val="24"/>
        </w:rPr>
      </w:pPr>
      <w:bookmarkStart w:id="32" w:name="_Toc316"/>
      <w:bookmarkStart w:id="33" w:name="_Toc16371"/>
      <w:bookmarkStart w:id="34" w:name="_Toc7991"/>
      <w:bookmarkStart w:id="35" w:name="_Toc32451"/>
      <w:bookmarkStart w:id="36" w:name="_Toc20347"/>
      <w:bookmarkStart w:id="37" w:name="_Toc31219"/>
      <w:bookmarkStart w:id="38" w:name="_Toc15803"/>
      <w:r>
        <w:rPr>
          <w:rStyle w:val="25"/>
          <w:rFonts w:hint="eastAsia" w:ascii="黑体" w:hAnsi="黑体" w:eastAsia="黑体" w:cs="黑体"/>
          <w:sz w:val="24"/>
        </w:rPr>
        <w:t>4 概述</w:t>
      </w:r>
      <w:bookmarkEnd w:id="32"/>
      <w:bookmarkEnd w:id="33"/>
      <w:bookmarkEnd w:id="34"/>
      <w:bookmarkEnd w:id="35"/>
    </w:p>
    <w:bookmarkEnd w:id="36"/>
    <w:bookmarkEnd w:id="37"/>
    <w:bookmarkEnd w:id="38"/>
    <w:p>
      <w:pPr>
        <w:ind w:firstLine="420"/>
        <w:rPr>
          <w:sz w:val="24"/>
        </w:rPr>
      </w:pPr>
      <w:bookmarkStart w:id="39" w:name="_Toc25702"/>
      <w:r>
        <w:rPr>
          <w:color w:val="000000"/>
          <w:sz w:val="24"/>
        </w:rPr>
        <w:t>低辐射镀膜玻璃膜面辐射率测试仪</w:t>
      </w:r>
      <w:r>
        <w:rPr>
          <w:rFonts w:hint="eastAsia"/>
          <w:sz w:val="24"/>
        </w:rPr>
        <w:t>分为</w:t>
      </w:r>
      <w:r>
        <w:rPr>
          <w:rFonts w:hint="eastAsia" w:ascii="宋体" w:hAnsi="宋体" w:cs="宋体"/>
          <w:sz w:val="24"/>
        </w:rPr>
        <w:t>差热电堆法辐射率测试仪和涡流法辐射率测试仪</w:t>
      </w:r>
      <w:r>
        <w:rPr>
          <w:rFonts w:hint="eastAsia"/>
          <w:sz w:val="24"/>
        </w:rPr>
        <w:t>。</w:t>
      </w:r>
    </w:p>
    <w:p>
      <w:pPr>
        <w:ind w:firstLine="420"/>
        <w:rPr>
          <w:rFonts w:ascii="宋体" w:hAnsi="宋体" w:cs="宋体"/>
          <w:sz w:val="24"/>
          <w:highlight w:val="yellow"/>
        </w:rPr>
      </w:pPr>
      <w:r>
        <w:rPr>
          <w:rFonts w:hint="eastAsia" w:ascii="宋体" w:hAnsi="宋体" w:cs="宋体"/>
          <w:sz w:val="24"/>
        </w:rPr>
        <w:t>差热电堆法辐射率测试仪一般由可控加热器、差热电堆辐射能探测器、信号采集与显示单元等部分组成。可控加热器为测试提供必要的热辐射，差热电堆辐射能探测器的不同辐射率表面会产生温度差，并输出一个与温度差成比例的电压，比较该输出电压与仪器测量标准辐射率板时的输出电压可获得</w:t>
      </w:r>
      <w:r>
        <w:rPr>
          <w:rFonts w:hint="eastAsia"/>
          <w:color w:val="000000"/>
          <w:sz w:val="24"/>
        </w:rPr>
        <w:t>低辐射</w:t>
      </w:r>
      <w:r>
        <w:rPr>
          <w:rFonts w:hint="eastAsia"/>
          <w:sz w:val="24"/>
        </w:rPr>
        <w:t>镀膜</w:t>
      </w:r>
      <w:r>
        <w:rPr>
          <w:rFonts w:hint="eastAsia" w:ascii="宋体" w:hAnsi="宋体" w:cs="宋体"/>
          <w:sz w:val="24"/>
        </w:rPr>
        <w:t>面的辐射率。</w:t>
      </w:r>
    </w:p>
    <w:p>
      <w:pPr>
        <w:ind w:firstLine="480" w:firstLineChars="200"/>
        <w:rPr>
          <w:rFonts w:ascii="宋体" w:hAnsi="宋体" w:cs="宋体"/>
          <w:sz w:val="24"/>
        </w:rPr>
      </w:pPr>
      <w:r>
        <w:rPr>
          <w:rFonts w:hint="eastAsia" w:ascii="宋体" w:hAnsi="宋体" w:cs="宋体"/>
          <w:sz w:val="24"/>
        </w:rPr>
        <w:t>涡流法辐射率测试仪一般由信号源、涡流探头、信号采集与处理单元等部分组成。涡流探头与被测</w:t>
      </w:r>
      <w:r>
        <w:rPr>
          <w:rFonts w:hint="eastAsia"/>
          <w:color w:val="000000"/>
          <w:sz w:val="24"/>
        </w:rPr>
        <w:t>低辐射镀</w:t>
      </w:r>
      <w:r>
        <w:rPr>
          <w:rFonts w:hint="eastAsia"/>
          <w:sz w:val="24"/>
        </w:rPr>
        <w:t>膜</w:t>
      </w:r>
      <w:r>
        <w:rPr>
          <w:rFonts w:hint="eastAsia" w:ascii="宋体" w:hAnsi="宋体" w:cs="宋体"/>
          <w:sz w:val="24"/>
        </w:rPr>
        <w:t>面接触或保持一定的距离，当信号源激励涡流探头时，被测</w:t>
      </w:r>
      <w:r>
        <w:rPr>
          <w:rFonts w:hint="eastAsia"/>
          <w:color w:val="000000"/>
          <w:sz w:val="24"/>
        </w:rPr>
        <w:t>低辐射</w:t>
      </w:r>
      <w:r>
        <w:rPr>
          <w:rFonts w:hint="eastAsia"/>
          <w:sz w:val="24"/>
        </w:rPr>
        <w:t>镀膜</w:t>
      </w:r>
      <w:r>
        <w:rPr>
          <w:rFonts w:hint="eastAsia" w:ascii="宋体" w:hAnsi="宋体" w:cs="宋体"/>
          <w:sz w:val="24"/>
        </w:rPr>
        <w:t>面上会产生涡流，并最终改变涡流探头的阻抗。信号采集与处理单元通过测量涡流探头的阻抗变化量即可计算出</w:t>
      </w:r>
      <w:r>
        <w:rPr>
          <w:rFonts w:hint="eastAsia"/>
          <w:color w:val="000000"/>
          <w:sz w:val="24"/>
        </w:rPr>
        <w:t>低辐射</w:t>
      </w:r>
      <w:r>
        <w:rPr>
          <w:rFonts w:hint="eastAsia"/>
          <w:sz w:val="24"/>
        </w:rPr>
        <w:t>镀膜</w:t>
      </w:r>
      <w:r>
        <w:rPr>
          <w:rFonts w:hint="eastAsia" w:ascii="宋体" w:hAnsi="宋体" w:cs="宋体"/>
          <w:sz w:val="24"/>
        </w:rPr>
        <w:t>面的辐射率。</w:t>
      </w:r>
    </w:p>
    <w:p>
      <w:pPr>
        <w:spacing w:beforeLines="50" w:afterLines="50"/>
        <w:rPr>
          <w:rStyle w:val="25"/>
          <w:rFonts w:eastAsia="黑体"/>
          <w:color w:val="000000"/>
          <w:sz w:val="24"/>
        </w:rPr>
      </w:pPr>
      <w:bookmarkStart w:id="40" w:name="_Toc6818"/>
      <w:bookmarkStart w:id="41" w:name="_Toc24700"/>
      <w:bookmarkStart w:id="42" w:name="_Toc3986"/>
      <w:bookmarkStart w:id="43" w:name="_Toc9965"/>
      <w:bookmarkStart w:id="44" w:name="_Toc30850"/>
      <w:bookmarkStart w:id="45" w:name="_Toc8113"/>
      <w:r>
        <w:rPr>
          <w:rStyle w:val="25"/>
          <w:rFonts w:hint="eastAsia" w:eastAsia="黑体"/>
          <w:sz w:val="24"/>
        </w:rPr>
        <w:t xml:space="preserve">5 </w:t>
      </w:r>
      <w:bookmarkEnd w:id="39"/>
      <w:bookmarkEnd w:id="40"/>
      <w:bookmarkEnd w:id="41"/>
      <w:r>
        <w:rPr>
          <w:rStyle w:val="25"/>
          <w:rFonts w:hint="eastAsia" w:eastAsia="黑体"/>
          <w:sz w:val="24"/>
        </w:rPr>
        <w:t>计量特性</w:t>
      </w:r>
      <w:bookmarkEnd w:id="42"/>
    </w:p>
    <w:bookmarkEnd w:id="43"/>
    <w:bookmarkEnd w:id="44"/>
    <w:bookmarkEnd w:id="45"/>
    <w:p>
      <w:pPr>
        <w:rPr>
          <w:color w:val="000000"/>
          <w:sz w:val="24"/>
        </w:rPr>
      </w:pPr>
      <w:r>
        <w:rPr>
          <w:rFonts w:hint="eastAsia"/>
          <w:color w:val="000000"/>
          <w:sz w:val="24"/>
        </w:rPr>
        <w:t>5.1 仪器示值误差</w:t>
      </w:r>
    </w:p>
    <w:p>
      <w:pPr>
        <w:ind w:firstLine="480" w:firstLineChars="200"/>
        <w:rPr>
          <w:color w:val="000000"/>
          <w:sz w:val="24"/>
        </w:rPr>
      </w:pPr>
      <w:r>
        <w:rPr>
          <w:rFonts w:hint="eastAsia"/>
          <w:color w:val="000000"/>
          <w:sz w:val="24"/>
        </w:rPr>
        <w:t>辐射率示值误差绝对值不大于0.02。</w:t>
      </w:r>
    </w:p>
    <w:p>
      <w:pPr>
        <w:rPr>
          <w:color w:val="000000"/>
          <w:sz w:val="24"/>
        </w:rPr>
      </w:pPr>
      <w:r>
        <w:rPr>
          <w:rFonts w:hint="eastAsia"/>
          <w:color w:val="000000"/>
          <w:sz w:val="24"/>
        </w:rPr>
        <w:t>5.2 重复性</w:t>
      </w:r>
    </w:p>
    <w:p>
      <w:pPr>
        <w:ind w:firstLine="480" w:firstLineChars="200"/>
        <w:rPr>
          <w:color w:val="000000"/>
          <w:sz w:val="24"/>
        </w:rPr>
      </w:pPr>
      <w:r>
        <w:rPr>
          <w:rFonts w:hint="eastAsia"/>
          <w:color w:val="000000"/>
          <w:sz w:val="24"/>
        </w:rPr>
        <w:t>辐射率测量重复性不大于0.01。</w:t>
      </w:r>
    </w:p>
    <w:p>
      <w:pPr>
        <w:ind w:firstLine="420" w:firstLineChars="200"/>
        <w:rPr>
          <w:rFonts w:ascii="仿宋" w:hAnsi="仿宋" w:eastAsia="仿宋" w:cs="仿宋"/>
          <w:color w:val="000000"/>
          <w:szCs w:val="21"/>
        </w:rPr>
      </w:pPr>
      <w:r>
        <w:rPr>
          <w:rFonts w:hint="eastAsia" w:ascii="仿宋" w:hAnsi="仿宋" w:eastAsia="仿宋" w:cs="仿宋"/>
          <w:color w:val="000000"/>
          <w:szCs w:val="21"/>
        </w:rPr>
        <w:t>注：</w:t>
      </w:r>
      <w:r>
        <w:rPr>
          <w:rFonts w:hint="eastAsia" w:ascii="仿宋" w:hAnsi="仿宋" w:eastAsia="仿宋" w:cs="仿宋"/>
          <w:bCs/>
          <w:color w:val="000000"/>
          <w:szCs w:val="21"/>
        </w:rPr>
        <w:t>以上所有指标不是用于合格判别，仅供参考。</w:t>
      </w:r>
    </w:p>
    <w:p>
      <w:pPr>
        <w:pStyle w:val="3"/>
        <w:spacing w:beforeLines="50" w:afterLines="50"/>
        <w:rPr>
          <w:rFonts w:ascii="黑体" w:hAnsi="黑体" w:eastAsia="黑体" w:cs="黑体"/>
          <w:sz w:val="24"/>
        </w:rPr>
      </w:pPr>
      <w:bookmarkStart w:id="46" w:name="_Toc6127"/>
      <w:bookmarkStart w:id="47" w:name="_Toc18598"/>
      <w:bookmarkStart w:id="48" w:name="_Toc17151"/>
      <w:bookmarkStart w:id="49" w:name="_Toc17797"/>
      <w:bookmarkStart w:id="50" w:name="_Toc563"/>
      <w:bookmarkStart w:id="51" w:name="_Toc19467"/>
      <w:bookmarkStart w:id="52" w:name="_Toc11109"/>
      <w:r>
        <w:rPr>
          <w:rFonts w:hint="eastAsia" w:ascii="黑体" w:hAnsi="黑体" w:eastAsia="黑体" w:cs="黑体"/>
          <w:sz w:val="24"/>
          <w:szCs w:val="24"/>
          <w:lang w:val="en-US" w:eastAsia="zh-CN"/>
        </w:rPr>
        <w:t>6校准条件</w:t>
      </w:r>
      <w:bookmarkEnd w:id="46"/>
      <w:bookmarkEnd w:id="47"/>
      <w:bookmarkEnd w:id="48"/>
      <w:bookmarkEnd w:id="49"/>
      <w:bookmarkEnd w:id="50"/>
      <w:bookmarkEnd w:id="51"/>
      <w:bookmarkEnd w:id="52"/>
    </w:p>
    <w:p>
      <w:pPr>
        <w:pStyle w:val="3"/>
        <w:spacing w:beforeLines="50" w:afterLines="50"/>
        <w:rPr>
          <w:rFonts w:ascii="宋体" w:hAnsi="宋体" w:cs="宋体"/>
          <w:sz w:val="24"/>
        </w:rPr>
      </w:pPr>
      <w:bookmarkStart w:id="53" w:name="_Toc21827"/>
      <w:bookmarkStart w:id="54" w:name="_Toc14587"/>
      <w:bookmarkStart w:id="55" w:name="_Toc25954"/>
      <w:bookmarkStart w:id="56" w:name="_Toc9224"/>
      <w:bookmarkStart w:id="57" w:name="_Toc16906"/>
      <w:bookmarkStart w:id="58" w:name="_Toc31952"/>
      <w:bookmarkStart w:id="59" w:name="_Toc10959"/>
      <w:r>
        <w:rPr>
          <w:rFonts w:hint="eastAsia" w:ascii="宋体" w:hAnsi="宋体" w:cs="宋体"/>
          <w:sz w:val="24"/>
          <w:szCs w:val="24"/>
          <w:lang w:val="en-US" w:eastAsia="zh-CN"/>
        </w:rPr>
        <w:t>6.1 环境条件</w:t>
      </w:r>
      <w:bookmarkEnd w:id="53"/>
      <w:bookmarkEnd w:id="54"/>
      <w:bookmarkEnd w:id="55"/>
      <w:bookmarkEnd w:id="56"/>
      <w:bookmarkEnd w:id="57"/>
      <w:bookmarkEnd w:id="58"/>
      <w:bookmarkEnd w:id="59"/>
    </w:p>
    <w:p>
      <w:pPr>
        <w:widowControl/>
        <w:ind w:firstLine="480" w:firstLineChars="200"/>
        <w:jc w:val="left"/>
        <w:rPr>
          <w:kern w:val="0"/>
          <w:sz w:val="24"/>
        </w:rPr>
      </w:pPr>
      <w:r>
        <w:rPr>
          <w:rFonts w:hint="eastAsia"/>
          <w:kern w:val="0"/>
          <w:sz w:val="24"/>
        </w:rPr>
        <w:t>环境</w:t>
      </w:r>
      <w:r>
        <w:rPr>
          <w:kern w:val="0"/>
          <w:sz w:val="24"/>
        </w:rPr>
        <w:t>温度：</w:t>
      </w:r>
      <w:r>
        <w:rPr>
          <w:rFonts w:hint="eastAsia"/>
          <w:kern w:val="0"/>
          <w:sz w:val="24"/>
        </w:rPr>
        <w:t>(23±5)</w:t>
      </w:r>
      <w:r>
        <w:rPr>
          <w:kern w:val="0"/>
          <w:sz w:val="24"/>
        </w:rPr>
        <w:t>℃；</w:t>
      </w:r>
    </w:p>
    <w:p>
      <w:pPr>
        <w:widowControl/>
        <w:ind w:firstLine="480" w:firstLineChars="200"/>
        <w:jc w:val="left"/>
        <w:rPr>
          <w:kern w:val="0"/>
          <w:sz w:val="24"/>
        </w:rPr>
      </w:pPr>
      <w:r>
        <w:rPr>
          <w:kern w:val="0"/>
          <w:sz w:val="24"/>
        </w:rPr>
        <w:t>相对湿度：</w:t>
      </w:r>
      <w:r>
        <w:rPr>
          <w:rFonts w:hint="eastAsia" w:ascii="宋体" w:hAnsi="宋体" w:cs="宋体"/>
          <w:kern w:val="0"/>
          <w:sz w:val="24"/>
        </w:rPr>
        <w:t>不大于</w:t>
      </w:r>
      <w:r>
        <w:rPr>
          <w:rFonts w:hint="eastAsia"/>
          <w:kern w:val="0"/>
          <w:sz w:val="24"/>
        </w:rPr>
        <w:t>70</w:t>
      </w:r>
      <w:r>
        <w:rPr>
          <w:kern w:val="0"/>
          <w:sz w:val="24"/>
        </w:rPr>
        <w:t>%；</w:t>
      </w:r>
    </w:p>
    <w:p>
      <w:pPr>
        <w:ind w:firstLine="480" w:firstLineChars="200"/>
        <w:rPr>
          <w:sz w:val="24"/>
        </w:rPr>
      </w:pPr>
      <w:r>
        <w:rPr>
          <w:kern w:val="0"/>
          <w:sz w:val="24"/>
        </w:rPr>
        <w:t>无明显机械振动，无电磁干扰</w:t>
      </w:r>
      <w:r>
        <w:rPr>
          <w:rFonts w:hint="eastAsia" w:cs="Arial"/>
          <w:sz w:val="24"/>
        </w:rPr>
        <w:t>。</w:t>
      </w:r>
    </w:p>
    <w:p>
      <w:pPr>
        <w:pStyle w:val="4"/>
        <w:rPr>
          <w:rFonts w:ascii="宋体" w:hAnsi="宋体" w:cs="宋体"/>
        </w:rPr>
      </w:pPr>
      <w:bookmarkStart w:id="60" w:name="_Toc10368"/>
      <w:bookmarkStart w:id="61" w:name="_Toc24846"/>
      <w:bookmarkStart w:id="62" w:name="_Toc9567"/>
      <w:bookmarkStart w:id="63" w:name="_Toc18395"/>
      <w:bookmarkStart w:id="64" w:name="_Toc7898"/>
      <w:bookmarkStart w:id="65" w:name="_Toc18700"/>
      <w:bookmarkStart w:id="66" w:name="_Toc6648"/>
      <w:r>
        <w:rPr>
          <w:rFonts w:hint="eastAsia" w:ascii="宋体" w:hAnsi="宋体" w:cs="宋体"/>
          <w:szCs w:val="24"/>
          <w:lang w:val="en-US" w:eastAsia="zh-CN"/>
        </w:rPr>
        <w:t>6.2标准样品</w:t>
      </w:r>
      <w:bookmarkEnd w:id="60"/>
      <w:bookmarkEnd w:id="61"/>
      <w:bookmarkEnd w:id="62"/>
      <w:bookmarkEnd w:id="63"/>
      <w:bookmarkEnd w:id="64"/>
      <w:bookmarkEnd w:id="65"/>
      <w:bookmarkEnd w:id="66"/>
    </w:p>
    <w:p>
      <w:pPr>
        <w:widowControl/>
        <w:ind w:firstLine="480" w:firstLineChars="200"/>
        <w:jc w:val="left"/>
        <w:rPr>
          <w:kern w:val="0"/>
          <w:sz w:val="24"/>
        </w:rPr>
      </w:pPr>
      <w:r>
        <w:rPr>
          <w:rFonts w:hint="eastAsia" w:ascii="宋体" w:hAnsi="宋体"/>
          <w:sz w:val="24"/>
        </w:rPr>
        <w:t>采用按照附录A中的方法赋值的标准样品，或采用国家有证标准样品。标准样品膜面辐射率标准值范围如表1所示。</w:t>
      </w:r>
    </w:p>
    <w:p>
      <w:pPr>
        <w:ind w:firstLine="420" w:firstLineChars="200"/>
        <w:rPr>
          <w:kern w:val="0"/>
          <w:szCs w:val="21"/>
        </w:rPr>
      </w:pPr>
    </w:p>
    <w:p>
      <w:pPr>
        <w:ind w:firstLine="420" w:firstLineChars="200"/>
        <w:jc w:val="center"/>
        <w:rPr>
          <w:kern w:val="0"/>
          <w:szCs w:val="21"/>
        </w:rPr>
      </w:pPr>
      <w:r>
        <w:rPr>
          <w:rFonts w:hint="eastAsia" w:ascii="黑体" w:hAnsi="黑体" w:eastAsia="黑体" w:cs="黑体"/>
          <w:kern w:val="0"/>
          <w:szCs w:val="21"/>
        </w:rPr>
        <w:t>表1 标准样品标准值</w:t>
      </w:r>
    </w:p>
    <w:tbl>
      <w:tblPr>
        <w:tblStyle w:val="14"/>
        <w:tblW w:w="560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3226"/>
        <w:gridCol w:w="237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00" w:hRule="atLeast"/>
          <w:jc w:val="center"/>
        </w:trPr>
        <w:tc>
          <w:tcPr>
            <w:tcW w:w="3226" w:type="dxa"/>
            <w:tcBorders>
              <w:tl2br w:val="nil"/>
              <w:tr2bl w:val="nil"/>
            </w:tcBorders>
            <w:noWrap/>
            <w:tcMar>
              <w:top w:w="15" w:type="dxa"/>
              <w:left w:w="15" w:type="dxa"/>
              <w:right w:w="15" w:type="dxa"/>
            </w:tcMar>
            <w:vAlign w:val="center"/>
          </w:tcPr>
          <w:p>
            <w:pPr>
              <w:widowControl/>
              <w:jc w:val="center"/>
              <w:textAlignment w:val="center"/>
              <w:rPr>
                <w:rFonts w:ascii="宋体" w:hAnsi="宋体" w:cs="宋体"/>
                <w:color w:val="000000"/>
                <w:szCs w:val="21"/>
              </w:rPr>
            </w:pPr>
            <w:bookmarkStart w:id="67" w:name="_Toc13203"/>
            <w:bookmarkStart w:id="68" w:name="_Toc4111"/>
            <w:r>
              <w:rPr>
                <w:rFonts w:hint="eastAsia" w:ascii="宋体" w:hAnsi="宋体" w:cs="宋体"/>
                <w:color w:val="000000"/>
                <w:kern w:val="0"/>
                <w:szCs w:val="21"/>
              </w:rPr>
              <w:t>标准样品</w:t>
            </w:r>
          </w:p>
        </w:tc>
        <w:tc>
          <w:tcPr>
            <w:tcW w:w="2374" w:type="dxa"/>
            <w:tcBorders>
              <w:tl2br w:val="nil"/>
              <w:tr2bl w:val="nil"/>
            </w:tcBorders>
            <w:noWrap/>
            <w:tcMar>
              <w:top w:w="15" w:type="dxa"/>
              <w:left w:w="15" w:type="dxa"/>
              <w:right w:w="15" w:type="dxa"/>
            </w:tcMar>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镀膜面辐射率标准值范围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jc w:val="center"/>
        </w:trPr>
        <w:tc>
          <w:tcPr>
            <w:tcW w:w="3226" w:type="dxa"/>
            <w:tcBorders>
              <w:tl2br w:val="nil"/>
              <w:tr2bl w:val="nil"/>
            </w:tcBorders>
            <w:noWrap/>
            <w:tcMar>
              <w:top w:w="15" w:type="dxa"/>
              <w:left w:w="15" w:type="dxa"/>
              <w:right w:w="15" w:type="dxa"/>
            </w:tcMar>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标准样品</w:t>
            </w:r>
            <w:r>
              <w:rPr>
                <w:rFonts w:hint="eastAsia" w:ascii="宋体" w:hAnsi="宋体" w:cs="宋体"/>
                <w:color w:val="000000"/>
                <w:szCs w:val="21"/>
              </w:rPr>
              <w:t>A</w:t>
            </w:r>
          </w:p>
        </w:tc>
        <w:tc>
          <w:tcPr>
            <w:tcW w:w="2374" w:type="dxa"/>
            <w:tcBorders>
              <w:tl2br w:val="nil"/>
              <w:tr2bl w:val="nil"/>
            </w:tcBorders>
            <w:noWrap/>
            <w:tcMar>
              <w:top w:w="15" w:type="dxa"/>
              <w:left w:w="15" w:type="dxa"/>
              <w:right w:w="15" w:type="dxa"/>
            </w:tcMar>
            <w:vAlign w:val="center"/>
          </w:tcPr>
          <w:p>
            <w:pPr>
              <w:widowControl/>
              <w:jc w:val="center"/>
              <w:textAlignment w:val="center"/>
              <w:rPr>
                <w:rFonts w:ascii="宋体" w:hAnsi="宋体" w:cs="宋体"/>
                <w:color w:val="000000"/>
                <w:szCs w:val="21"/>
              </w:rPr>
            </w:pPr>
            <w:r>
              <w:rPr>
                <w:rFonts w:hint="eastAsia" w:ascii="宋体" w:hAnsi="宋体" w:cs="宋体"/>
                <w:color w:val="000000"/>
                <w:szCs w:val="21"/>
              </w:rPr>
              <w:t>0.05±0.02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0" w:hRule="atLeast"/>
          <w:jc w:val="center"/>
        </w:trPr>
        <w:tc>
          <w:tcPr>
            <w:tcW w:w="3226" w:type="dxa"/>
            <w:tcBorders>
              <w:tl2br w:val="nil"/>
              <w:tr2bl w:val="nil"/>
            </w:tcBorders>
            <w:noWrap/>
            <w:tcMar>
              <w:top w:w="15" w:type="dxa"/>
              <w:left w:w="15" w:type="dxa"/>
              <w:right w:w="15" w:type="dxa"/>
            </w:tcMar>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标准样品B</w:t>
            </w:r>
          </w:p>
        </w:tc>
        <w:tc>
          <w:tcPr>
            <w:tcW w:w="2374" w:type="dxa"/>
            <w:tcBorders>
              <w:tl2br w:val="nil"/>
              <w:tr2bl w:val="nil"/>
            </w:tcBorders>
            <w:noWrap/>
            <w:tcMar>
              <w:top w:w="15" w:type="dxa"/>
              <w:left w:w="15" w:type="dxa"/>
              <w:right w:w="15" w:type="dxa"/>
            </w:tcMar>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0.10</w:t>
            </w:r>
            <w:r>
              <w:rPr>
                <w:rFonts w:hint="eastAsia" w:ascii="宋体" w:hAnsi="宋体" w:cs="宋体"/>
                <w:color w:val="000000"/>
                <w:szCs w:val="21"/>
              </w:rPr>
              <w:t>±0.02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0" w:hRule="atLeast"/>
          <w:jc w:val="center"/>
        </w:trPr>
        <w:tc>
          <w:tcPr>
            <w:tcW w:w="3226" w:type="dxa"/>
            <w:tcBorders>
              <w:tl2br w:val="nil"/>
              <w:tr2bl w:val="nil"/>
            </w:tcBorders>
            <w:noWrap/>
            <w:tcMar>
              <w:top w:w="15" w:type="dxa"/>
              <w:left w:w="15" w:type="dxa"/>
              <w:right w:w="15" w:type="dxa"/>
            </w:tcMar>
            <w:vAlign w:val="center"/>
          </w:tcPr>
          <w:p>
            <w:pPr>
              <w:widowControl/>
              <w:jc w:val="center"/>
              <w:textAlignment w:val="center"/>
              <w:rPr>
                <w:rFonts w:ascii="宋体" w:hAnsi="宋体" w:cs="宋体"/>
                <w:color w:val="000000"/>
                <w:kern w:val="0"/>
                <w:szCs w:val="21"/>
              </w:rPr>
            </w:pPr>
            <w:r>
              <w:rPr>
                <w:rFonts w:hint="eastAsia" w:ascii="宋体" w:hAnsi="宋体" w:cs="宋体"/>
                <w:color w:val="000000"/>
                <w:kern w:val="0"/>
                <w:szCs w:val="21"/>
              </w:rPr>
              <w:t>标准样品</w:t>
            </w:r>
            <w:r>
              <w:rPr>
                <w:rFonts w:hint="eastAsia" w:ascii="宋体" w:hAnsi="宋体" w:cs="宋体"/>
                <w:color w:val="000000"/>
                <w:szCs w:val="21"/>
              </w:rPr>
              <w:t>C</w:t>
            </w:r>
          </w:p>
        </w:tc>
        <w:tc>
          <w:tcPr>
            <w:tcW w:w="2374" w:type="dxa"/>
            <w:tcBorders>
              <w:tl2br w:val="nil"/>
              <w:tr2bl w:val="nil"/>
            </w:tcBorders>
            <w:noWrap/>
            <w:tcMar>
              <w:top w:w="15" w:type="dxa"/>
              <w:left w:w="15" w:type="dxa"/>
              <w:right w:w="15" w:type="dxa"/>
            </w:tcMar>
            <w:vAlign w:val="center"/>
          </w:tcPr>
          <w:p>
            <w:pPr>
              <w:widowControl/>
              <w:jc w:val="center"/>
              <w:textAlignment w:val="center"/>
              <w:rPr>
                <w:rFonts w:ascii="宋体" w:hAnsi="宋体" w:cs="宋体"/>
                <w:color w:val="000000"/>
                <w:kern w:val="0"/>
                <w:szCs w:val="21"/>
              </w:rPr>
            </w:pPr>
            <w:r>
              <w:rPr>
                <w:rFonts w:hint="eastAsia" w:ascii="宋体" w:hAnsi="宋体" w:cs="宋体"/>
                <w:color w:val="000000"/>
                <w:kern w:val="0"/>
                <w:szCs w:val="21"/>
              </w:rPr>
              <w:t>0.15</w:t>
            </w:r>
            <w:r>
              <w:rPr>
                <w:rFonts w:hint="eastAsia" w:ascii="宋体" w:hAnsi="宋体" w:cs="宋体"/>
                <w:color w:val="000000"/>
                <w:szCs w:val="21"/>
              </w:rPr>
              <w:t>±0.03</w:t>
            </w:r>
          </w:p>
        </w:tc>
      </w:tr>
    </w:tbl>
    <w:p>
      <w:pPr>
        <w:rPr>
          <w:rStyle w:val="25"/>
          <w:sz w:val="24"/>
        </w:rPr>
      </w:pPr>
    </w:p>
    <w:p>
      <w:pPr>
        <w:spacing w:beforeLines="50" w:afterLines="50"/>
        <w:rPr>
          <w:rStyle w:val="25"/>
          <w:rFonts w:ascii="黑体" w:hAnsi="黑体" w:eastAsia="黑体" w:cs="黑体"/>
          <w:kern w:val="0"/>
          <w:sz w:val="24"/>
        </w:rPr>
      </w:pPr>
      <w:bookmarkStart w:id="69" w:name="_Toc24742"/>
      <w:bookmarkStart w:id="70" w:name="_Toc879"/>
      <w:bookmarkStart w:id="71" w:name="_Toc20630"/>
      <w:bookmarkStart w:id="72" w:name="_Toc32053"/>
      <w:bookmarkStart w:id="73" w:name="_Toc2881"/>
      <w:r>
        <w:rPr>
          <w:rStyle w:val="25"/>
          <w:rFonts w:hint="eastAsia" w:ascii="黑体" w:hAnsi="黑体" w:eastAsia="黑体" w:cs="黑体"/>
          <w:sz w:val="24"/>
        </w:rPr>
        <w:t>7 校准项目和校准方法</w:t>
      </w:r>
      <w:bookmarkEnd w:id="67"/>
      <w:bookmarkEnd w:id="68"/>
      <w:bookmarkEnd w:id="69"/>
      <w:bookmarkEnd w:id="70"/>
    </w:p>
    <w:bookmarkEnd w:id="71"/>
    <w:bookmarkEnd w:id="72"/>
    <w:bookmarkEnd w:id="73"/>
    <w:p>
      <w:pPr>
        <w:pStyle w:val="4"/>
        <w:keepNext w:val="0"/>
        <w:keepLines w:val="0"/>
      </w:pPr>
      <w:bookmarkStart w:id="74" w:name="_Toc7866"/>
      <w:bookmarkStart w:id="75" w:name="_Toc22764"/>
      <w:bookmarkStart w:id="76" w:name="_Toc15342"/>
      <w:bookmarkStart w:id="77" w:name="_Toc9878"/>
      <w:bookmarkStart w:id="78" w:name="_Toc31222"/>
      <w:bookmarkStart w:id="79" w:name="_Toc29964"/>
      <w:bookmarkStart w:id="80" w:name="_Toc2770"/>
      <w:r>
        <w:rPr>
          <w:rFonts w:hint="eastAsia"/>
          <w:lang w:val="en-US" w:eastAsia="zh-CN"/>
        </w:rPr>
        <w:t>7.1校准项目</w:t>
      </w:r>
      <w:bookmarkEnd w:id="74"/>
      <w:bookmarkEnd w:id="75"/>
      <w:bookmarkEnd w:id="76"/>
    </w:p>
    <w:p>
      <w:pPr>
        <w:ind w:firstLine="480" w:firstLineChars="200"/>
        <w:rPr>
          <w:sz w:val="24"/>
        </w:rPr>
      </w:pPr>
      <w:r>
        <w:rPr>
          <w:rFonts w:hint="eastAsia"/>
          <w:sz w:val="24"/>
        </w:rPr>
        <w:t>校准项目为</w:t>
      </w:r>
      <w:r>
        <w:rPr>
          <w:sz w:val="24"/>
        </w:rPr>
        <w:t>仪器示值误差与重复性</w:t>
      </w:r>
      <w:r>
        <w:rPr>
          <w:rFonts w:hint="eastAsia"/>
          <w:sz w:val="24"/>
        </w:rPr>
        <w:t>。</w:t>
      </w:r>
    </w:p>
    <w:p>
      <w:pPr>
        <w:rPr>
          <w:rFonts w:ascii="宋体" w:hAnsi="宋体" w:cs="宋体"/>
          <w:sz w:val="24"/>
        </w:rPr>
      </w:pPr>
      <w:bookmarkStart w:id="81" w:name="_Toc5456"/>
      <w:bookmarkStart w:id="82" w:name="_Toc9507"/>
      <w:r>
        <w:rPr>
          <w:rStyle w:val="30"/>
          <w:rFonts w:hint="eastAsia" w:ascii="宋体" w:hAnsi="宋体" w:cs="宋体"/>
        </w:rPr>
        <w:t xml:space="preserve">7.2 </w:t>
      </w:r>
      <w:r>
        <w:rPr>
          <w:rStyle w:val="30"/>
          <w:rFonts w:hint="eastAsia"/>
          <w:bCs/>
          <w:color w:val="000000"/>
        </w:rPr>
        <w:t>仪器示值误差</w:t>
      </w:r>
      <w:bookmarkEnd w:id="77"/>
      <w:bookmarkEnd w:id="81"/>
      <w:bookmarkEnd w:id="82"/>
    </w:p>
    <w:bookmarkEnd w:id="78"/>
    <w:bookmarkEnd w:id="79"/>
    <w:bookmarkEnd w:id="80"/>
    <w:p>
      <w:pPr>
        <w:ind w:firstLine="480" w:firstLineChars="200"/>
        <w:rPr>
          <w:sz w:val="24"/>
        </w:rPr>
      </w:pPr>
      <w:r>
        <w:rPr>
          <w:sz w:val="24"/>
        </w:rPr>
        <w:t>被校仪器按照说明书要求进行预热和</w:t>
      </w:r>
      <w:r>
        <w:rPr>
          <w:rFonts w:hint="eastAsia"/>
          <w:sz w:val="24"/>
        </w:rPr>
        <w:t>自</w:t>
      </w:r>
      <w:r>
        <w:rPr>
          <w:sz w:val="24"/>
        </w:rPr>
        <w:t>校准，选择测量范围内的</w:t>
      </w:r>
      <w:r>
        <w:rPr>
          <w:rFonts w:hint="eastAsia"/>
          <w:sz w:val="24"/>
        </w:rPr>
        <w:t>标准样品</w:t>
      </w:r>
      <w:r>
        <w:rPr>
          <w:sz w:val="24"/>
        </w:rPr>
        <w:t>，以镀膜面为测量面，使用前清洁样品表面，待样品干燥后使用，每</w:t>
      </w:r>
      <w:r>
        <w:rPr>
          <w:rFonts w:hint="eastAsia"/>
          <w:sz w:val="24"/>
        </w:rPr>
        <w:t>件标准样品</w:t>
      </w:r>
      <w:r>
        <w:rPr>
          <w:sz w:val="24"/>
        </w:rPr>
        <w:t>在同一被测点重复测量n次，n一般取6，测量时间间隔为2分钟，记录n次辐射率测量值。</w:t>
      </w:r>
    </w:p>
    <w:p>
      <w:pPr>
        <w:widowControl/>
        <w:ind w:firstLine="420"/>
        <w:jc w:val="left"/>
        <w:rPr>
          <w:bCs/>
          <w:color w:val="000000"/>
          <w:sz w:val="24"/>
        </w:rPr>
      </w:pPr>
      <w:r>
        <w:rPr>
          <w:rFonts w:hint="eastAsia"/>
          <w:bCs/>
          <w:color w:val="000000"/>
          <w:sz w:val="24"/>
        </w:rPr>
        <w:t>每件标准样品测量值</w:t>
      </w:r>
      <w:r>
        <w:rPr>
          <w:bCs/>
          <w:color w:val="000000"/>
          <w:sz w:val="24"/>
        </w:rPr>
        <w:t>的</w:t>
      </w:r>
      <w:r>
        <w:rPr>
          <w:bCs/>
          <w:i/>
          <w:iCs/>
          <w:color w:val="000000"/>
          <w:sz w:val="24"/>
        </w:rPr>
        <w:t>n</w:t>
      </w:r>
      <w:r>
        <w:rPr>
          <w:bCs/>
          <w:color w:val="000000"/>
          <w:sz w:val="24"/>
        </w:rPr>
        <w:t>次</w:t>
      </w:r>
      <w:r>
        <w:rPr>
          <w:rFonts w:hint="eastAsia"/>
          <w:bCs/>
          <w:color w:val="000000"/>
          <w:sz w:val="24"/>
        </w:rPr>
        <w:t>算术</w:t>
      </w:r>
      <w:r>
        <w:rPr>
          <w:bCs/>
          <w:color w:val="000000"/>
          <w:sz w:val="24"/>
        </w:rPr>
        <w:t>平均值按照公式（1）计算，示值误差按照公式（2）计算。</w:t>
      </w:r>
    </w:p>
    <w:p>
      <w:pPr>
        <w:widowControl/>
        <w:adjustRightInd w:val="0"/>
        <w:snapToGrid w:val="0"/>
        <w:jc w:val="right"/>
        <w:rPr>
          <w:bCs/>
          <w:color w:val="000000"/>
          <w:sz w:val="24"/>
        </w:rPr>
      </w:pPr>
      <w:r>
        <w:rPr>
          <w:bCs/>
          <w:color w:val="000000"/>
          <w:position w:val="-28"/>
          <w:sz w:val="24"/>
        </w:rPr>
        <w:object>
          <v:shape id="_x0000_i1028" o:spt="75" type="#_x0000_t75" style="height:33.75pt;width:57pt;" o:ole="t" filled="f" o:preferrelative="t" stroked="f" coordsize="21600,21600">
            <v:path/>
            <v:fill on="f" focussize="0,0"/>
            <v:stroke on="f" joinstyle="miter"/>
            <v:imagedata r:id="rId13" o:title=""/>
            <o:lock v:ext="edit" aspectratio="t"/>
            <w10:wrap type="none"/>
            <w10:anchorlock/>
          </v:shape>
          <o:OLEObject Type="Embed" ProgID="Equation.KSEE3" ShapeID="_x0000_i1028" DrawAspect="Content" ObjectID="_1468075725" r:id="rId12">
            <o:LockedField>false</o:LockedField>
          </o:OLEObject>
        </w:object>
      </w:r>
      <w:r>
        <w:rPr>
          <w:rFonts w:hint="eastAsia"/>
          <w:bCs/>
          <w:color w:val="000000"/>
          <w:position w:val="-28"/>
          <w:sz w:val="24"/>
          <w:lang w:val="en-US" w:eastAsia="zh-CN"/>
        </w:rPr>
        <w:t xml:space="preserve">                      </w:t>
      </w:r>
      <w:r>
        <w:rPr>
          <w:bCs/>
          <w:color w:val="000000"/>
          <w:sz w:val="24"/>
        </w:rPr>
        <w:t>（1）</w:t>
      </w:r>
    </w:p>
    <w:p>
      <w:pPr>
        <w:widowControl/>
        <w:adjustRightInd w:val="0"/>
        <w:snapToGrid w:val="0"/>
        <w:ind w:firstLine="420" w:firstLineChars="175"/>
        <w:jc w:val="right"/>
        <w:rPr>
          <w:bCs/>
          <w:color w:val="000000"/>
          <w:sz w:val="24"/>
        </w:rPr>
      </w:pPr>
      <w:r>
        <w:rPr>
          <w:bCs/>
          <w:color w:val="000000"/>
          <w:position w:val="-12"/>
          <w:sz w:val="24"/>
        </w:rPr>
        <w:object>
          <v:shape id="_x0000_i1029" o:spt="75" type="#_x0000_t75" style="height:20.25pt;width:51pt;" o:ole="t" filled="f" o:preferrelative="t" stroked="f" coordsize="21600,21600">
            <v:path/>
            <v:fill on="f" focussize="0,0"/>
            <v:stroke on="f" joinstyle="miter"/>
            <v:imagedata r:id="rId15" o:title=""/>
            <o:lock v:ext="edit" aspectratio="t"/>
            <w10:wrap type="none"/>
            <w10:anchorlock/>
          </v:shape>
          <o:OLEObject Type="Embed" ProgID="Equation.KSEE3" ShapeID="_x0000_i1029" DrawAspect="Content" ObjectID="_1468075726" r:id="rId14">
            <o:LockedField>false</o:LockedField>
          </o:OLEObject>
        </w:object>
      </w:r>
      <w:r>
        <w:rPr>
          <w:rFonts w:hint="eastAsia"/>
          <w:bCs/>
          <w:color w:val="000000"/>
          <w:position w:val="-12"/>
          <w:sz w:val="24"/>
          <w:lang w:val="en-US" w:eastAsia="zh-CN"/>
        </w:rPr>
        <w:t xml:space="preserve">                       </w:t>
      </w:r>
      <w:r>
        <w:rPr>
          <w:bCs/>
          <w:color w:val="000000"/>
          <w:sz w:val="24"/>
        </w:rPr>
        <w:t>（2）</w:t>
      </w:r>
    </w:p>
    <w:p>
      <w:pPr>
        <w:widowControl/>
        <w:adjustRightInd w:val="0"/>
        <w:snapToGrid w:val="0"/>
        <w:ind w:firstLine="420"/>
        <w:rPr>
          <w:bCs/>
          <w:color w:val="000000"/>
          <w:sz w:val="24"/>
        </w:rPr>
      </w:pPr>
      <w:r>
        <w:rPr>
          <w:bCs/>
          <w:color w:val="000000"/>
          <w:sz w:val="24"/>
        </w:rPr>
        <w:t>式中：</w:t>
      </w:r>
    </w:p>
    <w:p>
      <w:pPr>
        <w:widowControl/>
        <w:adjustRightInd w:val="0"/>
        <w:snapToGrid w:val="0"/>
        <w:ind w:firstLine="420"/>
        <w:rPr>
          <w:bCs/>
          <w:color w:val="000000"/>
          <w:sz w:val="24"/>
        </w:rPr>
      </w:pPr>
      <w:r>
        <w:rPr>
          <w:bCs/>
          <w:i/>
          <w:iCs/>
          <w:color w:val="000000"/>
          <w:sz w:val="24"/>
        </w:rPr>
        <w:t>n</w:t>
      </w:r>
      <w:r>
        <w:rPr>
          <w:bCs/>
          <w:color w:val="000000"/>
          <w:sz w:val="24"/>
        </w:rPr>
        <w:t>——重复测量次数；</w:t>
      </w:r>
    </w:p>
    <w:p>
      <w:pPr>
        <w:widowControl/>
        <w:adjustRightInd w:val="0"/>
        <w:snapToGrid w:val="0"/>
        <w:ind w:firstLine="420"/>
        <w:rPr>
          <w:bCs/>
          <w:color w:val="000000"/>
          <w:sz w:val="24"/>
        </w:rPr>
      </w:pPr>
      <w:r>
        <w:rPr>
          <w:bCs/>
          <w:color w:val="000000"/>
          <w:position w:val="-12"/>
          <w:sz w:val="24"/>
        </w:rPr>
        <w:object>
          <v:shape id="_x0000_i1030" o:spt="75" type="#_x0000_t75" style="height:18pt;width:12pt;" o:ole="t" filled="f" o:preferrelative="t" stroked="f" coordsize="21600,21600">
            <v:path/>
            <v:fill on="f" focussize="0,0"/>
            <v:stroke on="f" joinstyle="miter"/>
            <v:imagedata r:id="rId17" o:title=""/>
            <o:lock v:ext="edit" aspectratio="t"/>
            <w10:wrap type="none"/>
            <w10:anchorlock/>
          </v:shape>
          <o:OLEObject Type="Embed" ProgID="Equation.KSEE3" ShapeID="_x0000_i1030" DrawAspect="Content" ObjectID="_1468075727" r:id="rId16">
            <o:LockedField>false</o:LockedField>
          </o:OLEObject>
        </w:object>
      </w:r>
      <w:r>
        <w:rPr>
          <w:bCs/>
          <w:color w:val="000000"/>
          <w:sz w:val="24"/>
        </w:rPr>
        <w:t>——第</w:t>
      </w:r>
      <w:r>
        <w:rPr>
          <w:bCs/>
          <w:i/>
          <w:iCs/>
          <w:color w:val="000000"/>
          <w:sz w:val="24"/>
        </w:rPr>
        <w:t>i</w:t>
      </w:r>
      <w:r>
        <w:rPr>
          <w:bCs/>
          <w:color w:val="000000"/>
          <w:sz w:val="24"/>
        </w:rPr>
        <w:t>次</w:t>
      </w:r>
      <w:r>
        <w:rPr>
          <w:rFonts w:hint="eastAsia"/>
          <w:bCs/>
          <w:color w:val="000000"/>
          <w:sz w:val="24"/>
        </w:rPr>
        <w:t>辐射率</w:t>
      </w:r>
      <w:r>
        <w:rPr>
          <w:bCs/>
          <w:color w:val="000000"/>
          <w:sz w:val="24"/>
        </w:rPr>
        <w:t>测量值；</w:t>
      </w:r>
    </w:p>
    <w:p>
      <w:pPr>
        <w:widowControl/>
        <w:adjustRightInd w:val="0"/>
        <w:snapToGrid w:val="0"/>
        <w:ind w:firstLine="420"/>
        <w:rPr>
          <w:bCs/>
          <w:color w:val="000000"/>
          <w:sz w:val="24"/>
        </w:rPr>
      </w:pPr>
      <w:r>
        <w:rPr>
          <w:bCs/>
          <w:color w:val="000000"/>
          <w:position w:val="-6"/>
          <w:sz w:val="24"/>
        </w:rPr>
        <w:object>
          <v:shape id="_x0000_i1031" o:spt="75" type="#_x0000_t75" style="height:17.25pt;width:9.75pt;" o:ole="t" filled="f" o:preferrelative="t" stroked="f" coordsize="21600,21600">
            <v:path/>
            <v:fill on="f" focussize="0,0"/>
            <v:stroke on="f" joinstyle="miter"/>
            <v:imagedata r:id="rId19" o:title=""/>
            <o:lock v:ext="edit" aspectratio="t"/>
            <w10:wrap type="none"/>
            <w10:anchorlock/>
          </v:shape>
          <o:OLEObject Type="Embed" ProgID="Equation.KSEE3" ShapeID="_x0000_i1031" DrawAspect="Content" ObjectID="_1468075728" r:id="rId18">
            <o:LockedField>false</o:LockedField>
          </o:OLEObject>
        </w:object>
      </w:r>
      <w:r>
        <w:rPr>
          <w:bCs/>
          <w:color w:val="000000"/>
          <w:sz w:val="24"/>
        </w:rPr>
        <w:t>——</w:t>
      </w:r>
      <w:r>
        <w:rPr>
          <w:bCs/>
          <w:i/>
          <w:iCs/>
          <w:color w:val="000000"/>
          <w:sz w:val="24"/>
        </w:rPr>
        <w:t>n</w:t>
      </w:r>
      <w:r>
        <w:rPr>
          <w:bCs/>
          <w:color w:val="000000"/>
          <w:sz w:val="24"/>
        </w:rPr>
        <w:t>次</w:t>
      </w:r>
      <w:r>
        <w:rPr>
          <w:rFonts w:hint="eastAsia"/>
          <w:bCs/>
          <w:color w:val="000000"/>
          <w:sz w:val="24"/>
        </w:rPr>
        <w:t>辐射率</w:t>
      </w:r>
      <w:r>
        <w:rPr>
          <w:bCs/>
          <w:color w:val="000000"/>
          <w:sz w:val="24"/>
        </w:rPr>
        <w:t>测量值的</w:t>
      </w:r>
      <w:r>
        <w:rPr>
          <w:rFonts w:hint="eastAsia"/>
          <w:bCs/>
          <w:color w:val="000000"/>
          <w:sz w:val="24"/>
        </w:rPr>
        <w:t>算术</w:t>
      </w:r>
      <w:r>
        <w:rPr>
          <w:bCs/>
          <w:color w:val="000000"/>
          <w:sz w:val="24"/>
        </w:rPr>
        <w:t>平均值；</w:t>
      </w:r>
    </w:p>
    <w:p>
      <w:pPr>
        <w:widowControl/>
        <w:adjustRightInd w:val="0"/>
        <w:snapToGrid w:val="0"/>
        <w:ind w:firstLine="420"/>
        <w:rPr>
          <w:bCs/>
          <w:color w:val="000000"/>
          <w:sz w:val="24"/>
        </w:rPr>
      </w:pPr>
      <w:r>
        <w:rPr>
          <w:bCs/>
          <w:color w:val="000000"/>
          <w:position w:val="-12"/>
          <w:sz w:val="24"/>
        </w:rPr>
        <w:object>
          <v:shape id="_x0000_i1032" o:spt="75" type="#_x0000_t75" style="height:18pt;width:12.75pt;" o:ole="t" filled="f" o:preferrelative="t" stroked="f" coordsize="21600,21600">
            <v:path/>
            <v:fill on="f" focussize="0,0"/>
            <v:stroke on="f" joinstyle="miter"/>
            <v:imagedata r:id="rId21" o:title=""/>
            <o:lock v:ext="edit" aspectratio="t"/>
            <w10:wrap type="none"/>
            <w10:anchorlock/>
          </v:shape>
          <o:OLEObject Type="Embed" ProgID="Equation.KSEE3" ShapeID="_x0000_i1032" DrawAspect="Content" ObjectID="_1468075729" r:id="rId20">
            <o:LockedField>false</o:LockedField>
          </o:OLEObject>
        </w:object>
      </w:r>
      <w:r>
        <w:rPr>
          <w:bCs/>
          <w:color w:val="000000"/>
          <w:sz w:val="24"/>
        </w:rPr>
        <w:t>——标准样品的</w:t>
      </w:r>
      <w:r>
        <w:rPr>
          <w:rFonts w:hint="eastAsia"/>
          <w:bCs/>
          <w:color w:val="000000"/>
          <w:sz w:val="24"/>
        </w:rPr>
        <w:t>辐射率</w:t>
      </w:r>
      <w:r>
        <w:rPr>
          <w:bCs/>
          <w:color w:val="000000"/>
          <w:sz w:val="24"/>
        </w:rPr>
        <w:t>标准值；</w:t>
      </w:r>
    </w:p>
    <w:p>
      <w:pPr>
        <w:widowControl/>
        <w:adjustRightInd w:val="0"/>
        <w:snapToGrid w:val="0"/>
        <w:ind w:firstLine="420"/>
        <w:rPr>
          <w:bCs/>
          <w:color w:val="000000"/>
          <w:sz w:val="24"/>
        </w:rPr>
      </w:pPr>
      <w:r>
        <w:rPr>
          <w:bCs/>
          <w:color w:val="000000"/>
          <w:position w:val="-4"/>
          <w:sz w:val="24"/>
        </w:rPr>
        <w:object>
          <v:shape id="_x0000_i1033" o:spt="75" type="#_x0000_t75" style="height:12.75pt;width:11.25pt;" o:ole="t" filled="f" o:preferrelative="t" stroked="f" coordsize="21600,21600">
            <v:path/>
            <v:fill on="f" focussize="0,0"/>
            <v:stroke on="f" joinstyle="miter"/>
            <v:imagedata r:id="rId23" o:title=""/>
            <o:lock v:ext="edit" aspectratio="t"/>
            <w10:wrap type="none"/>
            <w10:anchorlock/>
          </v:shape>
          <o:OLEObject Type="Embed" ProgID="Equation.KSEE3" ShapeID="_x0000_i1033" DrawAspect="Content" ObjectID="_1468075730" r:id="rId22">
            <o:LockedField>false</o:LockedField>
          </o:OLEObject>
        </w:object>
      </w:r>
      <w:r>
        <w:rPr>
          <w:bCs/>
          <w:color w:val="000000"/>
          <w:sz w:val="24"/>
        </w:rPr>
        <w:t>——</w:t>
      </w:r>
      <w:r>
        <w:rPr>
          <w:rFonts w:hint="eastAsia"/>
          <w:bCs/>
          <w:color w:val="000000"/>
          <w:sz w:val="24"/>
        </w:rPr>
        <w:t>辐射率</w:t>
      </w:r>
      <w:r>
        <w:rPr>
          <w:bCs/>
          <w:color w:val="000000"/>
          <w:sz w:val="24"/>
        </w:rPr>
        <w:t>测</w:t>
      </w:r>
      <w:r>
        <w:rPr>
          <w:rFonts w:hint="eastAsia"/>
          <w:bCs/>
          <w:color w:val="000000"/>
          <w:sz w:val="24"/>
        </w:rPr>
        <w:t>量值</w:t>
      </w:r>
      <w:r>
        <w:rPr>
          <w:bCs/>
          <w:color w:val="000000"/>
          <w:sz w:val="24"/>
        </w:rPr>
        <w:t>的</w:t>
      </w:r>
      <w:r>
        <w:rPr>
          <w:rFonts w:hint="eastAsia"/>
          <w:bCs/>
          <w:color w:val="000000"/>
          <w:sz w:val="24"/>
        </w:rPr>
        <w:t>算术</w:t>
      </w:r>
      <w:r>
        <w:rPr>
          <w:bCs/>
          <w:color w:val="000000"/>
          <w:sz w:val="24"/>
        </w:rPr>
        <w:t>平均值与标准值之差</w:t>
      </w:r>
      <w:r>
        <w:rPr>
          <w:rFonts w:hint="eastAsia"/>
          <w:bCs/>
          <w:color w:val="000000"/>
          <w:sz w:val="24"/>
        </w:rPr>
        <w:t>，即示值误差</w:t>
      </w:r>
      <w:r>
        <w:rPr>
          <w:bCs/>
          <w:color w:val="000000"/>
          <w:sz w:val="24"/>
        </w:rPr>
        <w:t>；</w:t>
      </w:r>
    </w:p>
    <w:p>
      <w:pPr>
        <w:widowControl/>
        <w:adjustRightInd w:val="0"/>
        <w:snapToGrid w:val="0"/>
        <w:ind w:firstLine="420"/>
        <w:rPr>
          <w:sz w:val="24"/>
        </w:rPr>
      </w:pPr>
      <w:r>
        <w:rPr>
          <w:bCs/>
          <w:i/>
          <w:iCs/>
          <w:color w:val="000000"/>
          <w:sz w:val="24"/>
        </w:rPr>
        <w:t>i</w:t>
      </w:r>
      <w:r>
        <w:rPr>
          <w:bCs/>
          <w:color w:val="000000"/>
          <w:sz w:val="24"/>
        </w:rPr>
        <w:t>——标准样品测量序列，1,2，…</w:t>
      </w:r>
      <w:r>
        <w:rPr>
          <w:bCs/>
          <w:i/>
          <w:iCs/>
          <w:color w:val="000000"/>
          <w:sz w:val="24"/>
        </w:rPr>
        <w:t>n</w:t>
      </w:r>
      <w:r>
        <w:rPr>
          <w:bCs/>
          <w:color w:val="000000"/>
          <w:sz w:val="24"/>
        </w:rPr>
        <w:t>。</w:t>
      </w:r>
    </w:p>
    <w:p>
      <w:pPr>
        <w:widowControl/>
        <w:ind w:firstLine="480" w:firstLineChars="200"/>
        <w:jc w:val="left"/>
        <w:rPr>
          <w:bCs/>
          <w:color w:val="000000"/>
          <w:sz w:val="24"/>
        </w:rPr>
      </w:pPr>
      <w:r>
        <w:rPr>
          <w:rFonts w:hint="eastAsia"/>
          <w:bCs/>
          <w:color w:val="000000"/>
          <w:sz w:val="24"/>
        </w:rPr>
        <w:t>标准样品各自的示值误差绝对值的最大值对应的示值误差，</w:t>
      </w:r>
      <w:r>
        <w:rPr>
          <w:rFonts w:hint="eastAsia"/>
          <w:sz w:val="24"/>
        </w:rPr>
        <w:t>作为仪器测量辐射率的示值误差。仪器</w:t>
      </w:r>
      <w:r>
        <w:rPr>
          <w:sz w:val="24"/>
        </w:rPr>
        <w:t>示值误差</w:t>
      </w:r>
      <w:r>
        <w:rPr>
          <w:rFonts w:hint="eastAsia"/>
          <w:sz w:val="24"/>
        </w:rPr>
        <w:t>的测量</w:t>
      </w:r>
      <w:r>
        <w:rPr>
          <w:sz w:val="24"/>
        </w:rPr>
        <w:t>不确定度按照附录</w:t>
      </w:r>
      <w:r>
        <w:rPr>
          <w:rFonts w:hint="eastAsia"/>
          <w:sz w:val="24"/>
        </w:rPr>
        <w:t>D</w:t>
      </w:r>
      <w:r>
        <w:rPr>
          <w:sz w:val="24"/>
        </w:rPr>
        <w:t>中的方法</w:t>
      </w:r>
      <w:r>
        <w:rPr>
          <w:rFonts w:hint="eastAsia"/>
          <w:sz w:val="24"/>
        </w:rPr>
        <w:t>评</w:t>
      </w:r>
      <w:r>
        <w:rPr>
          <w:sz w:val="24"/>
        </w:rPr>
        <w:t>定。</w:t>
      </w:r>
    </w:p>
    <w:p>
      <w:pPr>
        <w:pStyle w:val="4"/>
        <w:ind w:firstLine="420"/>
        <w:rPr>
          <w:bCs/>
          <w:color w:val="000000"/>
        </w:rPr>
      </w:pPr>
      <w:bookmarkStart w:id="83" w:name="_Toc8120"/>
      <w:bookmarkStart w:id="84" w:name="_Toc18251"/>
      <w:r>
        <w:rPr>
          <w:rFonts w:hint="eastAsia"/>
          <w:bCs/>
          <w:color w:val="000000"/>
          <w:szCs w:val="24"/>
          <w:lang w:val="en-US" w:eastAsia="zh-CN"/>
        </w:rPr>
        <w:t>7.3 重复性</w:t>
      </w:r>
      <w:bookmarkEnd w:id="83"/>
      <w:bookmarkEnd w:id="84"/>
    </w:p>
    <w:p>
      <w:pPr>
        <w:widowControl/>
        <w:ind w:firstLine="420"/>
        <w:jc w:val="left"/>
        <w:rPr>
          <w:bCs/>
          <w:color w:val="000000"/>
          <w:sz w:val="24"/>
        </w:rPr>
      </w:pPr>
      <w:r>
        <w:rPr>
          <w:rFonts w:hint="eastAsia"/>
          <w:bCs/>
          <w:color w:val="000000"/>
          <w:sz w:val="24"/>
        </w:rPr>
        <w:t>每件标准样品测量值</w:t>
      </w:r>
      <w:r>
        <w:rPr>
          <w:bCs/>
          <w:color w:val="000000"/>
          <w:sz w:val="24"/>
        </w:rPr>
        <w:t>的</w:t>
      </w:r>
      <w:r>
        <w:rPr>
          <w:rFonts w:hint="eastAsia"/>
          <w:bCs/>
          <w:color w:val="000000"/>
          <w:sz w:val="24"/>
        </w:rPr>
        <w:t>极差</w:t>
      </w:r>
      <w:r>
        <w:rPr>
          <w:bCs/>
          <w:color w:val="000000"/>
          <w:sz w:val="24"/>
        </w:rPr>
        <w:t>按照公式（3）计算。</w:t>
      </w:r>
    </w:p>
    <w:p>
      <w:pPr>
        <w:widowControl/>
        <w:adjustRightInd w:val="0"/>
        <w:snapToGrid w:val="0"/>
        <w:ind w:firstLine="420" w:firstLineChars="175"/>
        <w:jc w:val="right"/>
        <w:rPr>
          <w:bCs/>
          <w:color w:val="000000"/>
          <w:sz w:val="24"/>
        </w:rPr>
      </w:pPr>
      <w:r>
        <w:rPr>
          <w:bCs/>
          <w:color w:val="000000"/>
          <w:position w:val="-12"/>
          <w:sz w:val="24"/>
        </w:rPr>
        <w:object>
          <v:shape id="_x0000_i1034" o:spt="75" type="#_x0000_t75" style="height:18pt;width:72.75pt;" o:ole="t" filled="f" o:preferrelative="t" stroked="f" coordsize="21600,21600">
            <v:path/>
            <v:fill on="f" focussize="0,0"/>
            <v:stroke on="f" joinstyle="miter"/>
            <v:imagedata r:id="rId25" o:title=""/>
            <o:lock v:ext="edit" aspectratio="t"/>
            <w10:wrap type="none"/>
            <w10:anchorlock/>
          </v:shape>
          <o:OLEObject Type="Embed" ProgID="Equation.KSEE3" ShapeID="_x0000_i1034" DrawAspect="Content" ObjectID="_1468075731" r:id="rId24">
            <o:LockedField>false</o:LockedField>
          </o:OLEObject>
        </w:object>
      </w:r>
      <w:r>
        <w:rPr>
          <w:rFonts w:hint="eastAsia"/>
          <w:bCs/>
          <w:color w:val="000000"/>
          <w:position w:val="-12"/>
          <w:sz w:val="24"/>
          <w:lang w:val="en-US" w:eastAsia="zh-CN"/>
        </w:rPr>
        <w:t xml:space="preserve">                      </w:t>
      </w:r>
      <w:r>
        <w:rPr>
          <w:bCs/>
          <w:color w:val="000000"/>
          <w:sz w:val="24"/>
        </w:rPr>
        <w:t>（3）</w:t>
      </w:r>
    </w:p>
    <w:p>
      <w:pPr>
        <w:widowControl/>
        <w:adjustRightInd w:val="0"/>
        <w:snapToGrid w:val="0"/>
        <w:ind w:firstLine="420"/>
        <w:rPr>
          <w:bCs/>
          <w:color w:val="000000"/>
          <w:sz w:val="24"/>
        </w:rPr>
      </w:pPr>
      <w:r>
        <w:rPr>
          <w:bCs/>
          <w:color w:val="000000"/>
          <w:sz w:val="24"/>
        </w:rPr>
        <w:t>式中：</w:t>
      </w:r>
    </w:p>
    <w:p>
      <w:pPr>
        <w:widowControl/>
        <w:adjustRightInd w:val="0"/>
        <w:snapToGrid w:val="0"/>
        <w:ind w:firstLine="420"/>
        <w:rPr>
          <w:bCs/>
          <w:color w:val="000000"/>
          <w:sz w:val="24"/>
        </w:rPr>
      </w:pPr>
      <w:r>
        <w:rPr>
          <w:bCs/>
          <w:color w:val="000000"/>
          <w:position w:val="-6"/>
          <w:sz w:val="24"/>
        </w:rPr>
        <w:object>
          <v:shape id="_x0000_i1035" o:spt="75" type="#_x0000_t75" style="height:14.25pt;width:11.25pt;" o:ole="t" filled="f" o:preferrelative="t" stroked="f" coordsize="21600,21600">
            <v:path/>
            <v:fill on="f" focussize="0,0"/>
            <v:stroke on="f" joinstyle="miter"/>
            <v:imagedata r:id="rId27" o:title=""/>
            <o:lock v:ext="edit" aspectratio="t"/>
            <w10:wrap type="none"/>
            <w10:anchorlock/>
          </v:shape>
          <o:OLEObject Type="Embed" ProgID="Equation.KSEE3" ShapeID="_x0000_i1035" DrawAspect="Content" ObjectID="_1468075732" r:id="rId26">
            <o:LockedField>false</o:LockedField>
          </o:OLEObject>
        </w:object>
      </w:r>
      <w:r>
        <w:rPr>
          <w:bCs/>
          <w:color w:val="000000"/>
          <w:sz w:val="24"/>
        </w:rPr>
        <w:t>——n次</w:t>
      </w:r>
      <w:r>
        <w:rPr>
          <w:rFonts w:hint="eastAsia"/>
          <w:bCs/>
          <w:color w:val="000000"/>
          <w:sz w:val="24"/>
        </w:rPr>
        <w:t>辐射率</w:t>
      </w:r>
      <w:r>
        <w:rPr>
          <w:bCs/>
          <w:color w:val="000000"/>
          <w:sz w:val="24"/>
        </w:rPr>
        <w:t>测量值中最大值与最小值之差</w:t>
      </w:r>
      <w:r>
        <w:rPr>
          <w:rFonts w:hint="eastAsia"/>
          <w:bCs/>
          <w:color w:val="000000"/>
          <w:sz w:val="24"/>
        </w:rPr>
        <w:t>，即极差</w:t>
      </w:r>
      <w:r>
        <w:rPr>
          <w:bCs/>
          <w:color w:val="000000"/>
          <w:sz w:val="24"/>
        </w:rPr>
        <w:t>；</w:t>
      </w:r>
    </w:p>
    <w:p>
      <w:pPr>
        <w:widowControl/>
        <w:adjustRightInd w:val="0"/>
        <w:snapToGrid w:val="0"/>
        <w:ind w:firstLine="420"/>
        <w:rPr>
          <w:bCs/>
          <w:color w:val="000000"/>
          <w:sz w:val="24"/>
        </w:rPr>
      </w:pPr>
      <w:r>
        <w:rPr>
          <w:bCs/>
          <w:color w:val="000000"/>
          <w:position w:val="-12"/>
          <w:sz w:val="24"/>
        </w:rPr>
        <w:object>
          <v:shape id="_x0000_i1036" o:spt="75" type="#_x0000_t75" style="height:18pt;width:23.25pt;" o:ole="t" filled="f" o:preferrelative="t" stroked="f" coordsize="21600,21600">
            <v:path/>
            <v:fill on="f" focussize="0,0"/>
            <v:stroke on="f" joinstyle="miter"/>
            <v:imagedata r:id="rId29" o:title=""/>
            <o:lock v:ext="edit" aspectratio="t"/>
            <w10:wrap type="none"/>
            <w10:anchorlock/>
          </v:shape>
          <o:OLEObject Type="Embed" ProgID="Equation.KSEE3" ShapeID="_x0000_i1036" DrawAspect="Content" ObjectID="_1468075733" r:id="rId28">
            <o:LockedField>false</o:LockedField>
          </o:OLEObject>
        </w:object>
      </w:r>
      <w:r>
        <w:rPr>
          <w:bCs/>
          <w:color w:val="000000"/>
          <w:sz w:val="24"/>
        </w:rPr>
        <w:t>，</w:t>
      </w:r>
      <w:r>
        <w:rPr>
          <w:bCs/>
          <w:color w:val="000000"/>
          <w:position w:val="-10"/>
          <w:sz w:val="24"/>
        </w:rPr>
        <w:object>
          <v:shape id="_x0000_i1037" o:spt="75" type="#_x0000_t75" style="height:17.25pt;width:21pt;" o:ole="t" filled="f" o:preferrelative="t" stroked="f" coordsize="21600,21600">
            <v:path/>
            <v:fill on="f" focussize="0,0"/>
            <v:stroke on="f" joinstyle="miter"/>
            <v:imagedata r:id="rId31" o:title=""/>
            <o:lock v:ext="edit" aspectratio="t"/>
            <w10:wrap type="none"/>
            <w10:anchorlock/>
          </v:shape>
          <o:OLEObject Type="Embed" ProgID="Equation.KSEE3" ShapeID="_x0000_i1037" DrawAspect="Content" ObjectID="_1468075734" r:id="rId30">
            <o:LockedField>false</o:LockedField>
          </o:OLEObject>
        </w:object>
      </w:r>
      <w:r>
        <w:rPr>
          <w:bCs/>
          <w:color w:val="000000"/>
          <w:sz w:val="24"/>
        </w:rPr>
        <w:t>——</w:t>
      </w:r>
      <w:r>
        <w:rPr>
          <w:bCs/>
          <w:i/>
          <w:iCs/>
          <w:color w:val="000000"/>
          <w:sz w:val="24"/>
        </w:rPr>
        <w:t>n</w:t>
      </w:r>
      <w:r>
        <w:rPr>
          <w:bCs/>
          <w:color w:val="000000"/>
          <w:sz w:val="24"/>
        </w:rPr>
        <w:t>次</w:t>
      </w:r>
      <w:r>
        <w:rPr>
          <w:rFonts w:hint="eastAsia"/>
          <w:bCs/>
          <w:color w:val="000000"/>
          <w:sz w:val="24"/>
        </w:rPr>
        <w:t>辐射率</w:t>
      </w:r>
      <w:r>
        <w:rPr>
          <w:bCs/>
          <w:color w:val="000000"/>
          <w:sz w:val="24"/>
        </w:rPr>
        <w:t>测量值中的最大值和最小值</w:t>
      </w:r>
      <w:r>
        <w:rPr>
          <w:rFonts w:hint="eastAsia"/>
          <w:bCs/>
          <w:color w:val="000000"/>
          <w:sz w:val="24"/>
        </w:rPr>
        <w:t>。</w:t>
      </w:r>
    </w:p>
    <w:p>
      <w:pPr>
        <w:ind w:firstLine="420"/>
        <w:rPr>
          <w:sz w:val="24"/>
        </w:rPr>
      </w:pPr>
      <w:r>
        <w:rPr>
          <w:rFonts w:hint="eastAsia"/>
          <w:bCs/>
          <w:color w:val="000000"/>
          <w:sz w:val="24"/>
        </w:rPr>
        <w:t>标准样品各自的极差的最大值</w:t>
      </w:r>
      <w:r>
        <w:rPr>
          <w:rFonts w:hint="eastAsia"/>
          <w:sz w:val="24"/>
        </w:rPr>
        <w:t>作为仪器测量辐射率的重复性。</w:t>
      </w:r>
    </w:p>
    <w:p>
      <w:pPr>
        <w:pStyle w:val="3"/>
        <w:spacing w:beforeLines="50" w:afterLines="50"/>
        <w:rPr>
          <w:rFonts w:ascii="黑体" w:hAnsi="黑体" w:eastAsia="黑体" w:cs="黑体"/>
          <w:sz w:val="24"/>
        </w:rPr>
      </w:pPr>
      <w:bookmarkStart w:id="85" w:name="_Toc23880"/>
      <w:bookmarkStart w:id="86" w:name="_Toc5452"/>
      <w:bookmarkStart w:id="87" w:name="_Toc16977"/>
      <w:bookmarkStart w:id="88" w:name="_Toc7518"/>
      <w:bookmarkStart w:id="89" w:name="_Toc30539"/>
      <w:r>
        <w:rPr>
          <w:rFonts w:hint="eastAsia" w:ascii="黑体" w:hAnsi="黑体" w:eastAsia="黑体" w:cs="黑体"/>
          <w:sz w:val="24"/>
          <w:szCs w:val="24"/>
          <w:lang w:val="en-US" w:eastAsia="zh-CN"/>
        </w:rPr>
        <w:t>8 校准结果表达</w:t>
      </w:r>
      <w:bookmarkEnd w:id="85"/>
      <w:bookmarkEnd w:id="86"/>
      <w:bookmarkEnd w:id="87"/>
      <w:bookmarkEnd w:id="88"/>
      <w:bookmarkEnd w:id="89"/>
    </w:p>
    <w:p>
      <w:pPr>
        <w:widowControl/>
        <w:ind w:firstLine="480" w:firstLineChars="200"/>
        <w:jc w:val="left"/>
        <w:rPr>
          <w:kern w:val="0"/>
          <w:sz w:val="24"/>
        </w:rPr>
      </w:pPr>
      <w:r>
        <w:rPr>
          <w:kern w:val="0"/>
          <w:sz w:val="24"/>
        </w:rPr>
        <w:t>校准结果应在校准证书或校准报告上反映。校准证书应至少包括以下信息：</w:t>
      </w:r>
    </w:p>
    <w:p>
      <w:pPr>
        <w:widowControl/>
        <w:numPr>
          <w:ilvl w:val="0"/>
          <w:numId w:val="2"/>
        </w:numPr>
        <w:ind w:firstLine="480" w:firstLineChars="200"/>
        <w:jc w:val="left"/>
        <w:rPr>
          <w:kern w:val="0"/>
          <w:sz w:val="24"/>
        </w:rPr>
      </w:pPr>
      <w:r>
        <w:rPr>
          <w:kern w:val="0"/>
          <w:sz w:val="24"/>
        </w:rPr>
        <w:t>标题：“校准证书”或“校准报告”；</w:t>
      </w:r>
    </w:p>
    <w:p>
      <w:pPr>
        <w:widowControl/>
        <w:numPr>
          <w:ilvl w:val="0"/>
          <w:numId w:val="2"/>
        </w:numPr>
        <w:ind w:firstLine="480" w:firstLineChars="200"/>
        <w:jc w:val="left"/>
        <w:rPr>
          <w:kern w:val="0"/>
          <w:sz w:val="24"/>
        </w:rPr>
      </w:pPr>
      <w:r>
        <w:rPr>
          <w:kern w:val="0"/>
          <w:sz w:val="24"/>
        </w:rPr>
        <w:t>实验室名称和地址；</w:t>
      </w:r>
    </w:p>
    <w:p>
      <w:pPr>
        <w:widowControl/>
        <w:numPr>
          <w:ilvl w:val="0"/>
          <w:numId w:val="2"/>
        </w:numPr>
        <w:ind w:firstLine="480" w:firstLineChars="200"/>
        <w:jc w:val="left"/>
        <w:rPr>
          <w:kern w:val="0"/>
          <w:sz w:val="24"/>
        </w:rPr>
      </w:pPr>
      <w:r>
        <w:rPr>
          <w:kern w:val="0"/>
          <w:sz w:val="24"/>
        </w:rPr>
        <w:t>进行校准的地点（如果不在实验室内进行校准）；</w:t>
      </w:r>
    </w:p>
    <w:p>
      <w:pPr>
        <w:widowControl/>
        <w:numPr>
          <w:ilvl w:val="0"/>
          <w:numId w:val="2"/>
        </w:numPr>
        <w:ind w:firstLine="480" w:firstLineChars="200"/>
        <w:jc w:val="left"/>
        <w:rPr>
          <w:kern w:val="0"/>
          <w:sz w:val="24"/>
        </w:rPr>
      </w:pPr>
      <w:r>
        <w:rPr>
          <w:kern w:val="0"/>
          <w:sz w:val="24"/>
        </w:rPr>
        <w:t>证书或报告的唯一性标识（如编号），每页及总页数的标识；</w:t>
      </w:r>
    </w:p>
    <w:p>
      <w:pPr>
        <w:widowControl/>
        <w:numPr>
          <w:ilvl w:val="0"/>
          <w:numId w:val="2"/>
        </w:numPr>
        <w:ind w:firstLine="480" w:firstLineChars="200"/>
        <w:jc w:val="left"/>
        <w:rPr>
          <w:kern w:val="0"/>
          <w:sz w:val="24"/>
        </w:rPr>
      </w:pPr>
      <w:r>
        <w:rPr>
          <w:kern w:val="0"/>
          <w:sz w:val="24"/>
        </w:rPr>
        <w:t>送校单位的名称和地址；</w:t>
      </w:r>
    </w:p>
    <w:p>
      <w:pPr>
        <w:widowControl/>
        <w:numPr>
          <w:ilvl w:val="0"/>
          <w:numId w:val="2"/>
        </w:numPr>
        <w:ind w:firstLine="480" w:firstLineChars="200"/>
        <w:jc w:val="left"/>
        <w:rPr>
          <w:kern w:val="0"/>
          <w:sz w:val="24"/>
        </w:rPr>
      </w:pPr>
      <w:r>
        <w:rPr>
          <w:kern w:val="0"/>
          <w:sz w:val="24"/>
        </w:rPr>
        <w:t>被校对象的描述和明确标识；</w:t>
      </w:r>
    </w:p>
    <w:p>
      <w:pPr>
        <w:widowControl/>
        <w:numPr>
          <w:ilvl w:val="0"/>
          <w:numId w:val="2"/>
        </w:numPr>
        <w:ind w:firstLine="480" w:firstLineChars="200"/>
        <w:jc w:val="left"/>
        <w:rPr>
          <w:kern w:val="0"/>
          <w:sz w:val="24"/>
        </w:rPr>
      </w:pPr>
      <w:r>
        <w:rPr>
          <w:kern w:val="0"/>
          <w:sz w:val="24"/>
        </w:rPr>
        <w:t>进行校准的日期，如果与校准结果的有效性和应用有关时，应说明被校对象的接收日期；</w:t>
      </w:r>
    </w:p>
    <w:p>
      <w:pPr>
        <w:widowControl/>
        <w:numPr>
          <w:ilvl w:val="0"/>
          <w:numId w:val="2"/>
        </w:numPr>
        <w:ind w:firstLine="480" w:firstLineChars="200"/>
        <w:jc w:val="left"/>
        <w:rPr>
          <w:kern w:val="0"/>
          <w:sz w:val="24"/>
        </w:rPr>
      </w:pPr>
      <w:r>
        <w:rPr>
          <w:kern w:val="0"/>
          <w:sz w:val="24"/>
        </w:rPr>
        <w:t>校准所依据的技术规范的标识，包括名称和代号；</w:t>
      </w:r>
    </w:p>
    <w:p>
      <w:pPr>
        <w:widowControl/>
        <w:numPr>
          <w:ilvl w:val="0"/>
          <w:numId w:val="2"/>
        </w:numPr>
        <w:ind w:firstLine="480" w:firstLineChars="200"/>
        <w:jc w:val="left"/>
        <w:rPr>
          <w:kern w:val="0"/>
          <w:sz w:val="24"/>
        </w:rPr>
      </w:pPr>
      <w:r>
        <w:rPr>
          <w:kern w:val="0"/>
          <w:sz w:val="24"/>
        </w:rPr>
        <w:t>校准所用测量标准的溯源性及有效性说明；</w:t>
      </w:r>
    </w:p>
    <w:p>
      <w:pPr>
        <w:widowControl/>
        <w:numPr>
          <w:ilvl w:val="0"/>
          <w:numId w:val="2"/>
        </w:numPr>
        <w:ind w:firstLine="480" w:firstLineChars="200"/>
        <w:jc w:val="left"/>
        <w:rPr>
          <w:kern w:val="0"/>
          <w:sz w:val="24"/>
        </w:rPr>
      </w:pPr>
      <w:r>
        <w:rPr>
          <w:kern w:val="0"/>
          <w:sz w:val="24"/>
        </w:rPr>
        <w:t>校准环境的描述；</w:t>
      </w:r>
    </w:p>
    <w:p>
      <w:pPr>
        <w:widowControl/>
        <w:numPr>
          <w:ilvl w:val="0"/>
          <w:numId w:val="2"/>
        </w:numPr>
        <w:ind w:firstLine="480" w:firstLineChars="200"/>
        <w:jc w:val="left"/>
        <w:rPr>
          <w:kern w:val="0"/>
          <w:sz w:val="24"/>
        </w:rPr>
      </w:pPr>
      <w:r>
        <w:rPr>
          <w:kern w:val="0"/>
          <w:sz w:val="24"/>
        </w:rPr>
        <w:t>校准结果及测量不确定度的说明；</w:t>
      </w:r>
    </w:p>
    <w:p>
      <w:pPr>
        <w:widowControl/>
        <w:numPr>
          <w:ilvl w:val="0"/>
          <w:numId w:val="2"/>
        </w:numPr>
        <w:ind w:firstLine="480" w:firstLineChars="200"/>
        <w:jc w:val="left"/>
        <w:rPr>
          <w:kern w:val="0"/>
          <w:sz w:val="24"/>
        </w:rPr>
      </w:pPr>
      <w:r>
        <w:rPr>
          <w:kern w:val="0"/>
          <w:sz w:val="24"/>
        </w:rPr>
        <w:t>对校准规范的偏离的说明；</w:t>
      </w:r>
    </w:p>
    <w:p>
      <w:pPr>
        <w:widowControl/>
        <w:numPr>
          <w:ilvl w:val="0"/>
          <w:numId w:val="2"/>
        </w:numPr>
        <w:ind w:firstLine="480" w:firstLineChars="200"/>
        <w:jc w:val="left"/>
        <w:rPr>
          <w:kern w:val="0"/>
          <w:sz w:val="24"/>
        </w:rPr>
      </w:pPr>
      <w:r>
        <w:rPr>
          <w:kern w:val="0"/>
          <w:sz w:val="24"/>
        </w:rPr>
        <w:t>校准证书或校准报告签发人的签名、职务或等效标识；</w:t>
      </w:r>
    </w:p>
    <w:p>
      <w:pPr>
        <w:widowControl/>
        <w:numPr>
          <w:ilvl w:val="0"/>
          <w:numId w:val="2"/>
        </w:numPr>
        <w:ind w:firstLine="480" w:firstLineChars="200"/>
        <w:jc w:val="left"/>
        <w:rPr>
          <w:kern w:val="0"/>
          <w:sz w:val="24"/>
        </w:rPr>
      </w:pPr>
      <w:r>
        <w:rPr>
          <w:kern w:val="0"/>
          <w:sz w:val="24"/>
        </w:rPr>
        <w:t>校准结果仅对被校对象有效的声明；</w:t>
      </w:r>
    </w:p>
    <w:p>
      <w:pPr>
        <w:widowControl/>
        <w:numPr>
          <w:ilvl w:val="0"/>
          <w:numId w:val="2"/>
        </w:numPr>
        <w:ind w:firstLine="480" w:firstLineChars="200"/>
        <w:jc w:val="left"/>
        <w:rPr>
          <w:kern w:val="0"/>
          <w:sz w:val="24"/>
        </w:rPr>
      </w:pPr>
      <w:r>
        <w:rPr>
          <w:kern w:val="0"/>
          <w:sz w:val="24"/>
        </w:rPr>
        <w:t>未经实验室书面批准，不得部分复制校准证书或校准报告的声明。</w:t>
      </w:r>
    </w:p>
    <w:p>
      <w:pPr>
        <w:pStyle w:val="3"/>
        <w:spacing w:beforeLines="50" w:afterLines="50"/>
        <w:rPr>
          <w:rFonts w:ascii="黑体" w:hAnsi="黑体" w:eastAsia="黑体" w:cs="黑体"/>
          <w:sz w:val="24"/>
        </w:rPr>
      </w:pPr>
      <w:bookmarkStart w:id="90" w:name="_Toc29070"/>
      <w:bookmarkStart w:id="91" w:name="_Toc16982"/>
      <w:bookmarkStart w:id="92" w:name="_Toc7607"/>
      <w:bookmarkStart w:id="93" w:name="_Toc6016"/>
      <w:bookmarkStart w:id="94" w:name="_Toc6433"/>
      <w:bookmarkStart w:id="95" w:name="_Toc7389"/>
      <w:bookmarkStart w:id="96" w:name="_Toc14865"/>
      <w:r>
        <w:rPr>
          <w:rFonts w:hint="eastAsia" w:ascii="黑体" w:hAnsi="黑体" w:eastAsia="黑体" w:cs="黑体"/>
          <w:sz w:val="24"/>
          <w:szCs w:val="24"/>
          <w:lang w:val="en-US" w:eastAsia="zh-CN"/>
        </w:rPr>
        <w:t>9 复校时间间隔</w:t>
      </w:r>
      <w:bookmarkEnd w:id="90"/>
      <w:bookmarkEnd w:id="91"/>
      <w:bookmarkEnd w:id="92"/>
      <w:bookmarkEnd w:id="93"/>
      <w:bookmarkEnd w:id="94"/>
      <w:bookmarkEnd w:id="95"/>
      <w:bookmarkEnd w:id="96"/>
    </w:p>
    <w:p>
      <w:pPr>
        <w:widowControl/>
        <w:ind w:firstLine="420" w:firstLineChars="175"/>
        <w:jc w:val="left"/>
        <w:rPr>
          <w:kern w:val="0"/>
          <w:sz w:val="24"/>
        </w:rPr>
      </w:pPr>
      <w:r>
        <w:rPr>
          <w:kern w:val="0"/>
          <w:sz w:val="24"/>
        </w:rPr>
        <w:t>由于复校时间间隔的长短是由仪器的使用情况、使用者、仪器本身质量等诸因素所决定的，因此，送校单位也可根据实际使用情况自主决定复校时间间隔。</w:t>
      </w:r>
    </w:p>
    <w:p>
      <w:pPr>
        <w:widowControl/>
        <w:ind w:firstLine="420" w:firstLineChars="175"/>
        <w:jc w:val="left"/>
        <w:rPr>
          <w:kern w:val="0"/>
          <w:sz w:val="24"/>
        </w:rPr>
      </w:pPr>
      <w:r>
        <w:rPr>
          <w:kern w:val="0"/>
          <w:sz w:val="24"/>
        </w:rPr>
        <w:t>建议复校时间间隔不超过1年。</w:t>
      </w:r>
    </w:p>
    <w:p>
      <w:pPr>
        <w:widowControl/>
        <w:ind w:firstLine="420" w:firstLineChars="175"/>
        <w:jc w:val="left"/>
        <w:rPr>
          <w:kern w:val="0"/>
          <w:sz w:val="24"/>
        </w:rPr>
        <w:sectPr>
          <w:footerReference r:id="rId9" w:type="default"/>
          <w:pgSz w:w="11850" w:h="16783"/>
          <w:pgMar w:top="1440" w:right="1797" w:bottom="1440" w:left="1797" w:header="851" w:footer="992" w:gutter="0"/>
          <w:pgNumType w:start="1"/>
          <w:cols w:space="720" w:num="1"/>
          <w:docGrid w:type="lines" w:linePitch="312" w:charSpace="0"/>
        </w:sectPr>
      </w:pPr>
    </w:p>
    <w:p>
      <w:pPr>
        <w:pStyle w:val="2"/>
        <w:rPr>
          <w:rFonts w:ascii="黑体" w:hAnsi="黑体" w:eastAsia="黑体" w:cs="黑体"/>
          <w:szCs w:val="28"/>
        </w:rPr>
      </w:pPr>
      <w:bookmarkStart w:id="97" w:name="_Toc23922"/>
      <w:bookmarkStart w:id="98" w:name="_Toc21669"/>
      <w:bookmarkStart w:id="99" w:name="_Toc18512"/>
      <w:bookmarkStart w:id="100" w:name="_Toc13622"/>
      <w:r>
        <w:rPr>
          <w:rFonts w:hint="eastAsia" w:ascii="黑体" w:hAnsi="黑体" w:eastAsia="黑体" w:cs="黑体"/>
          <w:szCs w:val="28"/>
        </w:rPr>
        <w:t>附录A</w:t>
      </w:r>
      <w:bookmarkEnd w:id="97"/>
      <w:bookmarkEnd w:id="98"/>
      <w:bookmarkEnd w:id="99"/>
      <w:bookmarkEnd w:id="100"/>
    </w:p>
    <w:p>
      <w:pPr>
        <w:pStyle w:val="27"/>
        <w:rPr>
          <w:rFonts w:ascii="黑体" w:hAnsi="黑体" w:cs="黑体"/>
          <w:szCs w:val="28"/>
        </w:rPr>
      </w:pPr>
      <w:bookmarkStart w:id="101" w:name="_Toc15703"/>
      <w:bookmarkStart w:id="102" w:name="_Toc16691"/>
      <w:bookmarkStart w:id="103" w:name="_Toc1167"/>
      <w:bookmarkStart w:id="104" w:name="_Toc26414"/>
      <w:r>
        <w:rPr>
          <w:rFonts w:hint="eastAsia" w:ascii="黑体" w:hAnsi="黑体" w:cs="黑体"/>
          <w:szCs w:val="28"/>
        </w:rPr>
        <w:t>辐射率标准样品的赋值</w:t>
      </w:r>
      <w:bookmarkEnd w:id="101"/>
      <w:bookmarkEnd w:id="102"/>
      <w:bookmarkEnd w:id="103"/>
      <w:bookmarkEnd w:id="104"/>
    </w:p>
    <w:p>
      <w:pPr>
        <w:pStyle w:val="27"/>
        <w:spacing w:beforeLines="50" w:afterLines="50"/>
        <w:jc w:val="both"/>
        <w:rPr>
          <w:rFonts w:ascii="黑体" w:hAnsi="黑体" w:cs="黑体"/>
          <w:sz w:val="24"/>
        </w:rPr>
      </w:pPr>
      <w:bookmarkStart w:id="105" w:name="_Toc18342"/>
      <w:bookmarkStart w:id="106" w:name="_Toc30814"/>
      <w:bookmarkStart w:id="107" w:name="_Toc215"/>
      <w:bookmarkStart w:id="108" w:name="_Toc23988"/>
      <w:r>
        <w:rPr>
          <w:rFonts w:hint="eastAsia" w:ascii="黑体" w:hAnsi="黑体" w:cs="黑体"/>
          <w:sz w:val="24"/>
        </w:rPr>
        <w:t>A.1 环境条件</w:t>
      </w:r>
      <w:bookmarkEnd w:id="105"/>
      <w:bookmarkEnd w:id="106"/>
      <w:bookmarkEnd w:id="107"/>
      <w:bookmarkEnd w:id="108"/>
    </w:p>
    <w:p>
      <w:pPr>
        <w:pStyle w:val="27"/>
        <w:ind w:firstLine="480" w:firstLineChars="200"/>
        <w:jc w:val="both"/>
        <w:rPr>
          <w:rFonts w:eastAsia="宋体"/>
          <w:sz w:val="24"/>
        </w:rPr>
      </w:pPr>
      <w:bookmarkStart w:id="109" w:name="_Toc5030"/>
      <w:bookmarkStart w:id="110" w:name="_Toc2936"/>
      <w:bookmarkStart w:id="111" w:name="_Toc19311"/>
      <w:bookmarkStart w:id="112" w:name="_Toc7303"/>
      <w:r>
        <w:rPr>
          <w:rFonts w:hint="eastAsia" w:eastAsia="宋体"/>
          <w:sz w:val="24"/>
        </w:rPr>
        <w:t>环境温度在(23±5)℃范围内，相对湿度不大于70%。</w:t>
      </w:r>
      <w:bookmarkEnd w:id="109"/>
      <w:bookmarkEnd w:id="110"/>
      <w:bookmarkEnd w:id="111"/>
      <w:bookmarkEnd w:id="112"/>
    </w:p>
    <w:p>
      <w:pPr>
        <w:pStyle w:val="27"/>
        <w:spacing w:beforeLines="50" w:afterLines="50"/>
        <w:jc w:val="both"/>
        <w:rPr>
          <w:rFonts w:ascii="黑体" w:hAnsi="黑体" w:cs="黑体"/>
          <w:sz w:val="24"/>
        </w:rPr>
      </w:pPr>
      <w:bookmarkStart w:id="113" w:name="_Toc12326"/>
      <w:bookmarkStart w:id="114" w:name="_Toc25036"/>
      <w:bookmarkStart w:id="115" w:name="_Toc4718"/>
      <w:bookmarkStart w:id="116" w:name="_Toc1675"/>
      <w:r>
        <w:rPr>
          <w:rFonts w:hint="eastAsia" w:ascii="黑体" w:hAnsi="黑体" w:cs="黑体"/>
          <w:sz w:val="24"/>
        </w:rPr>
        <w:t>A.2 样品要求</w:t>
      </w:r>
      <w:bookmarkEnd w:id="113"/>
      <w:bookmarkEnd w:id="114"/>
      <w:bookmarkEnd w:id="115"/>
      <w:bookmarkEnd w:id="116"/>
    </w:p>
    <w:p>
      <w:pPr>
        <w:widowControl/>
        <w:ind w:firstLine="480" w:firstLineChars="200"/>
        <w:jc w:val="left"/>
        <w:rPr>
          <w:sz w:val="24"/>
        </w:rPr>
      </w:pPr>
      <w:r>
        <w:rPr>
          <w:rFonts w:hint="eastAsia"/>
          <w:kern w:val="0"/>
          <w:sz w:val="24"/>
        </w:rPr>
        <w:t>选择单片</w:t>
      </w:r>
      <w:r>
        <w:rPr>
          <w:rFonts w:hint="eastAsia"/>
          <w:color w:val="000000"/>
          <w:sz w:val="24"/>
        </w:rPr>
        <w:t>Low-E玻璃</w:t>
      </w:r>
      <w:r>
        <w:rPr>
          <w:rFonts w:hint="eastAsia"/>
          <w:kern w:val="0"/>
          <w:sz w:val="24"/>
        </w:rPr>
        <w:t>作为标准样品，样品膜层辐射率均匀，样品尺寸符合被校准仪器的测量要求，</w:t>
      </w:r>
      <w:r>
        <w:rPr>
          <w:rFonts w:hint="eastAsia" w:ascii="宋体" w:hAnsi="宋体" w:cs="宋体"/>
          <w:kern w:val="0"/>
          <w:sz w:val="24"/>
        </w:rPr>
        <w:t>目视无掉膜、污迹、雾斑、划痕等缺陷。</w:t>
      </w:r>
    </w:p>
    <w:p>
      <w:pPr>
        <w:pStyle w:val="27"/>
        <w:spacing w:beforeLines="50" w:afterLines="50"/>
        <w:jc w:val="both"/>
        <w:rPr>
          <w:rFonts w:ascii="黑体" w:hAnsi="黑体" w:cs="黑体"/>
          <w:sz w:val="24"/>
        </w:rPr>
      </w:pPr>
      <w:bookmarkStart w:id="117" w:name="_Toc26782"/>
      <w:bookmarkStart w:id="118" w:name="_Toc22985"/>
      <w:bookmarkStart w:id="119" w:name="_Toc2649"/>
      <w:bookmarkStart w:id="120" w:name="_Toc4590"/>
      <w:r>
        <w:rPr>
          <w:rFonts w:hint="eastAsia" w:ascii="黑体" w:hAnsi="黑体" w:cs="黑体"/>
          <w:sz w:val="24"/>
        </w:rPr>
        <w:t>A.3 样品处理</w:t>
      </w:r>
      <w:bookmarkEnd w:id="117"/>
      <w:bookmarkEnd w:id="118"/>
      <w:bookmarkEnd w:id="119"/>
      <w:bookmarkEnd w:id="120"/>
    </w:p>
    <w:p>
      <w:pPr>
        <w:pStyle w:val="27"/>
        <w:ind w:firstLine="480" w:firstLineChars="200"/>
        <w:jc w:val="both"/>
        <w:rPr>
          <w:rFonts w:eastAsia="宋体"/>
          <w:sz w:val="24"/>
        </w:rPr>
      </w:pPr>
      <w:bookmarkStart w:id="121" w:name="_Toc22495"/>
      <w:bookmarkStart w:id="122" w:name="_Toc12064"/>
      <w:bookmarkStart w:id="123" w:name="_Toc1515"/>
      <w:bookmarkStart w:id="124" w:name="_Toc12837"/>
      <w:r>
        <w:rPr>
          <w:rFonts w:hint="eastAsia" w:eastAsia="宋体"/>
          <w:sz w:val="24"/>
        </w:rPr>
        <w:t>清洁样品表面，确保样品表面无目视可见的油膜、灰尘及其他附着物，样品干燥后使用。</w:t>
      </w:r>
      <w:bookmarkEnd w:id="121"/>
      <w:bookmarkEnd w:id="122"/>
      <w:bookmarkEnd w:id="123"/>
      <w:bookmarkEnd w:id="124"/>
    </w:p>
    <w:p>
      <w:pPr>
        <w:pStyle w:val="27"/>
        <w:spacing w:beforeLines="50" w:afterLines="50"/>
        <w:jc w:val="both"/>
        <w:rPr>
          <w:rFonts w:ascii="黑体" w:hAnsi="黑体" w:cs="黑体"/>
          <w:sz w:val="24"/>
        </w:rPr>
      </w:pPr>
      <w:bookmarkStart w:id="125" w:name="_Toc9626"/>
      <w:bookmarkStart w:id="126" w:name="_Toc26869"/>
      <w:bookmarkStart w:id="127" w:name="_Toc8588"/>
      <w:bookmarkStart w:id="128" w:name="_Toc28253"/>
      <w:r>
        <w:rPr>
          <w:rFonts w:hint="eastAsia" w:ascii="黑体" w:hAnsi="黑体" w:cs="黑体"/>
          <w:sz w:val="24"/>
        </w:rPr>
        <w:t>A.4 计量器具</w:t>
      </w:r>
      <w:bookmarkEnd w:id="125"/>
      <w:bookmarkEnd w:id="126"/>
      <w:bookmarkEnd w:id="127"/>
      <w:bookmarkEnd w:id="128"/>
    </w:p>
    <w:p>
      <w:pPr>
        <w:pStyle w:val="27"/>
        <w:jc w:val="both"/>
        <w:rPr>
          <w:rFonts w:eastAsia="宋体"/>
          <w:sz w:val="24"/>
        </w:rPr>
      </w:pPr>
      <w:bookmarkStart w:id="129" w:name="_Toc22307"/>
      <w:bookmarkStart w:id="130" w:name="_Toc16008"/>
      <w:bookmarkStart w:id="131" w:name="_Toc5904"/>
      <w:bookmarkStart w:id="132" w:name="_Toc30560"/>
      <w:r>
        <w:rPr>
          <w:rFonts w:eastAsia="宋体"/>
          <w:sz w:val="24"/>
        </w:rPr>
        <w:t>符合GB/T 21186</w:t>
      </w:r>
      <w:r>
        <w:rPr>
          <w:rFonts w:hint="eastAsia" w:eastAsia="宋体"/>
          <w:sz w:val="24"/>
        </w:rPr>
        <w:t>的</w:t>
      </w:r>
      <w:r>
        <w:rPr>
          <w:rFonts w:eastAsia="宋体"/>
          <w:sz w:val="24"/>
        </w:rPr>
        <w:t>傅立叶变换红外光谱仪</w:t>
      </w:r>
      <w:r>
        <w:rPr>
          <w:rFonts w:hint="eastAsia" w:eastAsia="宋体"/>
          <w:sz w:val="24"/>
        </w:rPr>
        <w:t>，测量波长范围</w:t>
      </w:r>
      <w:r>
        <w:rPr>
          <w:rFonts w:eastAsia="宋体"/>
          <w:sz w:val="24"/>
        </w:rPr>
        <w:t>至少</w:t>
      </w:r>
      <w:r>
        <w:rPr>
          <w:rFonts w:hint="eastAsia" w:eastAsia="宋体"/>
          <w:sz w:val="24"/>
        </w:rPr>
        <w:t>包含</w:t>
      </w:r>
      <w:r>
        <w:rPr>
          <w:rFonts w:eastAsia="宋体"/>
          <w:sz w:val="24"/>
        </w:rPr>
        <w:t>5.5μm～25μm</w:t>
      </w:r>
      <w:r>
        <w:rPr>
          <w:rFonts w:hint="eastAsia" w:eastAsia="宋体"/>
          <w:sz w:val="24"/>
        </w:rPr>
        <w:t>（1819</w:t>
      </w:r>
      <w:r>
        <w:rPr>
          <w:rFonts w:eastAsia="宋体"/>
          <w:sz w:val="24"/>
        </w:rPr>
        <w:t>cm</w:t>
      </w:r>
      <w:r>
        <w:rPr>
          <w:rFonts w:eastAsia="宋体"/>
          <w:sz w:val="24"/>
          <w:vertAlign w:val="superscript"/>
        </w:rPr>
        <w:t>-1</w:t>
      </w:r>
      <w:r>
        <w:rPr>
          <w:rFonts w:eastAsia="宋体"/>
          <w:sz w:val="24"/>
        </w:rPr>
        <w:t>～400cm</w:t>
      </w:r>
      <w:r>
        <w:rPr>
          <w:rFonts w:eastAsia="宋体"/>
          <w:sz w:val="24"/>
          <w:vertAlign w:val="superscript"/>
        </w:rPr>
        <w:t>-1</w:t>
      </w:r>
      <w:r>
        <w:rPr>
          <w:rFonts w:hint="eastAsia" w:eastAsia="宋体"/>
          <w:sz w:val="24"/>
        </w:rPr>
        <w:t>）</w:t>
      </w:r>
      <w:r>
        <w:rPr>
          <w:rFonts w:eastAsia="宋体"/>
          <w:sz w:val="24"/>
        </w:rPr>
        <w:t>，</w:t>
      </w:r>
      <w:r>
        <w:rPr>
          <w:rFonts w:hint="eastAsia" w:eastAsia="宋体"/>
          <w:sz w:val="24"/>
        </w:rPr>
        <w:t>具有镜面反射测量功能，</w:t>
      </w:r>
      <w:r>
        <w:rPr>
          <w:rFonts w:eastAsia="宋体"/>
          <w:sz w:val="24"/>
        </w:rPr>
        <w:t>且</w:t>
      </w:r>
      <w:r>
        <w:rPr>
          <w:rFonts w:hint="eastAsia" w:eastAsia="宋体"/>
          <w:sz w:val="24"/>
        </w:rPr>
        <w:t>仪器检定或</w:t>
      </w:r>
      <w:r>
        <w:rPr>
          <w:rFonts w:eastAsia="宋体"/>
          <w:sz w:val="24"/>
        </w:rPr>
        <w:t>校准证书在有效期内。</w:t>
      </w:r>
      <w:bookmarkEnd w:id="129"/>
      <w:bookmarkEnd w:id="130"/>
      <w:bookmarkEnd w:id="131"/>
      <w:bookmarkEnd w:id="132"/>
    </w:p>
    <w:p>
      <w:pPr>
        <w:pStyle w:val="27"/>
        <w:spacing w:beforeLines="50" w:afterLines="50"/>
        <w:jc w:val="both"/>
        <w:rPr>
          <w:rFonts w:ascii="黑体" w:hAnsi="黑体" w:cs="黑体"/>
          <w:sz w:val="24"/>
        </w:rPr>
      </w:pPr>
      <w:bookmarkStart w:id="133" w:name="_Toc10517"/>
      <w:bookmarkStart w:id="134" w:name="_Toc12749"/>
      <w:bookmarkStart w:id="135" w:name="_Toc23115"/>
      <w:bookmarkStart w:id="136" w:name="_Toc489"/>
      <w:r>
        <w:rPr>
          <w:rFonts w:hint="eastAsia" w:ascii="黑体" w:hAnsi="黑体" w:cs="黑体"/>
          <w:sz w:val="24"/>
        </w:rPr>
        <w:t>A.5 赋值方法</w:t>
      </w:r>
      <w:bookmarkEnd w:id="133"/>
      <w:bookmarkEnd w:id="134"/>
      <w:bookmarkEnd w:id="135"/>
      <w:bookmarkEnd w:id="136"/>
    </w:p>
    <w:p>
      <w:pPr>
        <w:pStyle w:val="27"/>
        <w:ind w:firstLine="480" w:firstLineChars="200"/>
        <w:jc w:val="both"/>
        <w:rPr>
          <w:rFonts w:eastAsia="宋体"/>
          <w:sz w:val="24"/>
        </w:rPr>
      </w:pPr>
      <w:bookmarkStart w:id="137" w:name="_Toc4536"/>
      <w:bookmarkStart w:id="138" w:name="_Toc17720"/>
      <w:bookmarkStart w:id="139" w:name="_Toc27370"/>
      <w:bookmarkStart w:id="140" w:name="_Toc8730"/>
      <w:r>
        <w:rPr>
          <w:rFonts w:eastAsia="宋体"/>
          <w:sz w:val="24"/>
        </w:rPr>
        <w:t>按照表A.1给出的30个波长值λ</w:t>
      </w:r>
      <w:r>
        <w:rPr>
          <w:rFonts w:eastAsia="宋体"/>
          <w:sz w:val="24"/>
          <w:vertAlign w:val="subscript"/>
        </w:rPr>
        <w:t>i</w:t>
      </w:r>
      <w:r>
        <w:rPr>
          <w:rFonts w:eastAsia="宋体"/>
          <w:sz w:val="24"/>
        </w:rPr>
        <w:t>，</w:t>
      </w:r>
      <w:r>
        <w:rPr>
          <w:rFonts w:hint="eastAsia" w:eastAsia="宋体"/>
          <w:sz w:val="24"/>
        </w:rPr>
        <w:t>用</w:t>
      </w:r>
      <w:r>
        <w:rPr>
          <w:rFonts w:eastAsia="宋体"/>
          <w:sz w:val="24"/>
        </w:rPr>
        <w:t>傅立叶变换红外光谱仪测量样品λ</w:t>
      </w:r>
      <w:r>
        <w:rPr>
          <w:rFonts w:eastAsia="宋体"/>
          <w:sz w:val="24"/>
          <w:vertAlign w:val="subscript"/>
        </w:rPr>
        <w:t>i</w:t>
      </w:r>
      <w:r>
        <w:rPr>
          <w:rFonts w:eastAsia="宋体"/>
          <w:sz w:val="24"/>
        </w:rPr>
        <w:t>处的接近垂直的光谱反射比</w:t>
      </w:r>
      <w:r>
        <w:rPr>
          <w:rFonts w:eastAsia="宋体"/>
          <w:i/>
          <w:iCs/>
          <w:sz w:val="24"/>
        </w:rPr>
        <w:t>R</w:t>
      </w:r>
      <w:r>
        <w:rPr>
          <w:rFonts w:eastAsia="宋体"/>
          <w:sz w:val="24"/>
          <w:vertAlign w:val="subscript"/>
        </w:rPr>
        <w:t>n</w:t>
      </w:r>
      <w:r>
        <w:rPr>
          <w:rFonts w:eastAsia="宋体"/>
          <w:sz w:val="24"/>
        </w:rPr>
        <w:t>(λ</w:t>
      </w:r>
      <w:r>
        <w:rPr>
          <w:rFonts w:eastAsia="宋体"/>
          <w:sz w:val="24"/>
          <w:vertAlign w:val="subscript"/>
        </w:rPr>
        <w:t>i</w:t>
      </w:r>
      <w:r>
        <w:rPr>
          <w:rFonts w:eastAsia="宋体"/>
          <w:sz w:val="24"/>
        </w:rPr>
        <w:t>)</w:t>
      </w:r>
      <w:r>
        <w:rPr>
          <w:rFonts w:hint="eastAsia" w:eastAsia="宋体"/>
          <w:sz w:val="24"/>
        </w:rPr>
        <w:t>，</w:t>
      </w:r>
      <w:bookmarkEnd w:id="137"/>
      <w:bookmarkStart w:id="141" w:name="_Toc20535"/>
      <w:r>
        <w:rPr>
          <w:rFonts w:hint="eastAsia" w:eastAsia="宋体"/>
          <w:sz w:val="24"/>
        </w:rPr>
        <w:t>按照GB/T 2680中规定的方法计算半球辐射率。</w:t>
      </w:r>
      <w:bookmarkEnd w:id="138"/>
      <w:bookmarkEnd w:id="139"/>
      <w:bookmarkEnd w:id="140"/>
    </w:p>
    <w:p>
      <w:pPr>
        <w:pStyle w:val="27"/>
        <w:ind w:firstLine="480" w:firstLineChars="200"/>
        <w:jc w:val="both"/>
        <w:rPr>
          <w:rFonts w:eastAsia="宋体"/>
          <w:sz w:val="24"/>
        </w:rPr>
      </w:pPr>
      <w:bookmarkStart w:id="142" w:name="_Toc8089"/>
      <w:bookmarkStart w:id="143" w:name="_Toc22569"/>
      <w:bookmarkStart w:id="144" w:name="_Toc28538"/>
      <w:r>
        <w:rPr>
          <w:rFonts w:hint="eastAsia" w:eastAsia="宋体"/>
          <w:sz w:val="24"/>
        </w:rPr>
        <w:t>重复测量次数不少于3次，测量结果的算术平均值作为标准样品的辐射率标准值。</w:t>
      </w:r>
      <w:bookmarkEnd w:id="141"/>
      <w:bookmarkEnd w:id="142"/>
      <w:bookmarkEnd w:id="143"/>
      <w:bookmarkEnd w:id="144"/>
    </w:p>
    <w:p>
      <w:pPr>
        <w:pStyle w:val="28"/>
        <w:numPr>
          <w:ilvl w:val="0"/>
          <w:numId w:val="0"/>
        </w:numPr>
        <w:spacing w:before="156" w:after="156"/>
        <w:rPr>
          <w:rFonts w:hAnsi="黑体" w:cs="黑体"/>
          <w:szCs w:val="21"/>
        </w:rPr>
      </w:pPr>
      <w:r>
        <w:rPr>
          <w:rFonts w:hint="eastAsia" w:hAnsi="黑体" w:cs="黑体"/>
          <w:kern w:val="2"/>
          <w:szCs w:val="21"/>
        </w:rPr>
        <w:t>表A.1用于测定</w:t>
      </w:r>
      <w:r>
        <w:rPr>
          <w:rFonts w:hint="eastAsia" w:hAnsi="黑体" w:cs="黑体"/>
          <w:color w:val="000000"/>
          <w:kern w:val="2"/>
          <w:szCs w:val="21"/>
        </w:rPr>
        <w:t>垂直规则反射比</w:t>
      </w:r>
      <w:r>
        <w:rPr>
          <w:rFonts w:hint="eastAsia" w:hAnsi="黑体" w:cs="黑体"/>
          <w:i/>
          <w:iCs/>
          <w:color w:val="000000"/>
          <w:kern w:val="2"/>
          <w:szCs w:val="21"/>
        </w:rPr>
        <w:t>R</w:t>
      </w:r>
      <w:r>
        <w:rPr>
          <w:rFonts w:hint="eastAsia" w:hAnsi="黑体" w:cs="黑体"/>
          <w:color w:val="000000"/>
          <w:kern w:val="2"/>
          <w:szCs w:val="21"/>
          <w:vertAlign w:val="subscript"/>
        </w:rPr>
        <w:t>n</w:t>
      </w:r>
      <w:r>
        <w:rPr>
          <w:rFonts w:hint="eastAsia" w:hAnsi="黑体" w:cs="黑体"/>
          <w:color w:val="000000"/>
          <w:kern w:val="2"/>
          <w:szCs w:val="21"/>
        </w:rPr>
        <w:t>的波</w:t>
      </w:r>
      <w:r>
        <w:rPr>
          <w:rFonts w:hint="eastAsia" w:hAnsi="黑体" w:cs="黑体"/>
          <w:kern w:val="2"/>
          <w:szCs w:val="21"/>
        </w:rPr>
        <w:t>长λ</w:t>
      </w:r>
      <w:r>
        <w:rPr>
          <w:rFonts w:hint="eastAsia" w:hAnsi="黑体" w:cs="黑体"/>
          <w:kern w:val="2"/>
          <w:szCs w:val="21"/>
          <w:vertAlign w:val="subscript"/>
        </w:rPr>
        <w:t>i</w:t>
      </w:r>
    </w:p>
    <w:tbl>
      <w:tblPr>
        <w:tblStyle w:val="14"/>
        <w:tblW w:w="79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95"/>
        <w:gridCol w:w="1995"/>
        <w:gridCol w:w="1995"/>
        <w:gridCol w:w="19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 w:hRule="atLeast"/>
        </w:trPr>
        <w:tc>
          <w:tcPr>
            <w:tcW w:w="1995" w:type="dxa"/>
            <w:tcBorders>
              <w:bottom w:val="single" w:color="auto" w:sz="4" w:space="0"/>
              <w:tl2br w:val="nil"/>
              <w:tr2bl w:val="nil"/>
            </w:tcBorders>
            <w:noWrap/>
          </w:tcPr>
          <w:p>
            <w:pPr>
              <w:pStyle w:val="29"/>
              <w:spacing w:line="240" w:lineRule="exact"/>
              <w:ind w:firstLine="0" w:firstLineChars="0"/>
              <w:jc w:val="center"/>
              <w:rPr>
                <w:rFonts w:ascii="Times New Roman"/>
                <w:kern w:val="2"/>
                <w:szCs w:val="21"/>
              </w:rPr>
            </w:pPr>
            <w:r>
              <w:rPr>
                <w:rFonts w:hint="eastAsia" w:ascii="Times New Roman"/>
                <w:kern w:val="2"/>
                <w:szCs w:val="21"/>
              </w:rPr>
              <w:t>序号</w:t>
            </w:r>
          </w:p>
        </w:tc>
        <w:tc>
          <w:tcPr>
            <w:tcW w:w="1995" w:type="dxa"/>
            <w:tcBorders>
              <w:bottom w:val="single" w:color="auto" w:sz="4" w:space="0"/>
              <w:tl2br w:val="nil"/>
              <w:tr2bl w:val="nil"/>
            </w:tcBorders>
            <w:noWrap/>
          </w:tcPr>
          <w:p>
            <w:pPr>
              <w:pStyle w:val="29"/>
              <w:spacing w:line="240" w:lineRule="exact"/>
              <w:ind w:firstLine="0" w:firstLineChars="0"/>
              <w:jc w:val="center"/>
              <w:rPr>
                <w:rFonts w:ascii="Times New Roman"/>
                <w:kern w:val="2"/>
                <w:szCs w:val="21"/>
              </w:rPr>
            </w:pPr>
            <w:r>
              <w:rPr>
                <w:rFonts w:ascii="Times New Roman"/>
                <w:kern w:val="2"/>
                <w:szCs w:val="21"/>
              </w:rPr>
              <w:t>λ</w:t>
            </w:r>
            <w:r>
              <w:rPr>
                <w:rFonts w:hint="eastAsia" w:ascii="Times New Roman"/>
                <w:kern w:val="2"/>
                <w:szCs w:val="21"/>
                <w:vertAlign w:val="subscript"/>
              </w:rPr>
              <w:t>i</w:t>
            </w:r>
            <w:r>
              <w:rPr>
                <w:rFonts w:hint="eastAsia" w:ascii="Times New Roman"/>
                <w:kern w:val="2"/>
                <w:szCs w:val="21"/>
              </w:rPr>
              <w:t>(µ</w:t>
            </w:r>
            <w:r>
              <w:rPr>
                <w:rFonts w:ascii="Times New Roman"/>
                <w:kern w:val="2"/>
                <w:szCs w:val="21"/>
              </w:rPr>
              <w:t>m</w:t>
            </w:r>
            <w:r>
              <w:rPr>
                <w:rFonts w:hint="eastAsia" w:ascii="Times New Roman"/>
                <w:kern w:val="2"/>
                <w:szCs w:val="21"/>
              </w:rPr>
              <w:t>)</w:t>
            </w:r>
          </w:p>
        </w:tc>
        <w:tc>
          <w:tcPr>
            <w:tcW w:w="1995" w:type="dxa"/>
            <w:tcBorders>
              <w:bottom w:val="single" w:color="auto" w:sz="4" w:space="0"/>
              <w:tl2br w:val="nil"/>
              <w:tr2bl w:val="nil"/>
            </w:tcBorders>
            <w:noWrap/>
          </w:tcPr>
          <w:p>
            <w:pPr>
              <w:pStyle w:val="29"/>
              <w:spacing w:line="240" w:lineRule="exact"/>
              <w:ind w:firstLine="0" w:firstLineChars="0"/>
              <w:jc w:val="center"/>
              <w:rPr>
                <w:rFonts w:ascii="Times New Roman"/>
                <w:kern w:val="2"/>
                <w:szCs w:val="21"/>
              </w:rPr>
            </w:pPr>
            <w:r>
              <w:rPr>
                <w:rFonts w:hint="eastAsia" w:ascii="Times New Roman"/>
                <w:kern w:val="2"/>
                <w:szCs w:val="21"/>
              </w:rPr>
              <w:t>序号</w:t>
            </w:r>
          </w:p>
        </w:tc>
        <w:tc>
          <w:tcPr>
            <w:tcW w:w="1995" w:type="dxa"/>
            <w:tcBorders>
              <w:bottom w:val="single" w:color="auto" w:sz="4" w:space="0"/>
              <w:tl2br w:val="nil"/>
              <w:tr2bl w:val="nil"/>
            </w:tcBorders>
            <w:noWrap/>
          </w:tcPr>
          <w:p>
            <w:pPr>
              <w:pStyle w:val="29"/>
              <w:spacing w:line="240" w:lineRule="exact"/>
              <w:ind w:firstLine="0" w:firstLineChars="0"/>
              <w:jc w:val="center"/>
              <w:rPr>
                <w:rFonts w:ascii="Times New Roman"/>
                <w:kern w:val="2"/>
                <w:szCs w:val="21"/>
              </w:rPr>
            </w:pPr>
            <w:r>
              <w:rPr>
                <w:rFonts w:ascii="Times New Roman"/>
                <w:kern w:val="2"/>
                <w:szCs w:val="21"/>
              </w:rPr>
              <w:t>λ</w:t>
            </w:r>
            <w:r>
              <w:rPr>
                <w:rFonts w:hint="eastAsia" w:ascii="Times New Roman"/>
                <w:kern w:val="2"/>
                <w:szCs w:val="21"/>
                <w:vertAlign w:val="subscript"/>
              </w:rPr>
              <w:t>i</w:t>
            </w:r>
            <w:r>
              <w:rPr>
                <w:rFonts w:hint="eastAsia" w:ascii="Times New Roman"/>
                <w:kern w:val="2"/>
                <w:szCs w:val="21"/>
              </w:rPr>
              <w:t>(µ</w:t>
            </w:r>
            <w:r>
              <w:rPr>
                <w:rFonts w:ascii="Times New Roman"/>
                <w:kern w:val="2"/>
                <w:szCs w:val="21"/>
              </w:rPr>
              <w:t>m</w:t>
            </w:r>
            <w:r>
              <w:rPr>
                <w:rFonts w:hint="eastAsia" w:ascii="Times New Roman"/>
                <w:kern w:val="2"/>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 w:hRule="atLeast"/>
        </w:trPr>
        <w:tc>
          <w:tcPr>
            <w:tcW w:w="1995" w:type="dxa"/>
            <w:tcBorders>
              <w:top w:val="single" w:color="auto" w:sz="4" w:space="0"/>
              <w:bottom w:val="single" w:color="auto" w:sz="4" w:space="0"/>
            </w:tcBorders>
            <w:noWrap/>
          </w:tcPr>
          <w:p>
            <w:pPr>
              <w:pStyle w:val="29"/>
              <w:spacing w:line="240" w:lineRule="exact"/>
              <w:ind w:firstLine="0" w:firstLineChars="0"/>
              <w:jc w:val="center"/>
              <w:rPr>
                <w:rFonts w:ascii="Times New Roman"/>
                <w:kern w:val="2"/>
                <w:szCs w:val="21"/>
              </w:rPr>
            </w:pPr>
            <w:r>
              <w:rPr>
                <w:rFonts w:hint="eastAsia" w:ascii="Times New Roman"/>
                <w:kern w:val="2"/>
                <w:szCs w:val="21"/>
              </w:rPr>
              <w:t>1</w:t>
            </w:r>
          </w:p>
        </w:tc>
        <w:tc>
          <w:tcPr>
            <w:tcW w:w="1995" w:type="dxa"/>
            <w:tcBorders>
              <w:top w:val="single" w:color="auto" w:sz="4" w:space="0"/>
              <w:bottom w:val="single" w:color="auto" w:sz="4" w:space="0"/>
            </w:tcBorders>
            <w:noWrap/>
          </w:tcPr>
          <w:p>
            <w:pPr>
              <w:pStyle w:val="29"/>
              <w:spacing w:line="240" w:lineRule="exact"/>
              <w:ind w:firstLine="0" w:firstLineChars="0"/>
              <w:jc w:val="center"/>
              <w:rPr>
                <w:rFonts w:ascii="Times New Roman"/>
                <w:kern w:val="2"/>
                <w:szCs w:val="21"/>
              </w:rPr>
            </w:pPr>
            <w:r>
              <w:rPr>
                <w:rFonts w:hint="eastAsia" w:ascii="Times New Roman"/>
                <w:kern w:val="2"/>
                <w:szCs w:val="21"/>
              </w:rPr>
              <w:t>5.5</w:t>
            </w:r>
          </w:p>
        </w:tc>
        <w:tc>
          <w:tcPr>
            <w:tcW w:w="1995" w:type="dxa"/>
            <w:tcBorders>
              <w:top w:val="single" w:color="auto" w:sz="4" w:space="0"/>
              <w:bottom w:val="single" w:color="auto" w:sz="4" w:space="0"/>
            </w:tcBorders>
            <w:noWrap/>
          </w:tcPr>
          <w:p>
            <w:pPr>
              <w:pStyle w:val="29"/>
              <w:spacing w:line="240" w:lineRule="exact"/>
              <w:ind w:firstLine="0" w:firstLineChars="0"/>
              <w:jc w:val="center"/>
              <w:rPr>
                <w:rFonts w:ascii="Times New Roman"/>
                <w:kern w:val="2"/>
                <w:szCs w:val="21"/>
              </w:rPr>
            </w:pPr>
            <w:r>
              <w:rPr>
                <w:rFonts w:hint="eastAsia" w:ascii="Times New Roman"/>
                <w:kern w:val="2"/>
                <w:szCs w:val="21"/>
              </w:rPr>
              <w:t>16</w:t>
            </w:r>
          </w:p>
        </w:tc>
        <w:tc>
          <w:tcPr>
            <w:tcW w:w="1995" w:type="dxa"/>
            <w:tcBorders>
              <w:top w:val="single" w:color="auto" w:sz="4" w:space="0"/>
              <w:bottom w:val="single" w:color="auto" w:sz="4" w:space="0"/>
            </w:tcBorders>
            <w:noWrap/>
          </w:tcPr>
          <w:p>
            <w:pPr>
              <w:pStyle w:val="29"/>
              <w:spacing w:line="240" w:lineRule="exact"/>
              <w:ind w:firstLine="0" w:firstLineChars="0"/>
              <w:jc w:val="center"/>
              <w:rPr>
                <w:rFonts w:ascii="Times New Roman"/>
                <w:kern w:val="2"/>
                <w:szCs w:val="21"/>
              </w:rPr>
            </w:pPr>
            <w:r>
              <w:rPr>
                <w:rFonts w:hint="eastAsia" w:ascii="Times New Roman"/>
                <w:kern w:val="2"/>
                <w:szCs w:val="21"/>
              </w:rPr>
              <w:t>14.8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2" w:hRule="atLeast"/>
        </w:trPr>
        <w:tc>
          <w:tcPr>
            <w:tcW w:w="1995" w:type="dxa"/>
            <w:tcBorders>
              <w:top w:val="single" w:color="auto" w:sz="4" w:space="0"/>
              <w:bottom w:val="single" w:color="auto" w:sz="4" w:space="0"/>
            </w:tcBorders>
            <w:noWrap/>
          </w:tcPr>
          <w:p>
            <w:pPr>
              <w:pStyle w:val="29"/>
              <w:spacing w:line="240" w:lineRule="exact"/>
              <w:ind w:firstLine="0" w:firstLineChars="0"/>
              <w:jc w:val="center"/>
              <w:rPr>
                <w:rFonts w:ascii="Times New Roman"/>
                <w:kern w:val="2"/>
                <w:szCs w:val="21"/>
              </w:rPr>
            </w:pPr>
            <w:r>
              <w:rPr>
                <w:rFonts w:hint="eastAsia" w:ascii="Times New Roman"/>
                <w:kern w:val="2"/>
                <w:szCs w:val="21"/>
              </w:rPr>
              <w:t>2</w:t>
            </w:r>
          </w:p>
        </w:tc>
        <w:tc>
          <w:tcPr>
            <w:tcW w:w="1995" w:type="dxa"/>
            <w:tcBorders>
              <w:top w:val="single" w:color="auto" w:sz="4" w:space="0"/>
              <w:bottom w:val="single" w:color="auto" w:sz="4" w:space="0"/>
            </w:tcBorders>
            <w:noWrap/>
          </w:tcPr>
          <w:p>
            <w:pPr>
              <w:pStyle w:val="29"/>
              <w:spacing w:line="240" w:lineRule="exact"/>
              <w:ind w:firstLine="0" w:firstLineChars="0"/>
              <w:jc w:val="center"/>
              <w:rPr>
                <w:rFonts w:ascii="Times New Roman"/>
                <w:kern w:val="2"/>
                <w:szCs w:val="21"/>
              </w:rPr>
            </w:pPr>
            <w:r>
              <w:rPr>
                <w:rFonts w:hint="eastAsia" w:ascii="Times New Roman"/>
                <w:kern w:val="2"/>
                <w:szCs w:val="21"/>
              </w:rPr>
              <w:t>6.7</w:t>
            </w:r>
          </w:p>
        </w:tc>
        <w:tc>
          <w:tcPr>
            <w:tcW w:w="1995" w:type="dxa"/>
            <w:tcBorders>
              <w:top w:val="single" w:color="auto" w:sz="4" w:space="0"/>
              <w:bottom w:val="single" w:color="auto" w:sz="4" w:space="0"/>
            </w:tcBorders>
            <w:noWrap/>
          </w:tcPr>
          <w:p>
            <w:pPr>
              <w:pStyle w:val="29"/>
              <w:spacing w:line="240" w:lineRule="exact"/>
              <w:ind w:firstLine="0" w:firstLineChars="0"/>
              <w:jc w:val="center"/>
              <w:rPr>
                <w:rFonts w:ascii="Times New Roman"/>
                <w:kern w:val="2"/>
                <w:szCs w:val="21"/>
              </w:rPr>
            </w:pPr>
            <w:r>
              <w:rPr>
                <w:rFonts w:hint="eastAsia" w:ascii="Times New Roman"/>
                <w:kern w:val="2"/>
                <w:szCs w:val="21"/>
              </w:rPr>
              <w:t>17</w:t>
            </w:r>
          </w:p>
        </w:tc>
        <w:tc>
          <w:tcPr>
            <w:tcW w:w="1995" w:type="dxa"/>
            <w:tcBorders>
              <w:top w:val="single" w:color="auto" w:sz="4" w:space="0"/>
              <w:bottom w:val="single" w:color="auto" w:sz="4" w:space="0"/>
            </w:tcBorders>
            <w:noWrap/>
          </w:tcPr>
          <w:p>
            <w:pPr>
              <w:pStyle w:val="29"/>
              <w:spacing w:line="240" w:lineRule="exact"/>
              <w:ind w:firstLine="0" w:firstLineChars="0"/>
              <w:jc w:val="center"/>
              <w:rPr>
                <w:rFonts w:ascii="Times New Roman"/>
                <w:kern w:val="2"/>
                <w:szCs w:val="21"/>
              </w:rPr>
            </w:pPr>
            <w:r>
              <w:rPr>
                <w:rFonts w:hint="eastAsia" w:ascii="Times New Roman"/>
                <w:kern w:val="2"/>
                <w:szCs w:val="21"/>
              </w:rPr>
              <w:t>15.6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2" w:hRule="atLeast"/>
        </w:trPr>
        <w:tc>
          <w:tcPr>
            <w:tcW w:w="1995" w:type="dxa"/>
            <w:tcBorders>
              <w:top w:val="single" w:color="auto" w:sz="4" w:space="0"/>
              <w:bottom w:val="single" w:color="auto" w:sz="4" w:space="0"/>
            </w:tcBorders>
            <w:noWrap/>
          </w:tcPr>
          <w:p>
            <w:pPr>
              <w:pStyle w:val="29"/>
              <w:spacing w:line="240" w:lineRule="exact"/>
              <w:ind w:firstLine="0" w:firstLineChars="0"/>
              <w:jc w:val="center"/>
              <w:rPr>
                <w:rFonts w:ascii="Times New Roman"/>
                <w:kern w:val="2"/>
                <w:szCs w:val="21"/>
              </w:rPr>
            </w:pPr>
            <w:r>
              <w:rPr>
                <w:rFonts w:hint="eastAsia" w:ascii="Times New Roman"/>
                <w:kern w:val="2"/>
                <w:szCs w:val="21"/>
              </w:rPr>
              <w:t>3</w:t>
            </w:r>
          </w:p>
        </w:tc>
        <w:tc>
          <w:tcPr>
            <w:tcW w:w="1995" w:type="dxa"/>
            <w:tcBorders>
              <w:top w:val="single" w:color="auto" w:sz="4" w:space="0"/>
              <w:bottom w:val="single" w:color="auto" w:sz="4" w:space="0"/>
            </w:tcBorders>
            <w:noWrap/>
          </w:tcPr>
          <w:p>
            <w:pPr>
              <w:pStyle w:val="29"/>
              <w:spacing w:line="240" w:lineRule="exact"/>
              <w:ind w:firstLine="0" w:firstLineChars="0"/>
              <w:jc w:val="center"/>
              <w:rPr>
                <w:rFonts w:ascii="Times New Roman"/>
                <w:kern w:val="2"/>
                <w:szCs w:val="21"/>
              </w:rPr>
            </w:pPr>
            <w:r>
              <w:rPr>
                <w:rFonts w:hint="eastAsia" w:ascii="Times New Roman"/>
                <w:kern w:val="2"/>
                <w:szCs w:val="21"/>
              </w:rPr>
              <w:t>7.4</w:t>
            </w:r>
          </w:p>
        </w:tc>
        <w:tc>
          <w:tcPr>
            <w:tcW w:w="1995" w:type="dxa"/>
            <w:tcBorders>
              <w:top w:val="single" w:color="auto" w:sz="4" w:space="0"/>
              <w:bottom w:val="single" w:color="auto" w:sz="4" w:space="0"/>
            </w:tcBorders>
            <w:noWrap/>
          </w:tcPr>
          <w:p>
            <w:pPr>
              <w:pStyle w:val="29"/>
              <w:spacing w:line="240" w:lineRule="exact"/>
              <w:ind w:firstLine="0" w:firstLineChars="0"/>
              <w:jc w:val="center"/>
              <w:rPr>
                <w:rFonts w:ascii="Times New Roman"/>
                <w:kern w:val="2"/>
                <w:szCs w:val="21"/>
              </w:rPr>
            </w:pPr>
            <w:r>
              <w:rPr>
                <w:rFonts w:hint="eastAsia" w:ascii="Times New Roman"/>
                <w:kern w:val="2"/>
                <w:szCs w:val="21"/>
              </w:rPr>
              <w:t>18</w:t>
            </w:r>
          </w:p>
        </w:tc>
        <w:tc>
          <w:tcPr>
            <w:tcW w:w="1995" w:type="dxa"/>
            <w:tcBorders>
              <w:top w:val="single" w:color="auto" w:sz="4" w:space="0"/>
              <w:bottom w:val="single" w:color="auto" w:sz="4" w:space="0"/>
            </w:tcBorders>
            <w:noWrap/>
          </w:tcPr>
          <w:p>
            <w:pPr>
              <w:pStyle w:val="29"/>
              <w:spacing w:line="240" w:lineRule="exact"/>
              <w:ind w:firstLine="0" w:firstLineChars="0"/>
              <w:jc w:val="center"/>
              <w:rPr>
                <w:rFonts w:ascii="Times New Roman"/>
                <w:kern w:val="2"/>
                <w:szCs w:val="21"/>
              </w:rPr>
            </w:pPr>
            <w:r>
              <w:rPr>
                <w:rFonts w:hint="eastAsia" w:ascii="Times New Roman"/>
                <w:kern w:val="2"/>
                <w:szCs w:val="21"/>
              </w:rPr>
              <w:t>16.3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2" w:hRule="atLeast"/>
        </w:trPr>
        <w:tc>
          <w:tcPr>
            <w:tcW w:w="1995" w:type="dxa"/>
            <w:tcBorders>
              <w:top w:val="single" w:color="auto" w:sz="4" w:space="0"/>
              <w:bottom w:val="single" w:color="auto" w:sz="4" w:space="0"/>
            </w:tcBorders>
            <w:noWrap/>
          </w:tcPr>
          <w:p>
            <w:pPr>
              <w:pStyle w:val="29"/>
              <w:spacing w:line="240" w:lineRule="exact"/>
              <w:ind w:firstLine="0" w:firstLineChars="0"/>
              <w:jc w:val="center"/>
              <w:rPr>
                <w:rFonts w:ascii="Times New Roman"/>
                <w:kern w:val="2"/>
                <w:szCs w:val="21"/>
              </w:rPr>
            </w:pPr>
            <w:r>
              <w:rPr>
                <w:rFonts w:hint="eastAsia" w:ascii="Times New Roman"/>
                <w:kern w:val="2"/>
                <w:szCs w:val="21"/>
              </w:rPr>
              <w:t>4</w:t>
            </w:r>
          </w:p>
        </w:tc>
        <w:tc>
          <w:tcPr>
            <w:tcW w:w="1995" w:type="dxa"/>
            <w:tcBorders>
              <w:top w:val="single" w:color="auto" w:sz="4" w:space="0"/>
              <w:bottom w:val="single" w:color="auto" w:sz="4" w:space="0"/>
            </w:tcBorders>
            <w:noWrap/>
          </w:tcPr>
          <w:p>
            <w:pPr>
              <w:pStyle w:val="29"/>
              <w:spacing w:line="240" w:lineRule="exact"/>
              <w:ind w:firstLine="0" w:firstLineChars="0"/>
              <w:jc w:val="center"/>
              <w:rPr>
                <w:rFonts w:ascii="Times New Roman"/>
                <w:kern w:val="2"/>
                <w:szCs w:val="21"/>
              </w:rPr>
            </w:pPr>
            <w:r>
              <w:rPr>
                <w:rFonts w:hint="eastAsia" w:ascii="Times New Roman"/>
                <w:kern w:val="2"/>
                <w:szCs w:val="21"/>
              </w:rPr>
              <w:t>8.1</w:t>
            </w:r>
          </w:p>
        </w:tc>
        <w:tc>
          <w:tcPr>
            <w:tcW w:w="1995" w:type="dxa"/>
            <w:tcBorders>
              <w:top w:val="single" w:color="auto" w:sz="4" w:space="0"/>
              <w:bottom w:val="single" w:color="auto" w:sz="4" w:space="0"/>
            </w:tcBorders>
            <w:noWrap/>
          </w:tcPr>
          <w:p>
            <w:pPr>
              <w:pStyle w:val="29"/>
              <w:spacing w:line="240" w:lineRule="exact"/>
              <w:ind w:firstLine="0" w:firstLineChars="0"/>
              <w:jc w:val="center"/>
              <w:rPr>
                <w:rFonts w:ascii="Times New Roman"/>
                <w:kern w:val="2"/>
                <w:szCs w:val="21"/>
              </w:rPr>
            </w:pPr>
            <w:r>
              <w:rPr>
                <w:rFonts w:hint="eastAsia" w:ascii="Times New Roman"/>
                <w:kern w:val="2"/>
                <w:szCs w:val="21"/>
              </w:rPr>
              <w:t>19</w:t>
            </w:r>
          </w:p>
        </w:tc>
        <w:tc>
          <w:tcPr>
            <w:tcW w:w="1995" w:type="dxa"/>
            <w:tcBorders>
              <w:top w:val="single" w:color="auto" w:sz="4" w:space="0"/>
              <w:bottom w:val="single" w:color="auto" w:sz="4" w:space="0"/>
            </w:tcBorders>
            <w:noWrap/>
          </w:tcPr>
          <w:p>
            <w:pPr>
              <w:pStyle w:val="29"/>
              <w:spacing w:line="240" w:lineRule="exact"/>
              <w:ind w:firstLine="0" w:firstLineChars="0"/>
              <w:jc w:val="center"/>
              <w:rPr>
                <w:rFonts w:ascii="Times New Roman"/>
                <w:kern w:val="2"/>
                <w:szCs w:val="21"/>
              </w:rPr>
            </w:pPr>
            <w:r>
              <w:rPr>
                <w:rFonts w:hint="eastAsia" w:ascii="Times New Roman"/>
                <w:kern w:val="2"/>
                <w:szCs w:val="21"/>
              </w:rPr>
              <w:t>17.2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2" w:hRule="atLeast"/>
        </w:trPr>
        <w:tc>
          <w:tcPr>
            <w:tcW w:w="1995" w:type="dxa"/>
            <w:tcBorders>
              <w:top w:val="single" w:color="auto" w:sz="4" w:space="0"/>
              <w:bottom w:val="single" w:color="auto" w:sz="4" w:space="0"/>
            </w:tcBorders>
            <w:noWrap/>
          </w:tcPr>
          <w:p>
            <w:pPr>
              <w:pStyle w:val="29"/>
              <w:spacing w:line="240" w:lineRule="exact"/>
              <w:ind w:firstLine="0" w:firstLineChars="0"/>
              <w:jc w:val="center"/>
              <w:rPr>
                <w:rFonts w:ascii="Times New Roman"/>
                <w:kern w:val="2"/>
                <w:szCs w:val="21"/>
              </w:rPr>
            </w:pPr>
            <w:r>
              <w:rPr>
                <w:rFonts w:hint="eastAsia" w:ascii="Times New Roman"/>
                <w:kern w:val="2"/>
                <w:szCs w:val="21"/>
              </w:rPr>
              <w:t>5</w:t>
            </w:r>
          </w:p>
        </w:tc>
        <w:tc>
          <w:tcPr>
            <w:tcW w:w="1995" w:type="dxa"/>
            <w:tcBorders>
              <w:top w:val="single" w:color="auto" w:sz="4" w:space="0"/>
              <w:bottom w:val="single" w:color="auto" w:sz="4" w:space="0"/>
            </w:tcBorders>
            <w:noWrap/>
          </w:tcPr>
          <w:p>
            <w:pPr>
              <w:pStyle w:val="29"/>
              <w:spacing w:line="240" w:lineRule="exact"/>
              <w:ind w:firstLine="0" w:firstLineChars="0"/>
              <w:jc w:val="center"/>
              <w:rPr>
                <w:rFonts w:ascii="Times New Roman"/>
                <w:kern w:val="2"/>
                <w:szCs w:val="21"/>
              </w:rPr>
            </w:pPr>
            <w:r>
              <w:rPr>
                <w:rFonts w:hint="eastAsia" w:ascii="Times New Roman"/>
                <w:kern w:val="2"/>
                <w:szCs w:val="21"/>
              </w:rPr>
              <w:t>8.6</w:t>
            </w:r>
          </w:p>
        </w:tc>
        <w:tc>
          <w:tcPr>
            <w:tcW w:w="1995" w:type="dxa"/>
            <w:tcBorders>
              <w:top w:val="single" w:color="auto" w:sz="4" w:space="0"/>
              <w:bottom w:val="single" w:color="auto" w:sz="4" w:space="0"/>
            </w:tcBorders>
            <w:noWrap/>
          </w:tcPr>
          <w:p>
            <w:pPr>
              <w:pStyle w:val="29"/>
              <w:spacing w:line="240" w:lineRule="exact"/>
              <w:ind w:firstLine="0" w:firstLineChars="0"/>
              <w:jc w:val="center"/>
              <w:rPr>
                <w:rFonts w:ascii="Times New Roman"/>
                <w:kern w:val="2"/>
                <w:szCs w:val="21"/>
              </w:rPr>
            </w:pPr>
            <w:r>
              <w:rPr>
                <w:rFonts w:hint="eastAsia" w:ascii="Times New Roman"/>
                <w:kern w:val="2"/>
                <w:szCs w:val="21"/>
              </w:rPr>
              <w:t>20</w:t>
            </w:r>
          </w:p>
        </w:tc>
        <w:tc>
          <w:tcPr>
            <w:tcW w:w="1995" w:type="dxa"/>
            <w:tcBorders>
              <w:top w:val="single" w:color="auto" w:sz="4" w:space="0"/>
              <w:bottom w:val="single" w:color="auto" w:sz="4" w:space="0"/>
            </w:tcBorders>
            <w:noWrap/>
          </w:tcPr>
          <w:p>
            <w:pPr>
              <w:pStyle w:val="29"/>
              <w:spacing w:line="240" w:lineRule="exact"/>
              <w:ind w:firstLine="0" w:firstLineChars="0"/>
              <w:jc w:val="center"/>
              <w:rPr>
                <w:rFonts w:ascii="Times New Roman"/>
                <w:kern w:val="2"/>
                <w:szCs w:val="21"/>
              </w:rPr>
            </w:pPr>
            <w:r>
              <w:rPr>
                <w:rFonts w:hint="eastAsia" w:ascii="Times New Roman"/>
                <w:kern w:val="2"/>
                <w:szCs w:val="21"/>
              </w:rPr>
              <w:t>18.1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2" w:hRule="atLeast"/>
        </w:trPr>
        <w:tc>
          <w:tcPr>
            <w:tcW w:w="1995" w:type="dxa"/>
            <w:tcBorders>
              <w:top w:val="single" w:color="auto" w:sz="4" w:space="0"/>
              <w:bottom w:val="single" w:color="auto" w:sz="4" w:space="0"/>
            </w:tcBorders>
            <w:noWrap/>
          </w:tcPr>
          <w:p>
            <w:pPr>
              <w:pStyle w:val="29"/>
              <w:spacing w:line="240" w:lineRule="exact"/>
              <w:ind w:firstLine="0" w:firstLineChars="0"/>
              <w:jc w:val="center"/>
              <w:rPr>
                <w:rFonts w:ascii="Times New Roman"/>
                <w:kern w:val="2"/>
                <w:szCs w:val="21"/>
              </w:rPr>
            </w:pPr>
            <w:r>
              <w:rPr>
                <w:rFonts w:hint="eastAsia" w:ascii="Times New Roman"/>
                <w:kern w:val="2"/>
                <w:szCs w:val="21"/>
              </w:rPr>
              <w:t>6</w:t>
            </w:r>
          </w:p>
        </w:tc>
        <w:tc>
          <w:tcPr>
            <w:tcW w:w="1995" w:type="dxa"/>
            <w:tcBorders>
              <w:top w:val="single" w:color="auto" w:sz="4" w:space="0"/>
              <w:bottom w:val="single" w:color="auto" w:sz="4" w:space="0"/>
            </w:tcBorders>
            <w:noWrap/>
          </w:tcPr>
          <w:p>
            <w:pPr>
              <w:pStyle w:val="29"/>
              <w:spacing w:line="240" w:lineRule="exact"/>
              <w:ind w:firstLine="0" w:firstLineChars="0"/>
              <w:jc w:val="center"/>
              <w:rPr>
                <w:rFonts w:ascii="Times New Roman"/>
                <w:kern w:val="2"/>
                <w:szCs w:val="21"/>
              </w:rPr>
            </w:pPr>
            <w:r>
              <w:rPr>
                <w:rFonts w:hint="eastAsia" w:ascii="Times New Roman"/>
                <w:kern w:val="2"/>
                <w:szCs w:val="21"/>
              </w:rPr>
              <w:t>9.2</w:t>
            </w:r>
          </w:p>
        </w:tc>
        <w:tc>
          <w:tcPr>
            <w:tcW w:w="1995" w:type="dxa"/>
            <w:tcBorders>
              <w:top w:val="single" w:color="auto" w:sz="4" w:space="0"/>
              <w:bottom w:val="single" w:color="auto" w:sz="4" w:space="0"/>
            </w:tcBorders>
            <w:noWrap/>
          </w:tcPr>
          <w:p>
            <w:pPr>
              <w:pStyle w:val="29"/>
              <w:spacing w:line="240" w:lineRule="exact"/>
              <w:ind w:firstLine="0" w:firstLineChars="0"/>
              <w:jc w:val="center"/>
              <w:rPr>
                <w:rFonts w:ascii="Times New Roman"/>
                <w:kern w:val="2"/>
                <w:szCs w:val="21"/>
              </w:rPr>
            </w:pPr>
            <w:r>
              <w:rPr>
                <w:rFonts w:hint="eastAsia" w:ascii="Times New Roman"/>
                <w:kern w:val="2"/>
                <w:szCs w:val="21"/>
              </w:rPr>
              <w:t>21</w:t>
            </w:r>
          </w:p>
        </w:tc>
        <w:tc>
          <w:tcPr>
            <w:tcW w:w="1995" w:type="dxa"/>
            <w:tcBorders>
              <w:top w:val="single" w:color="auto" w:sz="4" w:space="0"/>
              <w:bottom w:val="single" w:color="auto" w:sz="4" w:space="0"/>
            </w:tcBorders>
            <w:noWrap/>
          </w:tcPr>
          <w:p>
            <w:pPr>
              <w:pStyle w:val="29"/>
              <w:spacing w:line="240" w:lineRule="exact"/>
              <w:ind w:firstLine="0" w:firstLineChars="0"/>
              <w:jc w:val="center"/>
              <w:rPr>
                <w:rFonts w:ascii="Times New Roman"/>
                <w:kern w:val="2"/>
                <w:szCs w:val="21"/>
              </w:rPr>
            </w:pPr>
            <w:r>
              <w:rPr>
                <w:rFonts w:hint="eastAsia" w:ascii="Times New Roman"/>
                <w:kern w:val="2"/>
                <w:szCs w:val="21"/>
              </w:rPr>
              <w:t>19.2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2" w:hRule="atLeast"/>
        </w:trPr>
        <w:tc>
          <w:tcPr>
            <w:tcW w:w="1995" w:type="dxa"/>
            <w:tcBorders>
              <w:top w:val="single" w:color="auto" w:sz="4" w:space="0"/>
              <w:bottom w:val="single" w:color="auto" w:sz="4" w:space="0"/>
            </w:tcBorders>
            <w:noWrap/>
          </w:tcPr>
          <w:p>
            <w:pPr>
              <w:pStyle w:val="29"/>
              <w:spacing w:line="240" w:lineRule="exact"/>
              <w:ind w:firstLine="0" w:firstLineChars="0"/>
              <w:jc w:val="center"/>
              <w:rPr>
                <w:rFonts w:ascii="Times New Roman"/>
                <w:kern w:val="2"/>
                <w:szCs w:val="21"/>
              </w:rPr>
            </w:pPr>
            <w:r>
              <w:rPr>
                <w:rFonts w:hint="eastAsia" w:ascii="Times New Roman"/>
                <w:kern w:val="2"/>
                <w:szCs w:val="21"/>
              </w:rPr>
              <w:t>7</w:t>
            </w:r>
          </w:p>
        </w:tc>
        <w:tc>
          <w:tcPr>
            <w:tcW w:w="1995" w:type="dxa"/>
            <w:tcBorders>
              <w:top w:val="single" w:color="auto" w:sz="4" w:space="0"/>
              <w:bottom w:val="single" w:color="auto" w:sz="4" w:space="0"/>
            </w:tcBorders>
            <w:noWrap/>
          </w:tcPr>
          <w:p>
            <w:pPr>
              <w:pStyle w:val="29"/>
              <w:spacing w:line="240" w:lineRule="exact"/>
              <w:ind w:firstLine="0" w:firstLineChars="0"/>
              <w:jc w:val="center"/>
              <w:rPr>
                <w:rFonts w:ascii="Times New Roman"/>
                <w:kern w:val="2"/>
                <w:szCs w:val="21"/>
              </w:rPr>
            </w:pPr>
            <w:r>
              <w:rPr>
                <w:rFonts w:hint="eastAsia" w:ascii="Times New Roman"/>
                <w:kern w:val="2"/>
                <w:szCs w:val="21"/>
              </w:rPr>
              <w:t>9.7</w:t>
            </w:r>
          </w:p>
        </w:tc>
        <w:tc>
          <w:tcPr>
            <w:tcW w:w="1995" w:type="dxa"/>
            <w:tcBorders>
              <w:top w:val="single" w:color="auto" w:sz="4" w:space="0"/>
              <w:bottom w:val="single" w:color="auto" w:sz="4" w:space="0"/>
            </w:tcBorders>
            <w:noWrap/>
          </w:tcPr>
          <w:p>
            <w:pPr>
              <w:pStyle w:val="29"/>
              <w:spacing w:line="240" w:lineRule="exact"/>
              <w:ind w:firstLine="0" w:firstLineChars="0"/>
              <w:jc w:val="center"/>
              <w:rPr>
                <w:rFonts w:ascii="Times New Roman"/>
                <w:kern w:val="2"/>
                <w:szCs w:val="21"/>
              </w:rPr>
            </w:pPr>
            <w:r>
              <w:rPr>
                <w:rFonts w:hint="eastAsia" w:ascii="Times New Roman"/>
                <w:kern w:val="2"/>
                <w:szCs w:val="21"/>
              </w:rPr>
              <w:t>22</w:t>
            </w:r>
          </w:p>
        </w:tc>
        <w:tc>
          <w:tcPr>
            <w:tcW w:w="1995" w:type="dxa"/>
            <w:tcBorders>
              <w:top w:val="single" w:color="auto" w:sz="4" w:space="0"/>
              <w:bottom w:val="single" w:color="auto" w:sz="4" w:space="0"/>
            </w:tcBorders>
            <w:noWrap/>
          </w:tcPr>
          <w:p>
            <w:pPr>
              <w:pStyle w:val="29"/>
              <w:spacing w:line="240" w:lineRule="exact"/>
              <w:ind w:firstLine="0" w:firstLineChars="0"/>
              <w:jc w:val="center"/>
              <w:rPr>
                <w:rFonts w:ascii="Times New Roman"/>
                <w:kern w:val="2"/>
                <w:szCs w:val="21"/>
              </w:rPr>
            </w:pPr>
            <w:r>
              <w:rPr>
                <w:rFonts w:hint="eastAsia" w:ascii="Times New Roman"/>
                <w:kern w:val="2"/>
                <w:szCs w:val="21"/>
              </w:rPr>
              <w:t>20.3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2" w:hRule="atLeast"/>
        </w:trPr>
        <w:tc>
          <w:tcPr>
            <w:tcW w:w="1995" w:type="dxa"/>
            <w:tcBorders>
              <w:top w:val="single" w:color="auto" w:sz="4" w:space="0"/>
              <w:bottom w:val="single" w:color="auto" w:sz="4" w:space="0"/>
            </w:tcBorders>
            <w:noWrap/>
          </w:tcPr>
          <w:p>
            <w:pPr>
              <w:pStyle w:val="29"/>
              <w:spacing w:line="240" w:lineRule="exact"/>
              <w:ind w:firstLine="0" w:firstLineChars="0"/>
              <w:jc w:val="center"/>
              <w:rPr>
                <w:rFonts w:ascii="Times New Roman"/>
                <w:kern w:val="2"/>
                <w:szCs w:val="21"/>
              </w:rPr>
            </w:pPr>
            <w:r>
              <w:rPr>
                <w:rFonts w:hint="eastAsia" w:ascii="Times New Roman"/>
                <w:kern w:val="2"/>
                <w:szCs w:val="21"/>
              </w:rPr>
              <w:t>8</w:t>
            </w:r>
          </w:p>
        </w:tc>
        <w:tc>
          <w:tcPr>
            <w:tcW w:w="1995" w:type="dxa"/>
            <w:tcBorders>
              <w:top w:val="single" w:color="auto" w:sz="4" w:space="0"/>
              <w:bottom w:val="single" w:color="auto" w:sz="4" w:space="0"/>
            </w:tcBorders>
            <w:noWrap/>
          </w:tcPr>
          <w:p>
            <w:pPr>
              <w:pStyle w:val="29"/>
              <w:spacing w:line="240" w:lineRule="exact"/>
              <w:ind w:firstLine="0" w:firstLineChars="0"/>
              <w:jc w:val="center"/>
              <w:rPr>
                <w:rFonts w:ascii="Times New Roman"/>
                <w:kern w:val="2"/>
                <w:szCs w:val="21"/>
              </w:rPr>
            </w:pPr>
            <w:r>
              <w:rPr>
                <w:rFonts w:hint="eastAsia" w:ascii="Times New Roman"/>
                <w:kern w:val="2"/>
                <w:szCs w:val="21"/>
              </w:rPr>
              <w:t>10.2</w:t>
            </w:r>
          </w:p>
        </w:tc>
        <w:tc>
          <w:tcPr>
            <w:tcW w:w="1995" w:type="dxa"/>
            <w:tcBorders>
              <w:top w:val="single" w:color="auto" w:sz="4" w:space="0"/>
              <w:bottom w:val="single" w:color="auto" w:sz="4" w:space="0"/>
            </w:tcBorders>
            <w:noWrap/>
          </w:tcPr>
          <w:p>
            <w:pPr>
              <w:pStyle w:val="29"/>
              <w:spacing w:line="240" w:lineRule="exact"/>
              <w:ind w:firstLine="0" w:firstLineChars="0"/>
              <w:jc w:val="center"/>
              <w:rPr>
                <w:rFonts w:ascii="Times New Roman"/>
                <w:kern w:val="2"/>
                <w:szCs w:val="21"/>
              </w:rPr>
            </w:pPr>
            <w:r>
              <w:rPr>
                <w:rFonts w:hint="eastAsia" w:ascii="Times New Roman"/>
                <w:kern w:val="2"/>
                <w:szCs w:val="21"/>
              </w:rPr>
              <w:t>23</w:t>
            </w:r>
          </w:p>
        </w:tc>
        <w:tc>
          <w:tcPr>
            <w:tcW w:w="1995" w:type="dxa"/>
            <w:tcBorders>
              <w:top w:val="single" w:color="auto" w:sz="4" w:space="0"/>
              <w:bottom w:val="single" w:color="auto" w:sz="4" w:space="0"/>
            </w:tcBorders>
            <w:noWrap/>
          </w:tcPr>
          <w:p>
            <w:pPr>
              <w:pStyle w:val="29"/>
              <w:spacing w:line="240" w:lineRule="exact"/>
              <w:ind w:firstLine="0" w:firstLineChars="0"/>
              <w:jc w:val="center"/>
              <w:rPr>
                <w:rFonts w:ascii="Times New Roman"/>
                <w:kern w:val="2"/>
                <w:szCs w:val="21"/>
              </w:rPr>
            </w:pPr>
            <w:r>
              <w:rPr>
                <w:rFonts w:hint="eastAsia" w:ascii="Times New Roman"/>
                <w:kern w:val="2"/>
                <w:szCs w:val="21"/>
              </w:rPr>
              <w:t>21.7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2" w:hRule="atLeast"/>
        </w:trPr>
        <w:tc>
          <w:tcPr>
            <w:tcW w:w="1995" w:type="dxa"/>
            <w:tcBorders>
              <w:top w:val="single" w:color="auto" w:sz="4" w:space="0"/>
              <w:bottom w:val="single" w:color="auto" w:sz="4" w:space="0"/>
            </w:tcBorders>
            <w:noWrap/>
          </w:tcPr>
          <w:p>
            <w:pPr>
              <w:pStyle w:val="29"/>
              <w:spacing w:line="240" w:lineRule="exact"/>
              <w:ind w:firstLine="0" w:firstLineChars="0"/>
              <w:jc w:val="center"/>
              <w:rPr>
                <w:rFonts w:ascii="Times New Roman"/>
                <w:kern w:val="2"/>
                <w:szCs w:val="21"/>
              </w:rPr>
            </w:pPr>
            <w:r>
              <w:rPr>
                <w:rFonts w:hint="eastAsia" w:ascii="Times New Roman"/>
                <w:kern w:val="2"/>
                <w:szCs w:val="21"/>
              </w:rPr>
              <w:t>9</w:t>
            </w:r>
          </w:p>
        </w:tc>
        <w:tc>
          <w:tcPr>
            <w:tcW w:w="1995" w:type="dxa"/>
            <w:tcBorders>
              <w:top w:val="single" w:color="auto" w:sz="4" w:space="0"/>
              <w:bottom w:val="single" w:color="auto" w:sz="4" w:space="0"/>
            </w:tcBorders>
            <w:noWrap/>
          </w:tcPr>
          <w:p>
            <w:pPr>
              <w:pStyle w:val="29"/>
              <w:spacing w:line="240" w:lineRule="exact"/>
              <w:ind w:firstLine="0" w:firstLineChars="0"/>
              <w:jc w:val="center"/>
              <w:rPr>
                <w:rFonts w:ascii="Times New Roman"/>
                <w:kern w:val="2"/>
                <w:szCs w:val="21"/>
              </w:rPr>
            </w:pPr>
            <w:r>
              <w:rPr>
                <w:rFonts w:hint="eastAsia" w:ascii="Times New Roman"/>
                <w:kern w:val="2"/>
                <w:szCs w:val="21"/>
              </w:rPr>
              <w:t>10.7</w:t>
            </w:r>
          </w:p>
        </w:tc>
        <w:tc>
          <w:tcPr>
            <w:tcW w:w="1995" w:type="dxa"/>
            <w:tcBorders>
              <w:top w:val="single" w:color="auto" w:sz="4" w:space="0"/>
              <w:bottom w:val="single" w:color="auto" w:sz="4" w:space="0"/>
            </w:tcBorders>
            <w:noWrap/>
          </w:tcPr>
          <w:p>
            <w:pPr>
              <w:pStyle w:val="29"/>
              <w:spacing w:line="240" w:lineRule="exact"/>
              <w:ind w:firstLine="0" w:firstLineChars="0"/>
              <w:jc w:val="center"/>
              <w:rPr>
                <w:rFonts w:ascii="Times New Roman"/>
                <w:kern w:val="2"/>
                <w:szCs w:val="21"/>
              </w:rPr>
            </w:pPr>
            <w:r>
              <w:rPr>
                <w:rFonts w:hint="eastAsia" w:ascii="Times New Roman"/>
                <w:kern w:val="2"/>
                <w:szCs w:val="21"/>
              </w:rPr>
              <w:t>24</w:t>
            </w:r>
          </w:p>
        </w:tc>
        <w:tc>
          <w:tcPr>
            <w:tcW w:w="1995" w:type="dxa"/>
            <w:tcBorders>
              <w:top w:val="single" w:color="auto" w:sz="4" w:space="0"/>
              <w:bottom w:val="single" w:color="auto" w:sz="4" w:space="0"/>
            </w:tcBorders>
            <w:noWrap/>
          </w:tcPr>
          <w:p>
            <w:pPr>
              <w:pStyle w:val="29"/>
              <w:spacing w:line="240" w:lineRule="exact"/>
              <w:ind w:firstLine="0" w:firstLineChars="0"/>
              <w:jc w:val="center"/>
              <w:rPr>
                <w:rFonts w:ascii="Times New Roman"/>
                <w:kern w:val="2"/>
                <w:szCs w:val="21"/>
              </w:rPr>
            </w:pPr>
            <w:r>
              <w:rPr>
                <w:rFonts w:hint="eastAsia" w:ascii="Times New Roman"/>
                <w:kern w:val="2"/>
                <w:szCs w:val="21"/>
              </w:rPr>
              <w:t>23.3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2" w:hRule="atLeast"/>
        </w:trPr>
        <w:tc>
          <w:tcPr>
            <w:tcW w:w="1995" w:type="dxa"/>
            <w:tcBorders>
              <w:top w:val="single" w:color="auto" w:sz="4" w:space="0"/>
              <w:bottom w:val="single" w:color="auto" w:sz="4" w:space="0"/>
            </w:tcBorders>
            <w:noWrap/>
          </w:tcPr>
          <w:p>
            <w:pPr>
              <w:pStyle w:val="29"/>
              <w:spacing w:line="240" w:lineRule="exact"/>
              <w:ind w:firstLine="0" w:firstLineChars="0"/>
              <w:jc w:val="center"/>
              <w:rPr>
                <w:rFonts w:ascii="Times New Roman"/>
                <w:kern w:val="2"/>
                <w:szCs w:val="21"/>
              </w:rPr>
            </w:pPr>
            <w:r>
              <w:rPr>
                <w:rFonts w:hint="eastAsia" w:ascii="Times New Roman"/>
                <w:kern w:val="2"/>
                <w:szCs w:val="21"/>
              </w:rPr>
              <w:t>10</w:t>
            </w:r>
          </w:p>
        </w:tc>
        <w:tc>
          <w:tcPr>
            <w:tcW w:w="1995" w:type="dxa"/>
            <w:tcBorders>
              <w:top w:val="single" w:color="auto" w:sz="4" w:space="0"/>
              <w:bottom w:val="single" w:color="auto" w:sz="4" w:space="0"/>
            </w:tcBorders>
            <w:noWrap/>
          </w:tcPr>
          <w:p>
            <w:pPr>
              <w:pStyle w:val="29"/>
              <w:spacing w:line="240" w:lineRule="exact"/>
              <w:ind w:firstLine="0" w:firstLineChars="0"/>
              <w:jc w:val="center"/>
              <w:rPr>
                <w:rFonts w:ascii="Times New Roman"/>
                <w:kern w:val="2"/>
                <w:szCs w:val="21"/>
              </w:rPr>
            </w:pPr>
            <w:r>
              <w:rPr>
                <w:rFonts w:hint="eastAsia" w:ascii="Times New Roman"/>
                <w:kern w:val="2"/>
                <w:szCs w:val="21"/>
              </w:rPr>
              <w:t>11.3</w:t>
            </w:r>
          </w:p>
        </w:tc>
        <w:tc>
          <w:tcPr>
            <w:tcW w:w="1995" w:type="dxa"/>
            <w:tcBorders>
              <w:top w:val="single" w:color="auto" w:sz="4" w:space="0"/>
              <w:bottom w:val="single" w:color="auto" w:sz="4" w:space="0"/>
            </w:tcBorders>
            <w:noWrap/>
          </w:tcPr>
          <w:p>
            <w:pPr>
              <w:pStyle w:val="29"/>
              <w:spacing w:line="240" w:lineRule="exact"/>
              <w:ind w:firstLine="0" w:firstLineChars="0"/>
              <w:jc w:val="center"/>
              <w:rPr>
                <w:rFonts w:ascii="Times New Roman"/>
                <w:kern w:val="2"/>
                <w:szCs w:val="21"/>
              </w:rPr>
            </w:pPr>
            <w:r>
              <w:rPr>
                <w:rFonts w:hint="eastAsia" w:ascii="Times New Roman"/>
                <w:kern w:val="2"/>
                <w:szCs w:val="21"/>
              </w:rPr>
              <w:t>25</w:t>
            </w:r>
          </w:p>
        </w:tc>
        <w:tc>
          <w:tcPr>
            <w:tcW w:w="1995" w:type="dxa"/>
            <w:tcBorders>
              <w:top w:val="single" w:color="auto" w:sz="4" w:space="0"/>
              <w:bottom w:val="single" w:color="auto" w:sz="4" w:space="0"/>
            </w:tcBorders>
            <w:noWrap/>
          </w:tcPr>
          <w:p>
            <w:pPr>
              <w:pStyle w:val="29"/>
              <w:spacing w:line="240" w:lineRule="exact"/>
              <w:ind w:firstLine="0" w:firstLineChars="0"/>
              <w:jc w:val="center"/>
              <w:rPr>
                <w:rFonts w:ascii="Times New Roman"/>
                <w:kern w:val="2"/>
                <w:szCs w:val="21"/>
              </w:rPr>
            </w:pPr>
            <w:r>
              <w:rPr>
                <w:rFonts w:hint="eastAsia" w:ascii="Times New Roman"/>
                <w:kern w:val="2"/>
                <w:szCs w:val="21"/>
              </w:rPr>
              <w:t>25.2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2" w:hRule="atLeast"/>
        </w:trPr>
        <w:tc>
          <w:tcPr>
            <w:tcW w:w="1995" w:type="dxa"/>
            <w:tcBorders>
              <w:top w:val="single" w:color="auto" w:sz="4" w:space="0"/>
              <w:bottom w:val="single" w:color="auto" w:sz="4" w:space="0"/>
            </w:tcBorders>
            <w:noWrap/>
          </w:tcPr>
          <w:p>
            <w:pPr>
              <w:pStyle w:val="29"/>
              <w:spacing w:line="240" w:lineRule="exact"/>
              <w:ind w:firstLine="0" w:firstLineChars="0"/>
              <w:jc w:val="center"/>
              <w:rPr>
                <w:rFonts w:ascii="Times New Roman"/>
                <w:kern w:val="2"/>
                <w:szCs w:val="21"/>
              </w:rPr>
            </w:pPr>
            <w:r>
              <w:rPr>
                <w:rFonts w:hint="eastAsia" w:ascii="Times New Roman"/>
                <w:kern w:val="2"/>
                <w:szCs w:val="21"/>
              </w:rPr>
              <w:t>11</w:t>
            </w:r>
          </w:p>
        </w:tc>
        <w:tc>
          <w:tcPr>
            <w:tcW w:w="1995" w:type="dxa"/>
            <w:tcBorders>
              <w:top w:val="single" w:color="auto" w:sz="4" w:space="0"/>
              <w:bottom w:val="single" w:color="auto" w:sz="4" w:space="0"/>
            </w:tcBorders>
            <w:noWrap/>
          </w:tcPr>
          <w:p>
            <w:pPr>
              <w:pStyle w:val="29"/>
              <w:spacing w:line="240" w:lineRule="exact"/>
              <w:ind w:firstLine="0" w:firstLineChars="0"/>
              <w:jc w:val="center"/>
              <w:rPr>
                <w:rFonts w:ascii="Times New Roman"/>
                <w:kern w:val="2"/>
                <w:szCs w:val="21"/>
              </w:rPr>
            </w:pPr>
            <w:r>
              <w:rPr>
                <w:rFonts w:hint="eastAsia" w:ascii="Times New Roman"/>
                <w:kern w:val="2"/>
                <w:szCs w:val="21"/>
              </w:rPr>
              <w:t>11.8</w:t>
            </w:r>
          </w:p>
        </w:tc>
        <w:tc>
          <w:tcPr>
            <w:tcW w:w="1995" w:type="dxa"/>
            <w:tcBorders>
              <w:top w:val="single" w:color="auto" w:sz="4" w:space="0"/>
              <w:bottom w:val="single" w:color="auto" w:sz="4" w:space="0"/>
            </w:tcBorders>
            <w:noWrap/>
          </w:tcPr>
          <w:p>
            <w:pPr>
              <w:pStyle w:val="29"/>
              <w:spacing w:line="240" w:lineRule="exact"/>
              <w:ind w:firstLine="0" w:firstLineChars="0"/>
              <w:jc w:val="center"/>
              <w:rPr>
                <w:rFonts w:ascii="Times New Roman"/>
                <w:kern w:val="2"/>
                <w:szCs w:val="21"/>
              </w:rPr>
            </w:pPr>
            <w:r>
              <w:rPr>
                <w:rFonts w:hint="eastAsia" w:ascii="Times New Roman"/>
                <w:kern w:val="2"/>
                <w:szCs w:val="21"/>
              </w:rPr>
              <w:t>26</w:t>
            </w:r>
          </w:p>
        </w:tc>
        <w:tc>
          <w:tcPr>
            <w:tcW w:w="1995" w:type="dxa"/>
            <w:tcBorders>
              <w:top w:val="single" w:color="auto" w:sz="4" w:space="0"/>
              <w:bottom w:val="single" w:color="auto" w:sz="4" w:space="0"/>
            </w:tcBorders>
            <w:noWrap/>
          </w:tcPr>
          <w:p>
            <w:pPr>
              <w:pStyle w:val="29"/>
              <w:spacing w:line="240" w:lineRule="exact"/>
              <w:ind w:firstLine="0" w:firstLineChars="0"/>
              <w:jc w:val="center"/>
              <w:rPr>
                <w:rFonts w:ascii="Times New Roman"/>
                <w:kern w:val="2"/>
                <w:szCs w:val="21"/>
              </w:rPr>
            </w:pPr>
            <w:r>
              <w:rPr>
                <w:rFonts w:hint="eastAsia" w:ascii="Times New Roman"/>
                <w:kern w:val="2"/>
                <w:szCs w:val="21"/>
              </w:rPr>
              <w:t>27.7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2" w:hRule="atLeast"/>
        </w:trPr>
        <w:tc>
          <w:tcPr>
            <w:tcW w:w="1995" w:type="dxa"/>
            <w:tcBorders>
              <w:top w:val="single" w:color="auto" w:sz="4" w:space="0"/>
              <w:bottom w:val="single" w:color="auto" w:sz="4" w:space="0"/>
            </w:tcBorders>
            <w:noWrap/>
          </w:tcPr>
          <w:p>
            <w:pPr>
              <w:pStyle w:val="29"/>
              <w:spacing w:line="240" w:lineRule="exact"/>
              <w:ind w:firstLine="0" w:firstLineChars="0"/>
              <w:jc w:val="center"/>
              <w:rPr>
                <w:rFonts w:ascii="Times New Roman"/>
                <w:kern w:val="2"/>
                <w:szCs w:val="21"/>
              </w:rPr>
            </w:pPr>
            <w:r>
              <w:rPr>
                <w:rFonts w:hint="eastAsia" w:ascii="Times New Roman"/>
                <w:kern w:val="2"/>
                <w:szCs w:val="21"/>
              </w:rPr>
              <w:t>12</w:t>
            </w:r>
          </w:p>
        </w:tc>
        <w:tc>
          <w:tcPr>
            <w:tcW w:w="1995" w:type="dxa"/>
            <w:tcBorders>
              <w:top w:val="single" w:color="auto" w:sz="4" w:space="0"/>
              <w:bottom w:val="single" w:color="auto" w:sz="4" w:space="0"/>
            </w:tcBorders>
            <w:noWrap/>
          </w:tcPr>
          <w:p>
            <w:pPr>
              <w:pStyle w:val="29"/>
              <w:spacing w:line="240" w:lineRule="exact"/>
              <w:ind w:firstLine="0" w:firstLineChars="0"/>
              <w:jc w:val="center"/>
              <w:rPr>
                <w:rFonts w:ascii="Times New Roman"/>
                <w:kern w:val="2"/>
                <w:szCs w:val="21"/>
              </w:rPr>
            </w:pPr>
            <w:r>
              <w:rPr>
                <w:rFonts w:hint="eastAsia" w:ascii="Times New Roman"/>
                <w:kern w:val="2"/>
                <w:szCs w:val="21"/>
              </w:rPr>
              <w:t>12.4</w:t>
            </w:r>
          </w:p>
        </w:tc>
        <w:tc>
          <w:tcPr>
            <w:tcW w:w="1995" w:type="dxa"/>
            <w:tcBorders>
              <w:top w:val="single" w:color="auto" w:sz="4" w:space="0"/>
              <w:bottom w:val="single" w:color="auto" w:sz="4" w:space="0"/>
            </w:tcBorders>
            <w:noWrap/>
          </w:tcPr>
          <w:p>
            <w:pPr>
              <w:pStyle w:val="29"/>
              <w:spacing w:line="240" w:lineRule="exact"/>
              <w:ind w:firstLine="0" w:firstLineChars="0"/>
              <w:jc w:val="center"/>
              <w:rPr>
                <w:rFonts w:ascii="Times New Roman"/>
                <w:kern w:val="2"/>
                <w:szCs w:val="21"/>
              </w:rPr>
            </w:pPr>
            <w:r>
              <w:rPr>
                <w:rFonts w:hint="eastAsia" w:ascii="Times New Roman"/>
                <w:kern w:val="2"/>
                <w:szCs w:val="21"/>
              </w:rPr>
              <w:t>27</w:t>
            </w:r>
          </w:p>
        </w:tc>
        <w:tc>
          <w:tcPr>
            <w:tcW w:w="1995" w:type="dxa"/>
            <w:tcBorders>
              <w:top w:val="single" w:color="auto" w:sz="4" w:space="0"/>
              <w:bottom w:val="single" w:color="auto" w:sz="4" w:space="0"/>
            </w:tcBorders>
            <w:noWrap/>
          </w:tcPr>
          <w:p>
            <w:pPr>
              <w:pStyle w:val="29"/>
              <w:spacing w:line="240" w:lineRule="exact"/>
              <w:ind w:firstLine="0" w:firstLineChars="0"/>
              <w:jc w:val="center"/>
              <w:rPr>
                <w:rFonts w:ascii="Times New Roman"/>
                <w:kern w:val="2"/>
                <w:szCs w:val="21"/>
              </w:rPr>
            </w:pPr>
            <w:r>
              <w:rPr>
                <w:rFonts w:hint="eastAsia" w:ascii="Times New Roman"/>
                <w:kern w:val="2"/>
                <w:szCs w:val="21"/>
              </w:rPr>
              <w:t>30.9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2" w:hRule="atLeast"/>
        </w:trPr>
        <w:tc>
          <w:tcPr>
            <w:tcW w:w="1995" w:type="dxa"/>
            <w:tcBorders>
              <w:top w:val="single" w:color="auto" w:sz="4" w:space="0"/>
              <w:bottom w:val="single" w:color="auto" w:sz="4" w:space="0"/>
            </w:tcBorders>
            <w:noWrap/>
          </w:tcPr>
          <w:p>
            <w:pPr>
              <w:pStyle w:val="29"/>
              <w:spacing w:line="240" w:lineRule="exact"/>
              <w:ind w:firstLine="0" w:firstLineChars="0"/>
              <w:jc w:val="center"/>
              <w:rPr>
                <w:rFonts w:ascii="Times New Roman"/>
                <w:kern w:val="2"/>
                <w:szCs w:val="21"/>
              </w:rPr>
            </w:pPr>
            <w:r>
              <w:rPr>
                <w:rFonts w:hint="eastAsia" w:ascii="Times New Roman"/>
                <w:kern w:val="2"/>
                <w:szCs w:val="21"/>
              </w:rPr>
              <w:t>13</w:t>
            </w:r>
          </w:p>
        </w:tc>
        <w:tc>
          <w:tcPr>
            <w:tcW w:w="1995" w:type="dxa"/>
            <w:tcBorders>
              <w:top w:val="single" w:color="auto" w:sz="4" w:space="0"/>
              <w:bottom w:val="single" w:color="auto" w:sz="4" w:space="0"/>
            </w:tcBorders>
            <w:noWrap/>
          </w:tcPr>
          <w:p>
            <w:pPr>
              <w:pStyle w:val="29"/>
              <w:spacing w:line="240" w:lineRule="exact"/>
              <w:ind w:firstLine="0" w:firstLineChars="0"/>
              <w:jc w:val="center"/>
              <w:rPr>
                <w:rFonts w:ascii="Times New Roman"/>
                <w:kern w:val="2"/>
                <w:szCs w:val="21"/>
              </w:rPr>
            </w:pPr>
            <w:r>
              <w:rPr>
                <w:rFonts w:hint="eastAsia" w:ascii="Times New Roman"/>
                <w:kern w:val="2"/>
                <w:szCs w:val="21"/>
              </w:rPr>
              <w:t>12.9</w:t>
            </w:r>
          </w:p>
        </w:tc>
        <w:tc>
          <w:tcPr>
            <w:tcW w:w="1995" w:type="dxa"/>
            <w:tcBorders>
              <w:top w:val="single" w:color="auto" w:sz="4" w:space="0"/>
              <w:bottom w:val="single" w:color="auto" w:sz="4" w:space="0"/>
            </w:tcBorders>
            <w:noWrap/>
          </w:tcPr>
          <w:p>
            <w:pPr>
              <w:pStyle w:val="29"/>
              <w:spacing w:line="240" w:lineRule="exact"/>
              <w:ind w:firstLine="0" w:firstLineChars="0"/>
              <w:jc w:val="center"/>
              <w:rPr>
                <w:rFonts w:ascii="Times New Roman"/>
                <w:kern w:val="2"/>
                <w:szCs w:val="21"/>
              </w:rPr>
            </w:pPr>
            <w:r>
              <w:rPr>
                <w:rFonts w:hint="eastAsia" w:ascii="Times New Roman"/>
                <w:kern w:val="2"/>
                <w:szCs w:val="21"/>
              </w:rPr>
              <w:t>28</w:t>
            </w:r>
          </w:p>
        </w:tc>
        <w:tc>
          <w:tcPr>
            <w:tcW w:w="1995" w:type="dxa"/>
            <w:tcBorders>
              <w:top w:val="single" w:color="auto" w:sz="4" w:space="0"/>
              <w:bottom w:val="single" w:color="auto" w:sz="4" w:space="0"/>
            </w:tcBorders>
            <w:noWrap/>
          </w:tcPr>
          <w:p>
            <w:pPr>
              <w:pStyle w:val="29"/>
              <w:spacing w:line="240" w:lineRule="exact"/>
              <w:ind w:firstLine="0" w:firstLineChars="0"/>
              <w:jc w:val="center"/>
              <w:rPr>
                <w:rFonts w:ascii="Times New Roman"/>
                <w:kern w:val="2"/>
                <w:szCs w:val="21"/>
              </w:rPr>
            </w:pPr>
            <w:r>
              <w:rPr>
                <w:rFonts w:hint="eastAsia" w:ascii="Times New Roman"/>
                <w:kern w:val="2"/>
                <w:szCs w:val="21"/>
              </w:rPr>
              <w:t>35.7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2" w:hRule="atLeast"/>
        </w:trPr>
        <w:tc>
          <w:tcPr>
            <w:tcW w:w="1995" w:type="dxa"/>
            <w:tcBorders>
              <w:top w:val="single" w:color="auto" w:sz="4" w:space="0"/>
              <w:bottom w:val="single" w:color="auto" w:sz="4" w:space="0"/>
            </w:tcBorders>
            <w:noWrap/>
          </w:tcPr>
          <w:p>
            <w:pPr>
              <w:pStyle w:val="29"/>
              <w:spacing w:line="240" w:lineRule="exact"/>
              <w:ind w:firstLine="0" w:firstLineChars="0"/>
              <w:jc w:val="center"/>
              <w:rPr>
                <w:rFonts w:ascii="Times New Roman"/>
                <w:kern w:val="2"/>
                <w:szCs w:val="21"/>
              </w:rPr>
            </w:pPr>
            <w:r>
              <w:rPr>
                <w:rFonts w:hint="eastAsia" w:ascii="Times New Roman"/>
                <w:kern w:val="2"/>
                <w:szCs w:val="21"/>
              </w:rPr>
              <w:t>14</w:t>
            </w:r>
          </w:p>
        </w:tc>
        <w:tc>
          <w:tcPr>
            <w:tcW w:w="1995" w:type="dxa"/>
            <w:tcBorders>
              <w:top w:val="single" w:color="auto" w:sz="4" w:space="0"/>
              <w:bottom w:val="single" w:color="auto" w:sz="4" w:space="0"/>
            </w:tcBorders>
            <w:noWrap/>
          </w:tcPr>
          <w:p>
            <w:pPr>
              <w:pStyle w:val="29"/>
              <w:spacing w:line="240" w:lineRule="exact"/>
              <w:ind w:firstLine="0" w:firstLineChars="0"/>
              <w:jc w:val="center"/>
              <w:rPr>
                <w:rFonts w:ascii="Times New Roman"/>
                <w:kern w:val="2"/>
                <w:szCs w:val="21"/>
              </w:rPr>
            </w:pPr>
            <w:r>
              <w:rPr>
                <w:rFonts w:hint="eastAsia" w:ascii="Times New Roman"/>
                <w:kern w:val="2"/>
                <w:szCs w:val="21"/>
              </w:rPr>
              <w:t>13.5</w:t>
            </w:r>
          </w:p>
        </w:tc>
        <w:tc>
          <w:tcPr>
            <w:tcW w:w="1995" w:type="dxa"/>
            <w:tcBorders>
              <w:top w:val="single" w:color="auto" w:sz="4" w:space="0"/>
              <w:bottom w:val="single" w:color="auto" w:sz="4" w:space="0"/>
            </w:tcBorders>
            <w:noWrap/>
          </w:tcPr>
          <w:p>
            <w:pPr>
              <w:pStyle w:val="29"/>
              <w:spacing w:line="240" w:lineRule="exact"/>
              <w:ind w:firstLine="0" w:firstLineChars="0"/>
              <w:jc w:val="center"/>
              <w:rPr>
                <w:rFonts w:ascii="Times New Roman"/>
                <w:kern w:val="2"/>
                <w:szCs w:val="21"/>
              </w:rPr>
            </w:pPr>
            <w:r>
              <w:rPr>
                <w:rFonts w:hint="eastAsia" w:ascii="Times New Roman"/>
                <w:kern w:val="2"/>
                <w:szCs w:val="21"/>
              </w:rPr>
              <w:t>29</w:t>
            </w:r>
          </w:p>
        </w:tc>
        <w:tc>
          <w:tcPr>
            <w:tcW w:w="1995" w:type="dxa"/>
            <w:tcBorders>
              <w:top w:val="single" w:color="auto" w:sz="4" w:space="0"/>
              <w:bottom w:val="single" w:color="auto" w:sz="4" w:space="0"/>
            </w:tcBorders>
            <w:noWrap/>
          </w:tcPr>
          <w:p>
            <w:pPr>
              <w:pStyle w:val="29"/>
              <w:spacing w:line="240" w:lineRule="exact"/>
              <w:ind w:firstLine="0" w:firstLineChars="0"/>
              <w:jc w:val="center"/>
              <w:rPr>
                <w:rFonts w:ascii="Times New Roman"/>
                <w:kern w:val="2"/>
                <w:szCs w:val="21"/>
              </w:rPr>
            </w:pPr>
            <w:r>
              <w:rPr>
                <w:rFonts w:hint="eastAsia" w:ascii="Times New Roman"/>
                <w:kern w:val="2"/>
                <w:szCs w:val="21"/>
              </w:rPr>
              <w:t>43.9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2" w:hRule="atLeast"/>
        </w:trPr>
        <w:tc>
          <w:tcPr>
            <w:tcW w:w="1995" w:type="dxa"/>
            <w:tcBorders>
              <w:top w:val="single" w:color="auto" w:sz="4" w:space="0"/>
              <w:bottom w:val="single" w:color="auto" w:sz="4" w:space="0"/>
            </w:tcBorders>
            <w:noWrap/>
          </w:tcPr>
          <w:p>
            <w:pPr>
              <w:pStyle w:val="29"/>
              <w:spacing w:line="240" w:lineRule="exact"/>
              <w:ind w:firstLine="0" w:firstLineChars="0"/>
              <w:jc w:val="center"/>
              <w:rPr>
                <w:rFonts w:ascii="Times New Roman"/>
                <w:kern w:val="2"/>
                <w:szCs w:val="21"/>
              </w:rPr>
            </w:pPr>
            <w:r>
              <w:rPr>
                <w:rFonts w:hint="eastAsia" w:ascii="Times New Roman"/>
                <w:kern w:val="2"/>
                <w:szCs w:val="21"/>
              </w:rPr>
              <w:t>15</w:t>
            </w:r>
          </w:p>
        </w:tc>
        <w:tc>
          <w:tcPr>
            <w:tcW w:w="1995" w:type="dxa"/>
            <w:tcBorders>
              <w:top w:val="single" w:color="auto" w:sz="4" w:space="0"/>
              <w:bottom w:val="single" w:color="auto" w:sz="4" w:space="0"/>
            </w:tcBorders>
            <w:noWrap/>
          </w:tcPr>
          <w:p>
            <w:pPr>
              <w:pStyle w:val="29"/>
              <w:spacing w:line="240" w:lineRule="exact"/>
              <w:ind w:firstLine="0" w:firstLineChars="0"/>
              <w:jc w:val="center"/>
              <w:rPr>
                <w:rFonts w:ascii="Times New Roman"/>
                <w:kern w:val="2"/>
                <w:szCs w:val="21"/>
              </w:rPr>
            </w:pPr>
            <w:r>
              <w:rPr>
                <w:rFonts w:hint="eastAsia" w:ascii="Times New Roman"/>
                <w:kern w:val="2"/>
                <w:szCs w:val="21"/>
              </w:rPr>
              <w:t>14.2</w:t>
            </w:r>
          </w:p>
        </w:tc>
        <w:tc>
          <w:tcPr>
            <w:tcW w:w="1995" w:type="dxa"/>
            <w:tcBorders>
              <w:top w:val="single" w:color="auto" w:sz="4" w:space="0"/>
              <w:bottom w:val="single" w:color="auto" w:sz="4" w:space="0"/>
            </w:tcBorders>
            <w:noWrap/>
          </w:tcPr>
          <w:p>
            <w:pPr>
              <w:pStyle w:val="29"/>
              <w:spacing w:line="240" w:lineRule="exact"/>
              <w:ind w:firstLine="0" w:firstLineChars="0"/>
              <w:jc w:val="center"/>
              <w:rPr>
                <w:rFonts w:ascii="Times New Roman"/>
                <w:kern w:val="2"/>
                <w:szCs w:val="21"/>
              </w:rPr>
            </w:pPr>
            <w:r>
              <w:rPr>
                <w:rFonts w:hint="eastAsia" w:ascii="Times New Roman"/>
                <w:kern w:val="2"/>
                <w:szCs w:val="21"/>
              </w:rPr>
              <w:t>30</w:t>
            </w:r>
          </w:p>
        </w:tc>
        <w:tc>
          <w:tcPr>
            <w:tcW w:w="1995" w:type="dxa"/>
            <w:tcBorders>
              <w:top w:val="single" w:color="auto" w:sz="4" w:space="0"/>
              <w:bottom w:val="single" w:color="auto" w:sz="4" w:space="0"/>
            </w:tcBorders>
            <w:noWrap/>
          </w:tcPr>
          <w:p>
            <w:pPr>
              <w:pStyle w:val="29"/>
              <w:spacing w:line="240" w:lineRule="exact"/>
              <w:ind w:firstLine="0" w:firstLineChars="0"/>
              <w:jc w:val="center"/>
              <w:rPr>
                <w:rFonts w:ascii="Times New Roman"/>
                <w:kern w:val="2"/>
                <w:szCs w:val="21"/>
              </w:rPr>
            </w:pPr>
            <w:r>
              <w:rPr>
                <w:rFonts w:hint="eastAsia" w:ascii="Times New Roman"/>
                <w:kern w:val="2"/>
                <w:szCs w:val="21"/>
              </w:rPr>
              <w:t>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2" w:hRule="atLeast"/>
        </w:trPr>
        <w:tc>
          <w:tcPr>
            <w:tcW w:w="7980" w:type="dxa"/>
            <w:gridSpan w:val="4"/>
            <w:tcBorders>
              <w:top w:val="single" w:color="auto" w:sz="4" w:space="0"/>
              <w:bottom w:val="single" w:color="auto" w:sz="4" w:space="0"/>
            </w:tcBorders>
            <w:noWrap/>
          </w:tcPr>
          <w:p>
            <w:pPr>
              <w:pStyle w:val="29"/>
              <w:spacing w:line="240" w:lineRule="exact"/>
              <w:ind w:firstLine="0" w:firstLineChars="0"/>
              <w:rPr>
                <w:rFonts w:ascii="Times New Roman"/>
                <w:kern w:val="2"/>
                <w:szCs w:val="21"/>
              </w:rPr>
            </w:pPr>
            <w:r>
              <w:rPr>
                <w:rFonts w:hint="eastAsia" w:ascii="Times New Roman"/>
                <w:kern w:val="2"/>
                <w:szCs w:val="21"/>
              </w:rPr>
              <w:t>注：当测试的波长仅达到</w:t>
            </w:r>
            <w:r>
              <w:rPr>
                <w:rFonts w:ascii="Times New Roman"/>
                <w:kern w:val="2"/>
                <w:szCs w:val="21"/>
              </w:rPr>
              <w:t>25μm时，25μm以上波长的反射</w:t>
            </w:r>
            <w:r>
              <w:rPr>
                <w:rFonts w:hint="eastAsia" w:ascii="Times New Roman"/>
                <w:kern w:val="2"/>
                <w:szCs w:val="21"/>
              </w:rPr>
              <w:t>比</w:t>
            </w:r>
            <w:r>
              <w:rPr>
                <w:rFonts w:ascii="Times New Roman"/>
                <w:kern w:val="2"/>
                <w:szCs w:val="21"/>
              </w:rPr>
              <w:t>可用25μm</w:t>
            </w:r>
            <w:r>
              <w:rPr>
                <w:rFonts w:hint="eastAsia" w:ascii="Times New Roman"/>
                <w:kern w:val="2"/>
                <w:szCs w:val="21"/>
              </w:rPr>
              <w:t>波长的发射系数替代。</w:t>
            </w:r>
          </w:p>
        </w:tc>
      </w:tr>
    </w:tbl>
    <w:p>
      <w:pPr>
        <w:pStyle w:val="27"/>
        <w:jc w:val="both"/>
        <w:rPr>
          <w:rFonts w:eastAsia="宋体"/>
          <w:sz w:val="21"/>
          <w:szCs w:val="21"/>
        </w:rPr>
      </w:pPr>
    </w:p>
    <w:p>
      <w:pPr>
        <w:pStyle w:val="27"/>
        <w:spacing w:beforeLines="50" w:afterLines="50"/>
        <w:jc w:val="both"/>
        <w:rPr>
          <w:rFonts w:ascii="黑体" w:hAnsi="黑体" w:cs="黑体"/>
          <w:sz w:val="24"/>
        </w:rPr>
      </w:pPr>
      <w:bookmarkStart w:id="145" w:name="_Toc4757"/>
      <w:bookmarkStart w:id="146" w:name="_Toc19709"/>
      <w:bookmarkStart w:id="147" w:name="_Toc31872"/>
      <w:r>
        <w:rPr>
          <w:rFonts w:hint="eastAsia" w:ascii="黑体" w:hAnsi="黑体" w:cs="黑体"/>
          <w:sz w:val="24"/>
        </w:rPr>
        <w:t>A.6样品使用</w:t>
      </w:r>
      <w:bookmarkEnd w:id="145"/>
      <w:bookmarkEnd w:id="146"/>
      <w:bookmarkEnd w:id="147"/>
    </w:p>
    <w:p>
      <w:pPr>
        <w:pStyle w:val="27"/>
        <w:spacing w:beforeLines="50" w:afterLines="50"/>
        <w:ind w:firstLine="480" w:firstLineChars="200"/>
        <w:jc w:val="both"/>
        <w:rPr>
          <w:rFonts w:asciiTheme="minorEastAsia" w:hAnsiTheme="minorEastAsia" w:eastAsiaTheme="minorEastAsia" w:cstheme="minorEastAsia"/>
          <w:sz w:val="24"/>
        </w:rPr>
      </w:pPr>
      <w:bookmarkStart w:id="148" w:name="_Toc11269"/>
      <w:bookmarkStart w:id="149" w:name="_Toc25561"/>
      <w:bookmarkStart w:id="150" w:name="_Toc22204"/>
      <w:r>
        <w:rPr>
          <w:rFonts w:hint="eastAsia" w:asciiTheme="minorEastAsia" w:hAnsiTheme="minorEastAsia" w:eastAsiaTheme="minorEastAsia" w:cstheme="minorEastAsia"/>
          <w:sz w:val="24"/>
        </w:rPr>
        <w:t>被测点在样品中部选取，重复测量时应确保每次测量都在同一被测点，每次测试完毕后将样品放置在密封袋中并抽真空。</w:t>
      </w:r>
      <w:bookmarkEnd w:id="148"/>
      <w:bookmarkEnd w:id="149"/>
      <w:bookmarkEnd w:id="150"/>
    </w:p>
    <w:p>
      <w:pPr>
        <w:pStyle w:val="27"/>
        <w:spacing w:beforeLines="50" w:afterLines="50"/>
        <w:jc w:val="both"/>
      </w:pPr>
      <w:bookmarkStart w:id="151" w:name="_Toc14620"/>
      <w:bookmarkStart w:id="152" w:name="_Toc22544"/>
      <w:bookmarkStart w:id="153" w:name="_Toc11536"/>
      <w:r>
        <w:rPr>
          <w:rFonts w:hint="eastAsia" w:ascii="黑体" w:hAnsi="黑体" w:cs="黑体"/>
          <w:sz w:val="24"/>
        </w:rPr>
        <w:t>A.7 标准样品标准值的不确定度</w:t>
      </w:r>
      <w:bookmarkEnd w:id="151"/>
      <w:bookmarkEnd w:id="152"/>
      <w:bookmarkEnd w:id="153"/>
    </w:p>
    <w:p>
      <w:pPr>
        <w:pStyle w:val="27"/>
        <w:ind w:firstLine="480" w:firstLineChars="200"/>
        <w:jc w:val="both"/>
        <w:sectPr>
          <w:pgSz w:w="11850" w:h="16783"/>
          <w:pgMar w:top="1440" w:right="1797" w:bottom="1440" w:left="1797" w:header="851" w:footer="992" w:gutter="0"/>
          <w:cols w:space="720" w:num="1"/>
          <w:docGrid w:type="lines" w:linePitch="312" w:charSpace="0"/>
        </w:sectPr>
      </w:pPr>
      <w:bookmarkStart w:id="154" w:name="_Toc13198"/>
      <w:bookmarkStart w:id="155" w:name="_Toc8153"/>
      <w:bookmarkStart w:id="156" w:name="_Toc10071"/>
      <w:r>
        <w:rPr>
          <w:rFonts w:hint="eastAsia" w:ascii="宋体" w:hAnsi="宋体" w:eastAsia="宋体" w:cs="宋体"/>
          <w:sz w:val="24"/>
        </w:rPr>
        <w:t>在样品的均匀性、稳定性及环境因素带来的不确定度可忽略不计的前提下，标准值的测量不确定度主要有两条来源：一是仪器测量3次辐射率的重复性引入的测量不确定度分量，该分量的大小按</w:t>
      </w:r>
      <w:r>
        <w:rPr>
          <w:rFonts w:eastAsia="宋体"/>
          <w:sz w:val="24"/>
        </w:rPr>
        <w:t>JJF1059.1</w:t>
      </w:r>
      <w:r>
        <w:rPr>
          <w:rFonts w:hint="eastAsia" w:ascii="宋体" w:hAnsi="宋体" w:eastAsia="宋体" w:cs="宋体"/>
          <w:sz w:val="24"/>
        </w:rPr>
        <w:t>规定的A类评定方法获得；二是傅立叶变换红外光谱仪的半球辐射率示值引入的测量不确定度分量，该分量的大小根据上级计量部门或傅立叶变换红外光谱仪厂家提供的辐射率的最大允许误差或扩展不确定度数据，按照</w:t>
      </w:r>
      <w:r>
        <w:rPr>
          <w:rFonts w:eastAsia="宋体"/>
          <w:sz w:val="24"/>
        </w:rPr>
        <w:t>JJF1059.1</w:t>
      </w:r>
      <w:r>
        <w:rPr>
          <w:rFonts w:hint="eastAsia" w:ascii="宋体" w:hAnsi="宋体" w:eastAsia="宋体" w:cs="宋体"/>
          <w:sz w:val="24"/>
        </w:rPr>
        <w:t>规定的B类评定方法来获得。最后，计算两不确定度分量的合成标准不确定度及其扩展不确定度。</w:t>
      </w:r>
      <w:bookmarkEnd w:id="154"/>
      <w:bookmarkEnd w:id="155"/>
      <w:bookmarkEnd w:id="156"/>
    </w:p>
    <w:p>
      <w:pPr>
        <w:pStyle w:val="2"/>
        <w:rPr>
          <w:rFonts w:ascii="黑体" w:hAnsi="黑体" w:eastAsia="黑体" w:cs="黑体"/>
          <w:szCs w:val="28"/>
        </w:rPr>
      </w:pPr>
      <w:bookmarkStart w:id="157" w:name="_Toc14315"/>
      <w:bookmarkStart w:id="158" w:name="_Toc32014"/>
      <w:bookmarkStart w:id="159" w:name="_Toc6107"/>
      <w:bookmarkStart w:id="160" w:name="_Toc32744"/>
      <w:bookmarkStart w:id="161" w:name="_Toc12315"/>
      <w:bookmarkStart w:id="162" w:name="_Toc32211"/>
      <w:bookmarkStart w:id="163" w:name="_Toc11137"/>
      <w:bookmarkStart w:id="164" w:name="_Toc14565"/>
      <w:bookmarkStart w:id="165" w:name="_Toc30302"/>
      <w:bookmarkStart w:id="166" w:name="_Toc26658"/>
      <w:bookmarkStart w:id="167" w:name="_Toc12310"/>
      <w:bookmarkStart w:id="168" w:name="_Toc31661"/>
      <w:bookmarkStart w:id="169" w:name="_Toc23543"/>
      <w:r>
        <w:rPr>
          <w:rFonts w:hint="eastAsia" w:ascii="黑体" w:hAnsi="黑体" w:eastAsia="黑体" w:cs="黑体"/>
          <w:szCs w:val="28"/>
        </w:rPr>
        <w:t>附录</w:t>
      </w:r>
      <w:bookmarkEnd w:id="157"/>
      <w:bookmarkEnd w:id="158"/>
      <w:bookmarkEnd w:id="159"/>
      <w:bookmarkEnd w:id="160"/>
      <w:bookmarkEnd w:id="161"/>
      <w:bookmarkEnd w:id="162"/>
      <w:bookmarkEnd w:id="163"/>
      <w:bookmarkEnd w:id="164"/>
      <w:bookmarkEnd w:id="165"/>
      <w:bookmarkStart w:id="170" w:name="_Toc24491"/>
      <w:r>
        <w:rPr>
          <w:rFonts w:hint="eastAsia" w:ascii="黑体" w:hAnsi="黑体" w:eastAsia="黑体" w:cs="黑体"/>
          <w:szCs w:val="28"/>
        </w:rPr>
        <w:t>B</w:t>
      </w:r>
      <w:bookmarkEnd w:id="166"/>
      <w:bookmarkEnd w:id="167"/>
      <w:bookmarkEnd w:id="168"/>
      <w:bookmarkEnd w:id="169"/>
    </w:p>
    <w:p>
      <w:pPr>
        <w:pStyle w:val="2"/>
        <w:rPr>
          <w:rFonts w:ascii="黑体" w:hAnsi="黑体" w:eastAsia="黑体" w:cs="黑体"/>
          <w:szCs w:val="28"/>
        </w:rPr>
      </w:pPr>
      <w:bookmarkStart w:id="171" w:name="_Toc1986"/>
      <w:bookmarkStart w:id="172" w:name="_Toc8532"/>
      <w:bookmarkStart w:id="173" w:name="_Toc21580"/>
      <w:bookmarkStart w:id="174" w:name="_Toc9819"/>
      <w:bookmarkStart w:id="175" w:name="_Toc18633"/>
      <w:bookmarkStart w:id="176" w:name="_Toc877"/>
      <w:r>
        <w:rPr>
          <w:rFonts w:hint="eastAsia" w:ascii="黑体" w:hAnsi="黑体" w:eastAsia="黑体" w:cs="黑体"/>
          <w:szCs w:val="28"/>
        </w:rPr>
        <w:t>低辐射镀膜玻璃膜面辐射率测试仪校准记录参考格式</w:t>
      </w:r>
      <w:bookmarkEnd w:id="171"/>
      <w:bookmarkEnd w:id="172"/>
      <w:bookmarkEnd w:id="173"/>
      <w:bookmarkEnd w:id="174"/>
      <w:bookmarkEnd w:id="175"/>
      <w:bookmarkEnd w:id="176"/>
    </w:p>
    <w:p>
      <w:pPr>
        <w:widowControl/>
        <w:rPr>
          <w:kern w:val="0"/>
          <w:sz w:val="24"/>
        </w:rPr>
      </w:pPr>
      <w:r>
        <w:rPr>
          <w:kern w:val="0"/>
          <w:sz w:val="24"/>
        </w:rPr>
        <w:t>送校单位________________________ 器具名称___________________________</w:t>
      </w:r>
    </w:p>
    <w:p>
      <w:pPr>
        <w:widowControl/>
        <w:rPr>
          <w:kern w:val="0"/>
          <w:sz w:val="24"/>
        </w:rPr>
      </w:pPr>
      <w:r>
        <w:rPr>
          <w:kern w:val="0"/>
          <w:sz w:val="24"/>
        </w:rPr>
        <w:t>制造厂商________________________ 型号规格___________________________</w:t>
      </w:r>
    </w:p>
    <w:p>
      <w:pPr>
        <w:widowControl/>
        <w:rPr>
          <w:kern w:val="0"/>
          <w:sz w:val="24"/>
        </w:rPr>
      </w:pPr>
      <w:r>
        <w:rPr>
          <w:kern w:val="0"/>
          <w:sz w:val="24"/>
        </w:rPr>
        <w:t>器具编号________________________</w:t>
      </w:r>
    </w:p>
    <w:p>
      <w:pPr>
        <w:widowControl/>
        <w:rPr>
          <w:kern w:val="0"/>
          <w:sz w:val="24"/>
        </w:rPr>
      </w:pPr>
    </w:p>
    <w:p>
      <w:pPr>
        <w:widowControl/>
        <w:rPr>
          <w:kern w:val="0"/>
          <w:sz w:val="24"/>
        </w:rPr>
      </w:pPr>
      <w:r>
        <w:rPr>
          <w:kern w:val="0"/>
          <w:sz w:val="24"/>
        </w:rPr>
        <w:t>校准环境：温度：_______℃； 相对湿度：________%</w:t>
      </w:r>
    </w:p>
    <w:p>
      <w:pPr>
        <w:widowControl/>
        <w:rPr>
          <w:kern w:val="0"/>
          <w:sz w:val="24"/>
        </w:rPr>
      </w:pPr>
      <w:r>
        <w:rPr>
          <w:kern w:val="0"/>
          <w:sz w:val="24"/>
        </w:rPr>
        <w:t>校准日期_____________________</w:t>
      </w:r>
    </w:p>
    <w:p>
      <w:pPr>
        <w:widowControl/>
        <w:rPr>
          <w:kern w:val="0"/>
          <w:sz w:val="24"/>
        </w:rPr>
      </w:pPr>
      <w:r>
        <w:rPr>
          <w:kern w:val="0"/>
          <w:sz w:val="24"/>
        </w:rPr>
        <w:t>校准员_______________ 核验员______________</w:t>
      </w:r>
    </w:p>
    <w:p>
      <w:pPr>
        <w:widowControl/>
        <w:rPr>
          <w:kern w:val="0"/>
          <w:sz w:val="24"/>
        </w:rPr>
      </w:pPr>
      <w:r>
        <w:rPr>
          <w:kern w:val="0"/>
          <w:sz w:val="24"/>
        </w:rPr>
        <w:t>校准依据_____________</w:t>
      </w:r>
    </w:p>
    <w:p>
      <w:pPr>
        <w:widowControl/>
        <w:rPr>
          <w:kern w:val="0"/>
          <w:szCs w:val="21"/>
        </w:rPr>
      </w:pPr>
      <w:r>
        <w:rPr>
          <w:kern w:val="0"/>
          <w:sz w:val="24"/>
        </w:rPr>
        <w:t>校准用主要计量标准样品：</w:t>
      </w:r>
    </w:p>
    <w:tbl>
      <w:tblPr>
        <w:tblStyle w:val="14"/>
        <w:tblW w:w="771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8"/>
        <w:gridCol w:w="1671"/>
        <w:gridCol w:w="1110"/>
        <w:gridCol w:w="1110"/>
        <w:gridCol w:w="1010"/>
        <w:gridCol w:w="1153"/>
        <w:gridCol w:w="9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8" w:type="dxa"/>
            <w:noWrap/>
            <w:vAlign w:val="center"/>
          </w:tcPr>
          <w:p>
            <w:pPr>
              <w:widowControl/>
              <w:rPr>
                <w:rFonts w:ascii="宋体" w:hAnsi="宋体" w:cs="宋体"/>
                <w:kern w:val="0"/>
                <w:szCs w:val="21"/>
              </w:rPr>
            </w:pPr>
            <w:r>
              <w:rPr>
                <w:rFonts w:hint="eastAsia" w:ascii="宋体" w:hAnsi="宋体" w:cs="宋体"/>
                <w:kern w:val="0"/>
                <w:szCs w:val="21"/>
              </w:rPr>
              <w:t>计量特性</w:t>
            </w:r>
          </w:p>
        </w:tc>
        <w:tc>
          <w:tcPr>
            <w:tcW w:w="1671" w:type="dxa"/>
            <w:noWrap/>
            <w:vAlign w:val="center"/>
          </w:tcPr>
          <w:p>
            <w:pPr>
              <w:widowControl/>
              <w:jc w:val="center"/>
              <w:rPr>
                <w:rFonts w:ascii="宋体" w:hAnsi="宋体" w:cs="宋体"/>
                <w:kern w:val="0"/>
                <w:szCs w:val="21"/>
              </w:rPr>
            </w:pPr>
            <w:r>
              <w:rPr>
                <w:rFonts w:hint="eastAsia" w:ascii="宋体" w:hAnsi="宋体"/>
                <w:bCs/>
                <w:color w:val="000000"/>
                <w:szCs w:val="21"/>
              </w:rPr>
              <w:t>标准样品</w:t>
            </w:r>
          </w:p>
        </w:tc>
        <w:tc>
          <w:tcPr>
            <w:tcW w:w="1110" w:type="dxa"/>
            <w:noWrap/>
            <w:vAlign w:val="center"/>
          </w:tcPr>
          <w:p>
            <w:pPr>
              <w:widowControl/>
              <w:jc w:val="center"/>
              <w:rPr>
                <w:rFonts w:ascii="宋体" w:hAnsi="宋体" w:cs="宋体"/>
                <w:kern w:val="0"/>
                <w:szCs w:val="21"/>
              </w:rPr>
            </w:pPr>
            <w:r>
              <w:rPr>
                <w:rFonts w:hint="eastAsia" w:ascii="宋体" w:hAnsi="宋体" w:cs="宋体"/>
                <w:kern w:val="0"/>
                <w:szCs w:val="21"/>
              </w:rPr>
              <w:t>型号规格</w:t>
            </w:r>
          </w:p>
        </w:tc>
        <w:tc>
          <w:tcPr>
            <w:tcW w:w="1110" w:type="dxa"/>
            <w:noWrap/>
            <w:vAlign w:val="center"/>
          </w:tcPr>
          <w:p>
            <w:pPr>
              <w:widowControl/>
              <w:jc w:val="center"/>
              <w:rPr>
                <w:rFonts w:ascii="宋体" w:hAnsi="宋体" w:cs="宋体"/>
                <w:kern w:val="0"/>
                <w:szCs w:val="21"/>
              </w:rPr>
            </w:pPr>
            <w:r>
              <w:rPr>
                <w:rFonts w:hint="eastAsia" w:ascii="宋体" w:hAnsi="宋体" w:cs="宋体"/>
                <w:kern w:val="0"/>
                <w:szCs w:val="21"/>
              </w:rPr>
              <w:t>证书号</w:t>
            </w:r>
          </w:p>
        </w:tc>
        <w:tc>
          <w:tcPr>
            <w:tcW w:w="1010" w:type="dxa"/>
            <w:noWrap/>
            <w:vAlign w:val="center"/>
          </w:tcPr>
          <w:p>
            <w:pPr>
              <w:widowControl/>
              <w:jc w:val="center"/>
              <w:rPr>
                <w:rFonts w:ascii="宋体" w:hAnsi="宋体" w:cs="宋体"/>
                <w:kern w:val="0"/>
                <w:szCs w:val="21"/>
              </w:rPr>
            </w:pPr>
            <w:r>
              <w:rPr>
                <w:rFonts w:hint="eastAsia" w:ascii="宋体" w:hAnsi="宋体" w:cs="宋体"/>
                <w:kern w:val="0"/>
                <w:szCs w:val="21"/>
              </w:rPr>
              <w:t>标准值</w:t>
            </w:r>
          </w:p>
        </w:tc>
        <w:tc>
          <w:tcPr>
            <w:tcW w:w="1153" w:type="dxa"/>
            <w:noWrap/>
            <w:vAlign w:val="center"/>
          </w:tcPr>
          <w:p>
            <w:pPr>
              <w:widowControl/>
              <w:jc w:val="center"/>
              <w:rPr>
                <w:rFonts w:ascii="宋体" w:hAnsi="宋体" w:cs="宋体"/>
                <w:kern w:val="0"/>
                <w:szCs w:val="21"/>
              </w:rPr>
            </w:pPr>
            <w:r>
              <w:rPr>
                <w:rFonts w:hint="eastAsia" w:ascii="宋体" w:hAnsi="宋体" w:cs="宋体"/>
                <w:kern w:val="0"/>
                <w:szCs w:val="21"/>
              </w:rPr>
              <w:t>不确定度</w:t>
            </w:r>
          </w:p>
        </w:tc>
        <w:tc>
          <w:tcPr>
            <w:tcW w:w="959" w:type="dxa"/>
            <w:noWrap/>
            <w:vAlign w:val="center"/>
          </w:tcPr>
          <w:p>
            <w:pPr>
              <w:widowControl/>
              <w:jc w:val="center"/>
              <w:rPr>
                <w:rFonts w:ascii="宋体" w:hAnsi="宋体" w:cs="宋体"/>
                <w:kern w:val="0"/>
                <w:szCs w:val="21"/>
              </w:rPr>
            </w:pPr>
            <w:r>
              <w:rPr>
                <w:rFonts w:hint="eastAsia" w:ascii="宋体" w:hAnsi="宋体" w:cs="宋体"/>
                <w:kern w:val="0"/>
                <w:szCs w:val="21"/>
              </w:rPr>
              <w:t>有效期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8" w:type="dxa"/>
            <w:vMerge w:val="restart"/>
            <w:noWrap/>
            <w:vAlign w:val="center"/>
          </w:tcPr>
          <w:p>
            <w:pPr>
              <w:widowControl/>
              <w:jc w:val="center"/>
              <w:rPr>
                <w:rFonts w:ascii="宋体" w:hAnsi="宋体" w:cs="宋体"/>
                <w:kern w:val="0"/>
                <w:szCs w:val="21"/>
              </w:rPr>
            </w:pPr>
            <w:r>
              <w:rPr>
                <w:rFonts w:hint="eastAsia" w:ascii="宋体" w:hAnsi="宋体" w:cs="宋体"/>
                <w:kern w:val="0"/>
                <w:szCs w:val="21"/>
              </w:rPr>
              <w:t>辐射率</w:t>
            </w:r>
          </w:p>
        </w:tc>
        <w:tc>
          <w:tcPr>
            <w:tcW w:w="1671" w:type="dxa"/>
            <w:noWrap/>
            <w:vAlign w:val="center"/>
          </w:tcPr>
          <w:p>
            <w:pPr>
              <w:widowControl/>
              <w:jc w:val="center"/>
              <w:rPr>
                <w:rFonts w:ascii="宋体" w:hAnsi="宋体"/>
                <w:bCs/>
                <w:color w:val="000000"/>
                <w:szCs w:val="21"/>
              </w:rPr>
            </w:pPr>
            <w:r>
              <w:rPr>
                <w:rFonts w:hint="eastAsia" w:ascii="宋体" w:hAnsi="宋体"/>
                <w:bCs/>
                <w:color w:val="000000"/>
                <w:szCs w:val="21"/>
              </w:rPr>
              <w:t>标准样品A</w:t>
            </w:r>
          </w:p>
        </w:tc>
        <w:tc>
          <w:tcPr>
            <w:tcW w:w="1110" w:type="dxa"/>
            <w:noWrap/>
            <w:vAlign w:val="center"/>
          </w:tcPr>
          <w:p>
            <w:pPr>
              <w:widowControl/>
              <w:jc w:val="center"/>
              <w:rPr>
                <w:rFonts w:ascii="宋体" w:hAnsi="宋体" w:cs="宋体"/>
                <w:kern w:val="0"/>
                <w:szCs w:val="21"/>
              </w:rPr>
            </w:pPr>
          </w:p>
        </w:tc>
        <w:tc>
          <w:tcPr>
            <w:tcW w:w="1110" w:type="dxa"/>
            <w:noWrap/>
            <w:vAlign w:val="center"/>
          </w:tcPr>
          <w:p>
            <w:pPr>
              <w:widowControl/>
              <w:jc w:val="center"/>
              <w:rPr>
                <w:rFonts w:ascii="宋体" w:hAnsi="宋体" w:cs="宋体"/>
                <w:kern w:val="0"/>
                <w:szCs w:val="21"/>
              </w:rPr>
            </w:pPr>
          </w:p>
        </w:tc>
        <w:tc>
          <w:tcPr>
            <w:tcW w:w="1010" w:type="dxa"/>
            <w:noWrap/>
            <w:vAlign w:val="center"/>
          </w:tcPr>
          <w:p>
            <w:pPr>
              <w:widowControl/>
              <w:jc w:val="center"/>
              <w:rPr>
                <w:rFonts w:ascii="宋体" w:hAnsi="宋体"/>
                <w:bCs/>
                <w:color w:val="000000"/>
                <w:szCs w:val="21"/>
              </w:rPr>
            </w:pPr>
          </w:p>
        </w:tc>
        <w:tc>
          <w:tcPr>
            <w:tcW w:w="1153" w:type="dxa"/>
            <w:noWrap/>
            <w:vAlign w:val="center"/>
          </w:tcPr>
          <w:p>
            <w:pPr>
              <w:widowControl/>
              <w:jc w:val="center"/>
              <w:rPr>
                <w:rFonts w:ascii="宋体" w:hAnsi="宋体"/>
                <w:bCs/>
                <w:color w:val="000000"/>
                <w:szCs w:val="21"/>
              </w:rPr>
            </w:pPr>
          </w:p>
        </w:tc>
        <w:tc>
          <w:tcPr>
            <w:tcW w:w="959" w:type="dxa"/>
            <w:noWrap/>
            <w:vAlign w:val="center"/>
          </w:tcPr>
          <w:p>
            <w:pPr>
              <w:widowControl/>
              <w:jc w:val="center"/>
              <w:rPr>
                <w:rFonts w:ascii="宋体" w:hAnsi="宋体"/>
                <w:bCs/>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8" w:type="dxa"/>
            <w:vMerge w:val="continue"/>
            <w:noWrap/>
            <w:vAlign w:val="center"/>
          </w:tcPr>
          <w:p>
            <w:pPr>
              <w:widowControl/>
              <w:jc w:val="center"/>
              <w:rPr>
                <w:rFonts w:ascii="宋体" w:hAnsi="宋体" w:cs="宋体"/>
                <w:kern w:val="0"/>
                <w:szCs w:val="21"/>
              </w:rPr>
            </w:pPr>
          </w:p>
        </w:tc>
        <w:tc>
          <w:tcPr>
            <w:tcW w:w="1671" w:type="dxa"/>
            <w:noWrap/>
            <w:vAlign w:val="center"/>
          </w:tcPr>
          <w:p>
            <w:pPr>
              <w:widowControl/>
              <w:jc w:val="center"/>
              <w:rPr>
                <w:rFonts w:ascii="宋体" w:hAnsi="宋体"/>
                <w:bCs/>
                <w:color w:val="000000"/>
                <w:szCs w:val="21"/>
              </w:rPr>
            </w:pPr>
            <w:r>
              <w:rPr>
                <w:rFonts w:hint="eastAsia" w:ascii="宋体" w:hAnsi="宋体"/>
                <w:bCs/>
                <w:color w:val="000000"/>
                <w:szCs w:val="21"/>
              </w:rPr>
              <w:t>标准样品B</w:t>
            </w:r>
          </w:p>
        </w:tc>
        <w:tc>
          <w:tcPr>
            <w:tcW w:w="1110" w:type="dxa"/>
            <w:noWrap/>
            <w:vAlign w:val="center"/>
          </w:tcPr>
          <w:p>
            <w:pPr>
              <w:widowControl/>
              <w:jc w:val="center"/>
              <w:rPr>
                <w:rFonts w:ascii="宋体" w:hAnsi="宋体" w:cs="宋体"/>
                <w:kern w:val="0"/>
                <w:szCs w:val="21"/>
              </w:rPr>
            </w:pPr>
          </w:p>
        </w:tc>
        <w:tc>
          <w:tcPr>
            <w:tcW w:w="1110" w:type="dxa"/>
            <w:noWrap/>
            <w:vAlign w:val="center"/>
          </w:tcPr>
          <w:p>
            <w:pPr>
              <w:widowControl/>
              <w:jc w:val="center"/>
              <w:rPr>
                <w:rFonts w:ascii="宋体" w:hAnsi="宋体" w:cs="宋体"/>
                <w:kern w:val="0"/>
                <w:szCs w:val="21"/>
              </w:rPr>
            </w:pPr>
          </w:p>
        </w:tc>
        <w:tc>
          <w:tcPr>
            <w:tcW w:w="1010" w:type="dxa"/>
            <w:noWrap/>
            <w:vAlign w:val="center"/>
          </w:tcPr>
          <w:p>
            <w:pPr>
              <w:widowControl/>
              <w:jc w:val="center"/>
              <w:rPr>
                <w:rFonts w:ascii="宋体" w:hAnsi="宋体"/>
                <w:bCs/>
                <w:color w:val="000000"/>
                <w:szCs w:val="21"/>
              </w:rPr>
            </w:pPr>
          </w:p>
        </w:tc>
        <w:tc>
          <w:tcPr>
            <w:tcW w:w="1153" w:type="dxa"/>
            <w:noWrap/>
            <w:vAlign w:val="center"/>
          </w:tcPr>
          <w:p>
            <w:pPr>
              <w:widowControl/>
              <w:jc w:val="center"/>
              <w:rPr>
                <w:rFonts w:ascii="宋体" w:hAnsi="宋体"/>
                <w:bCs/>
                <w:color w:val="000000"/>
                <w:szCs w:val="21"/>
              </w:rPr>
            </w:pPr>
          </w:p>
        </w:tc>
        <w:tc>
          <w:tcPr>
            <w:tcW w:w="959" w:type="dxa"/>
            <w:noWrap/>
            <w:vAlign w:val="center"/>
          </w:tcPr>
          <w:p>
            <w:pPr>
              <w:widowControl/>
              <w:jc w:val="center"/>
              <w:rPr>
                <w:rFonts w:ascii="宋体" w:hAnsi="宋体"/>
                <w:bCs/>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698" w:type="dxa"/>
            <w:vMerge w:val="continue"/>
            <w:noWrap/>
            <w:vAlign w:val="center"/>
          </w:tcPr>
          <w:p>
            <w:pPr>
              <w:widowControl/>
              <w:jc w:val="center"/>
              <w:rPr>
                <w:rFonts w:ascii="宋体" w:hAnsi="宋体" w:cs="宋体"/>
                <w:kern w:val="0"/>
                <w:szCs w:val="21"/>
              </w:rPr>
            </w:pPr>
          </w:p>
        </w:tc>
        <w:tc>
          <w:tcPr>
            <w:tcW w:w="1671" w:type="dxa"/>
            <w:noWrap/>
            <w:vAlign w:val="center"/>
          </w:tcPr>
          <w:p>
            <w:pPr>
              <w:widowControl/>
              <w:jc w:val="center"/>
              <w:rPr>
                <w:rFonts w:ascii="宋体" w:hAnsi="宋体" w:cs="宋体"/>
                <w:color w:val="000000"/>
                <w:kern w:val="0"/>
                <w:szCs w:val="21"/>
              </w:rPr>
            </w:pPr>
            <w:r>
              <w:rPr>
                <w:rFonts w:hint="eastAsia" w:ascii="宋体" w:hAnsi="宋体"/>
                <w:bCs/>
                <w:color w:val="000000"/>
                <w:szCs w:val="21"/>
              </w:rPr>
              <w:t>标准样品C</w:t>
            </w:r>
          </w:p>
        </w:tc>
        <w:tc>
          <w:tcPr>
            <w:tcW w:w="1110" w:type="dxa"/>
            <w:noWrap/>
            <w:vAlign w:val="center"/>
          </w:tcPr>
          <w:p>
            <w:pPr>
              <w:widowControl/>
              <w:jc w:val="center"/>
              <w:rPr>
                <w:rFonts w:ascii="宋体" w:hAnsi="宋体" w:cs="宋体"/>
                <w:kern w:val="0"/>
                <w:szCs w:val="21"/>
              </w:rPr>
            </w:pPr>
          </w:p>
        </w:tc>
        <w:tc>
          <w:tcPr>
            <w:tcW w:w="1110" w:type="dxa"/>
            <w:noWrap/>
            <w:vAlign w:val="center"/>
          </w:tcPr>
          <w:p>
            <w:pPr>
              <w:widowControl/>
              <w:jc w:val="center"/>
              <w:rPr>
                <w:rFonts w:ascii="宋体" w:hAnsi="宋体" w:cs="宋体"/>
                <w:kern w:val="0"/>
                <w:szCs w:val="21"/>
              </w:rPr>
            </w:pPr>
          </w:p>
        </w:tc>
        <w:tc>
          <w:tcPr>
            <w:tcW w:w="1010" w:type="dxa"/>
            <w:noWrap/>
            <w:vAlign w:val="center"/>
          </w:tcPr>
          <w:p>
            <w:pPr>
              <w:widowControl/>
              <w:jc w:val="center"/>
              <w:rPr>
                <w:rFonts w:ascii="宋体" w:hAnsi="宋体"/>
                <w:bCs/>
                <w:color w:val="000000"/>
                <w:szCs w:val="21"/>
              </w:rPr>
            </w:pPr>
          </w:p>
        </w:tc>
        <w:tc>
          <w:tcPr>
            <w:tcW w:w="1153" w:type="dxa"/>
            <w:noWrap/>
            <w:vAlign w:val="center"/>
          </w:tcPr>
          <w:p>
            <w:pPr>
              <w:widowControl/>
              <w:jc w:val="center"/>
              <w:rPr>
                <w:rFonts w:ascii="宋体" w:hAnsi="宋体"/>
                <w:bCs/>
                <w:color w:val="000000"/>
                <w:szCs w:val="21"/>
              </w:rPr>
            </w:pPr>
          </w:p>
        </w:tc>
        <w:tc>
          <w:tcPr>
            <w:tcW w:w="959" w:type="dxa"/>
            <w:noWrap/>
            <w:vAlign w:val="center"/>
          </w:tcPr>
          <w:p>
            <w:pPr>
              <w:widowControl/>
              <w:jc w:val="center"/>
              <w:rPr>
                <w:rFonts w:ascii="宋体" w:hAnsi="宋体"/>
                <w:bCs/>
                <w:color w:val="000000"/>
                <w:szCs w:val="21"/>
              </w:rPr>
            </w:pPr>
          </w:p>
        </w:tc>
      </w:tr>
    </w:tbl>
    <w:p>
      <w:pPr>
        <w:widowControl/>
        <w:rPr>
          <w:kern w:val="0"/>
          <w:szCs w:val="21"/>
        </w:rPr>
      </w:pPr>
    </w:p>
    <w:p>
      <w:pPr>
        <w:widowControl/>
        <w:rPr>
          <w:kern w:val="0"/>
          <w:sz w:val="24"/>
        </w:rPr>
      </w:pPr>
      <w:r>
        <w:rPr>
          <w:kern w:val="0"/>
          <w:sz w:val="24"/>
        </w:rPr>
        <w:t>校准项目：</w:t>
      </w:r>
    </w:p>
    <w:p>
      <w:pPr>
        <w:widowControl/>
        <w:numPr>
          <w:ilvl w:val="0"/>
          <w:numId w:val="3"/>
        </w:numPr>
        <w:rPr>
          <w:bCs/>
          <w:color w:val="000000"/>
          <w:sz w:val="24"/>
        </w:rPr>
      </w:pPr>
      <w:r>
        <w:rPr>
          <w:rFonts w:hint="eastAsia"/>
          <w:bCs/>
          <w:color w:val="000000"/>
          <w:sz w:val="24"/>
        </w:rPr>
        <w:t>仪器</w:t>
      </w:r>
      <w:r>
        <w:rPr>
          <w:bCs/>
          <w:color w:val="000000"/>
          <w:sz w:val="24"/>
        </w:rPr>
        <w:t>示值误差及重复性</w:t>
      </w:r>
    </w:p>
    <w:tbl>
      <w:tblPr>
        <w:tblStyle w:val="14"/>
        <w:tblW w:w="869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8"/>
        <w:gridCol w:w="1231"/>
        <w:gridCol w:w="681"/>
        <w:gridCol w:w="434"/>
        <w:gridCol w:w="342"/>
        <w:gridCol w:w="343"/>
        <w:gridCol w:w="386"/>
        <w:gridCol w:w="375"/>
        <w:gridCol w:w="321"/>
        <w:gridCol w:w="846"/>
        <w:gridCol w:w="726"/>
        <w:gridCol w:w="658"/>
        <w:gridCol w:w="969"/>
        <w:gridCol w:w="6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restart"/>
            <w:noWrap/>
            <w:vAlign w:val="center"/>
          </w:tcPr>
          <w:p>
            <w:pPr>
              <w:widowControl/>
              <w:jc w:val="center"/>
              <w:rPr>
                <w:rFonts w:ascii="宋体" w:hAnsi="宋体" w:cs="宋体"/>
                <w:kern w:val="0"/>
                <w:szCs w:val="21"/>
              </w:rPr>
            </w:pPr>
            <w:r>
              <w:rPr>
                <w:rFonts w:hint="eastAsia" w:ascii="宋体" w:hAnsi="宋体" w:cs="宋体"/>
                <w:kern w:val="0"/>
                <w:szCs w:val="21"/>
              </w:rPr>
              <w:t>计量特性</w:t>
            </w:r>
          </w:p>
        </w:tc>
        <w:tc>
          <w:tcPr>
            <w:tcW w:w="1231" w:type="dxa"/>
            <w:vMerge w:val="restart"/>
            <w:noWrap/>
            <w:vAlign w:val="center"/>
          </w:tcPr>
          <w:p>
            <w:pPr>
              <w:widowControl/>
              <w:jc w:val="center"/>
              <w:rPr>
                <w:rFonts w:ascii="宋体" w:hAnsi="宋体" w:cs="宋体"/>
                <w:kern w:val="0"/>
                <w:szCs w:val="21"/>
              </w:rPr>
            </w:pPr>
            <w:r>
              <w:rPr>
                <w:rFonts w:hint="eastAsia" w:ascii="宋体" w:hAnsi="宋体"/>
                <w:bCs/>
                <w:color w:val="000000"/>
                <w:szCs w:val="21"/>
              </w:rPr>
              <w:t>标准样品</w:t>
            </w:r>
          </w:p>
        </w:tc>
        <w:tc>
          <w:tcPr>
            <w:tcW w:w="681" w:type="dxa"/>
            <w:vMerge w:val="restart"/>
            <w:noWrap/>
            <w:vAlign w:val="center"/>
          </w:tcPr>
          <w:p>
            <w:pPr>
              <w:widowControl/>
              <w:jc w:val="center"/>
              <w:rPr>
                <w:rFonts w:ascii="宋体" w:hAnsi="宋体" w:cs="宋体"/>
                <w:kern w:val="0"/>
                <w:szCs w:val="21"/>
              </w:rPr>
            </w:pPr>
            <w:r>
              <w:rPr>
                <w:rFonts w:hint="eastAsia" w:ascii="宋体" w:hAnsi="宋体" w:cs="宋体"/>
                <w:kern w:val="0"/>
                <w:szCs w:val="21"/>
              </w:rPr>
              <w:t>标准值</w:t>
            </w:r>
          </w:p>
        </w:tc>
        <w:tc>
          <w:tcPr>
            <w:tcW w:w="4431" w:type="dxa"/>
            <w:gridSpan w:val="9"/>
            <w:noWrap/>
            <w:vAlign w:val="center"/>
          </w:tcPr>
          <w:p>
            <w:pPr>
              <w:widowControl/>
              <w:jc w:val="center"/>
              <w:rPr>
                <w:rFonts w:ascii="宋体" w:hAnsi="宋体" w:cs="宋体"/>
                <w:kern w:val="0"/>
                <w:szCs w:val="21"/>
              </w:rPr>
            </w:pPr>
            <w:r>
              <w:rPr>
                <w:rFonts w:hint="eastAsia" w:ascii="宋体" w:hAnsi="宋体" w:cs="宋体"/>
                <w:kern w:val="0"/>
                <w:szCs w:val="21"/>
              </w:rPr>
              <w:t>仪器示值</w:t>
            </w:r>
          </w:p>
        </w:tc>
        <w:tc>
          <w:tcPr>
            <w:tcW w:w="969" w:type="dxa"/>
            <w:vMerge w:val="restart"/>
            <w:noWrap/>
            <w:vAlign w:val="center"/>
          </w:tcPr>
          <w:p>
            <w:pPr>
              <w:widowControl/>
              <w:jc w:val="center"/>
              <w:rPr>
                <w:rFonts w:ascii="宋体" w:hAnsi="宋体" w:cs="宋体"/>
                <w:kern w:val="0"/>
                <w:szCs w:val="21"/>
              </w:rPr>
            </w:pPr>
            <w:r>
              <w:rPr>
                <w:rFonts w:hint="eastAsia" w:ascii="宋体" w:hAnsi="宋体" w:cs="宋体"/>
                <w:kern w:val="0"/>
                <w:szCs w:val="21"/>
              </w:rPr>
              <w:t>仪器示值误差</w:t>
            </w:r>
          </w:p>
        </w:tc>
        <w:tc>
          <w:tcPr>
            <w:tcW w:w="658" w:type="dxa"/>
            <w:vMerge w:val="restart"/>
            <w:noWrap/>
            <w:vAlign w:val="center"/>
          </w:tcPr>
          <w:p>
            <w:pPr>
              <w:widowControl/>
              <w:jc w:val="center"/>
              <w:rPr>
                <w:rFonts w:ascii="宋体" w:hAnsi="宋体" w:cs="宋体"/>
                <w:kern w:val="0"/>
                <w:szCs w:val="21"/>
              </w:rPr>
            </w:pPr>
            <w:r>
              <w:rPr>
                <w:rFonts w:hint="eastAsia" w:ascii="宋体" w:hAnsi="宋体" w:cs="宋体"/>
                <w:kern w:val="0"/>
                <w:szCs w:val="21"/>
              </w:rPr>
              <w:t>重复性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noWrap/>
            <w:vAlign w:val="center"/>
          </w:tcPr>
          <w:p>
            <w:pPr>
              <w:widowControl/>
              <w:jc w:val="center"/>
              <w:rPr>
                <w:rFonts w:ascii="宋体" w:hAnsi="宋体" w:cs="宋体"/>
                <w:kern w:val="0"/>
                <w:szCs w:val="21"/>
              </w:rPr>
            </w:pPr>
          </w:p>
        </w:tc>
        <w:tc>
          <w:tcPr>
            <w:tcW w:w="1231" w:type="dxa"/>
            <w:vMerge w:val="continue"/>
            <w:noWrap/>
            <w:vAlign w:val="center"/>
          </w:tcPr>
          <w:p>
            <w:pPr>
              <w:widowControl/>
              <w:jc w:val="center"/>
              <w:rPr>
                <w:rFonts w:ascii="宋体" w:hAnsi="宋体" w:cs="宋体"/>
                <w:kern w:val="0"/>
                <w:szCs w:val="21"/>
              </w:rPr>
            </w:pPr>
          </w:p>
        </w:tc>
        <w:tc>
          <w:tcPr>
            <w:tcW w:w="681" w:type="dxa"/>
            <w:vMerge w:val="continue"/>
            <w:noWrap/>
            <w:vAlign w:val="center"/>
          </w:tcPr>
          <w:p>
            <w:pPr>
              <w:widowControl/>
              <w:jc w:val="center"/>
              <w:rPr>
                <w:rFonts w:ascii="宋体" w:hAnsi="宋体" w:cs="宋体"/>
                <w:kern w:val="0"/>
                <w:szCs w:val="21"/>
              </w:rPr>
            </w:pPr>
          </w:p>
        </w:tc>
        <w:tc>
          <w:tcPr>
            <w:tcW w:w="434" w:type="dxa"/>
            <w:noWrap/>
            <w:vAlign w:val="center"/>
          </w:tcPr>
          <w:p>
            <w:pPr>
              <w:widowControl/>
              <w:jc w:val="center"/>
              <w:rPr>
                <w:rFonts w:ascii="宋体" w:hAnsi="宋体" w:cs="宋体"/>
                <w:kern w:val="0"/>
                <w:szCs w:val="21"/>
              </w:rPr>
            </w:pPr>
            <w:r>
              <w:rPr>
                <w:rFonts w:hint="eastAsia" w:ascii="宋体" w:hAnsi="宋体" w:cs="宋体"/>
                <w:kern w:val="0"/>
                <w:szCs w:val="21"/>
              </w:rPr>
              <w:t>1</w:t>
            </w:r>
          </w:p>
        </w:tc>
        <w:tc>
          <w:tcPr>
            <w:tcW w:w="342" w:type="dxa"/>
            <w:noWrap/>
            <w:vAlign w:val="center"/>
          </w:tcPr>
          <w:p>
            <w:pPr>
              <w:widowControl/>
              <w:jc w:val="center"/>
              <w:rPr>
                <w:rFonts w:ascii="宋体" w:hAnsi="宋体" w:cs="宋体"/>
                <w:kern w:val="0"/>
                <w:szCs w:val="21"/>
              </w:rPr>
            </w:pPr>
            <w:r>
              <w:rPr>
                <w:rFonts w:hint="eastAsia" w:ascii="宋体" w:hAnsi="宋体" w:cs="宋体"/>
                <w:kern w:val="0"/>
                <w:szCs w:val="21"/>
              </w:rPr>
              <w:t>2</w:t>
            </w:r>
          </w:p>
        </w:tc>
        <w:tc>
          <w:tcPr>
            <w:tcW w:w="343" w:type="dxa"/>
            <w:noWrap/>
            <w:vAlign w:val="center"/>
          </w:tcPr>
          <w:p>
            <w:pPr>
              <w:widowControl/>
              <w:jc w:val="center"/>
              <w:rPr>
                <w:rFonts w:ascii="宋体" w:hAnsi="宋体" w:cs="宋体"/>
                <w:kern w:val="0"/>
                <w:szCs w:val="21"/>
              </w:rPr>
            </w:pPr>
            <w:r>
              <w:rPr>
                <w:rFonts w:hint="eastAsia" w:ascii="宋体" w:hAnsi="宋体" w:cs="宋体"/>
                <w:kern w:val="0"/>
                <w:szCs w:val="21"/>
              </w:rPr>
              <w:t>3</w:t>
            </w:r>
          </w:p>
        </w:tc>
        <w:tc>
          <w:tcPr>
            <w:tcW w:w="386" w:type="dxa"/>
            <w:noWrap/>
            <w:vAlign w:val="center"/>
          </w:tcPr>
          <w:p>
            <w:pPr>
              <w:widowControl/>
              <w:jc w:val="center"/>
              <w:rPr>
                <w:rFonts w:ascii="宋体" w:hAnsi="宋体" w:cs="宋体"/>
                <w:kern w:val="0"/>
                <w:szCs w:val="21"/>
              </w:rPr>
            </w:pPr>
            <w:r>
              <w:rPr>
                <w:rFonts w:hint="eastAsia" w:ascii="宋体" w:hAnsi="宋体" w:cs="宋体"/>
                <w:kern w:val="0"/>
                <w:szCs w:val="21"/>
              </w:rPr>
              <w:t>4</w:t>
            </w:r>
          </w:p>
        </w:tc>
        <w:tc>
          <w:tcPr>
            <w:tcW w:w="375" w:type="dxa"/>
            <w:noWrap/>
            <w:vAlign w:val="center"/>
          </w:tcPr>
          <w:p>
            <w:pPr>
              <w:widowControl/>
              <w:jc w:val="center"/>
              <w:rPr>
                <w:rFonts w:ascii="宋体" w:hAnsi="宋体" w:cs="宋体"/>
                <w:kern w:val="0"/>
                <w:szCs w:val="21"/>
              </w:rPr>
            </w:pPr>
            <w:r>
              <w:rPr>
                <w:rFonts w:hint="eastAsia" w:ascii="宋体" w:hAnsi="宋体" w:cs="宋体"/>
                <w:kern w:val="0"/>
                <w:szCs w:val="21"/>
              </w:rPr>
              <w:t>5</w:t>
            </w:r>
          </w:p>
        </w:tc>
        <w:tc>
          <w:tcPr>
            <w:tcW w:w="321" w:type="dxa"/>
            <w:noWrap/>
            <w:vAlign w:val="center"/>
          </w:tcPr>
          <w:p>
            <w:pPr>
              <w:widowControl/>
              <w:jc w:val="center"/>
              <w:rPr>
                <w:rFonts w:ascii="宋体" w:hAnsi="宋体" w:cs="宋体"/>
                <w:kern w:val="0"/>
                <w:szCs w:val="21"/>
              </w:rPr>
            </w:pPr>
            <w:r>
              <w:rPr>
                <w:rFonts w:hint="eastAsia" w:ascii="宋体" w:hAnsi="宋体" w:cs="宋体"/>
                <w:kern w:val="0"/>
                <w:szCs w:val="21"/>
              </w:rPr>
              <w:t>6</w:t>
            </w:r>
          </w:p>
        </w:tc>
        <w:tc>
          <w:tcPr>
            <w:tcW w:w="846" w:type="dxa"/>
            <w:noWrap/>
            <w:vAlign w:val="center"/>
          </w:tcPr>
          <w:p>
            <w:pPr>
              <w:widowControl/>
              <w:jc w:val="center"/>
              <w:rPr>
                <w:rFonts w:ascii="宋体" w:hAnsi="宋体" w:cs="宋体"/>
                <w:kern w:val="0"/>
                <w:szCs w:val="21"/>
              </w:rPr>
            </w:pPr>
            <w:r>
              <w:rPr>
                <w:rFonts w:hint="eastAsia" w:ascii="宋体" w:hAnsi="宋体" w:cs="宋体"/>
                <w:kern w:val="0"/>
                <w:szCs w:val="21"/>
              </w:rPr>
              <w:t>算术平均值</w:t>
            </w:r>
          </w:p>
        </w:tc>
        <w:tc>
          <w:tcPr>
            <w:tcW w:w="726" w:type="dxa"/>
            <w:noWrap/>
            <w:vAlign w:val="center"/>
          </w:tcPr>
          <w:p>
            <w:pPr>
              <w:widowControl/>
              <w:jc w:val="center"/>
              <w:rPr>
                <w:rFonts w:ascii="宋体" w:hAnsi="宋体" w:cs="宋体"/>
                <w:kern w:val="0"/>
                <w:szCs w:val="21"/>
              </w:rPr>
            </w:pPr>
            <w:r>
              <w:rPr>
                <w:rFonts w:hint="eastAsia" w:ascii="宋体" w:hAnsi="宋体" w:cs="宋体"/>
                <w:color w:val="000000"/>
                <w:kern w:val="0"/>
                <w:szCs w:val="21"/>
              </w:rPr>
              <w:t>示值误差</w:t>
            </w:r>
          </w:p>
        </w:tc>
        <w:tc>
          <w:tcPr>
            <w:tcW w:w="658" w:type="dxa"/>
            <w:noWrap/>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极差</w:t>
            </w:r>
          </w:p>
        </w:tc>
        <w:tc>
          <w:tcPr>
            <w:tcW w:w="969" w:type="dxa"/>
            <w:vMerge w:val="continue"/>
            <w:noWrap/>
            <w:vAlign w:val="center"/>
          </w:tcPr>
          <w:p>
            <w:pPr>
              <w:widowControl/>
              <w:jc w:val="center"/>
              <w:rPr>
                <w:rFonts w:ascii="宋体" w:hAnsi="宋体" w:cs="宋体"/>
                <w:kern w:val="0"/>
                <w:szCs w:val="21"/>
              </w:rPr>
            </w:pPr>
          </w:p>
        </w:tc>
        <w:tc>
          <w:tcPr>
            <w:tcW w:w="658" w:type="dxa"/>
            <w:vMerge w:val="continue"/>
            <w:noWrap/>
            <w:vAlign w:val="center"/>
          </w:tcPr>
          <w:p>
            <w:pPr>
              <w:widowControl/>
              <w:jc w:val="center"/>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 w:hRule="atLeast"/>
          <w:jc w:val="center"/>
        </w:trPr>
        <w:tc>
          <w:tcPr>
            <w:tcW w:w="728" w:type="dxa"/>
            <w:vMerge w:val="restart"/>
            <w:noWrap/>
            <w:vAlign w:val="center"/>
          </w:tcPr>
          <w:p>
            <w:pPr>
              <w:widowControl/>
              <w:jc w:val="center"/>
              <w:rPr>
                <w:rFonts w:ascii="宋体" w:hAnsi="宋体" w:cs="宋体"/>
                <w:kern w:val="0"/>
                <w:szCs w:val="21"/>
              </w:rPr>
            </w:pPr>
            <w:r>
              <w:rPr>
                <w:rFonts w:hint="eastAsia" w:ascii="宋体" w:hAnsi="宋体" w:cs="宋体"/>
                <w:kern w:val="0"/>
                <w:szCs w:val="21"/>
              </w:rPr>
              <w:t>辐射率</w:t>
            </w:r>
          </w:p>
        </w:tc>
        <w:tc>
          <w:tcPr>
            <w:tcW w:w="1231" w:type="dxa"/>
            <w:noWrap/>
            <w:vAlign w:val="center"/>
          </w:tcPr>
          <w:p>
            <w:pPr>
              <w:widowControl/>
              <w:jc w:val="center"/>
              <w:rPr>
                <w:rFonts w:ascii="宋体" w:hAnsi="宋体" w:cs="宋体"/>
                <w:kern w:val="0"/>
                <w:szCs w:val="21"/>
              </w:rPr>
            </w:pPr>
            <w:r>
              <w:rPr>
                <w:rFonts w:hint="eastAsia" w:ascii="宋体" w:hAnsi="宋体"/>
                <w:bCs/>
                <w:color w:val="000000"/>
                <w:szCs w:val="21"/>
              </w:rPr>
              <w:t>标准样品A</w:t>
            </w:r>
          </w:p>
        </w:tc>
        <w:tc>
          <w:tcPr>
            <w:tcW w:w="681" w:type="dxa"/>
            <w:noWrap/>
            <w:vAlign w:val="center"/>
          </w:tcPr>
          <w:p>
            <w:pPr>
              <w:widowControl/>
              <w:jc w:val="center"/>
              <w:rPr>
                <w:rFonts w:ascii="宋体" w:hAnsi="宋体" w:cs="宋体"/>
                <w:kern w:val="0"/>
                <w:szCs w:val="21"/>
              </w:rPr>
            </w:pPr>
          </w:p>
        </w:tc>
        <w:tc>
          <w:tcPr>
            <w:tcW w:w="434" w:type="dxa"/>
            <w:noWrap/>
            <w:vAlign w:val="center"/>
          </w:tcPr>
          <w:p>
            <w:pPr>
              <w:widowControl/>
              <w:jc w:val="center"/>
              <w:rPr>
                <w:rFonts w:ascii="宋体" w:hAnsi="宋体" w:cs="宋体"/>
                <w:kern w:val="0"/>
                <w:szCs w:val="21"/>
              </w:rPr>
            </w:pPr>
          </w:p>
        </w:tc>
        <w:tc>
          <w:tcPr>
            <w:tcW w:w="342" w:type="dxa"/>
            <w:noWrap/>
            <w:vAlign w:val="center"/>
          </w:tcPr>
          <w:p>
            <w:pPr>
              <w:widowControl/>
              <w:jc w:val="center"/>
              <w:rPr>
                <w:rFonts w:ascii="宋体" w:hAnsi="宋体" w:cs="宋体"/>
                <w:kern w:val="0"/>
                <w:szCs w:val="21"/>
              </w:rPr>
            </w:pPr>
          </w:p>
        </w:tc>
        <w:tc>
          <w:tcPr>
            <w:tcW w:w="343" w:type="dxa"/>
            <w:noWrap/>
            <w:vAlign w:val="center"/>
          </w:tcPr>
          <w:p>
            <w:pPr>
              <w:widowControl/>
              <w:jc w:val="center"/>
              <w:rPr>
                <w:rFonts w:ascii="宋体" w:hAnsi="宋体" w:cs="宋体"/>
                <w:kern w:val="0"/>
                <w:szCs w:val="21"/>
              </w:rPr>
            </w:pPr>
          </w:p>
        </w:tc>
        <w:tc>
          <w:tcPr>
            <w:tcW w:w="386" w:type="dxa"/>
            <w:noWrap/>
            <w:vAlign w:val="center"/>
          </w:tcPr>
          <w:p>
            <w:pPr>
              <w:widowControl/>
              <w:jc w:val="center"/>
              <w:rPr>
                <w:rFonts w:ascii="宋体" w:hAnsi="宋体" w:cs="宋体"/>
                <w:kern w:val="0"/>
                <w:szCs w:val="21"/>
              </w:rPr>
            </w:pPr>
          </w:p>
        </w:tc>
        <w:tc>
          <w:tcPr>
            <w:tcW w:w="375" w:type="dxa"/>
            <w:noWrap/>
            <w:vAlign w:val="center"/>
          </w:tcPr>
          <w:p>
            <w:pPr>
              <w:widowControl/>
              <w:jc w:val="center"/>
              <w:rPr>
                <w:rFonts w:ascii="宋体" w:hAnsi="宋体" w:cs="宋体"/>
                <w:kern w:val="0"/>
                <w:szCs w:val="21"/>
              </w:rPr>
            </w:pPr>
          </w:p>
        </w:tc>
        <w:tc>
          <w:tcPr>
            <w:tcW w:w="321" w:type="dxa"/>
            <w:noWrap/>
            <w:vAlign w:val="center"/>
          </w:tcPr>
          <w:p>
            <w:pPr>
              <w:widowControl/>
              <w:jc w:val="center"/>
              <w:rPr>
                <w:rFonts w:ascii="宋体" w:hAnsi="宋体" w:cs="宋体"/>
                <w:kern w:val="0"/>
                <w:szCs w:val="21"/>
              </w:rPr>
            </w:pPr>
          </w:p>
        </w:tc>
        <w:tc>
          <w:tcPr>
            <w:tcW w:w="846" w:type="dxa"/>
            <w:noWrap/>
            <w:vAlign w:val="center"/>
          </w:tcPr>
          <w:p>
            <w:pPr>
              <w:widowControl/>
              <w:jc w:val="center"/>
              <w:rPr>
                <w:rFonts w:ascii="宋体" w:hAnsi="宋体" w:cs="宋体"/>
                <w:kern w:val="0"/>
                <w:szCs w:val="21"/>
              </w:rPr>
            </w:pPr>
          </w:p>
        </w:tc>
        <w:tc>
          <w:tcPr>
            <w:tcW w:w="726" w:type="dxa"/>
            <w:noWrap/>
            <w:vAlign w:val="center"/>
          </w:tcPr>
          <w:p>
            <w:pPr>
              <w:widowControl/>
              <w:jc w:val="center"/>
              <w:rPr>
                <w:rFonts w:ascii="宋体" w:hAnsi="宋体" w:cs="宋体"/>
                <w:kern w:val="0"/>
                <w:szCs w:val="21"/>
              </w:rPr>
            </w:pPr>
          </w:p>
        </w:tc>
        <w:tc>
          <w:tcPr>
            <w:tcW w:w="658" w:type="dxa"/>
            <w:noWrap/>
            <w:vAlign w:val="center"/>
          </w:tcPr>
          <w:p>
            <w:pPr>
              <w:widowControl/>
              <w:jc w:val="center"/>
              <w:rPr>
                <w:rFonts w:ascii="宋体" w:hAnsi="宋体" w:cs="宋体"/>
                <w:kern w:val="0"/>
                <w:szCs w:val="21"/>
              </w:rPr>
            </w:pPr>
          </w:p>
        </w:tc>
        <w:tc>
          <w:tcPr>
            <w:tcW w:w="969" w:type="dxa"/>
            <w:vMerge w:val="restart"/>
            <w:noWrap/>
            <w:vAlign w:val="center"/>
          </w:tcPr>
          <w:p>
            <w:pPr>
              <w:widowControl/>
              <w:jc w:val="center"/>
              <w:rPr>
                <w:rFonts w:ascii="宋体" w:hAnsi="宋体" w:cs="宋体"/>
                <w:kern w:val="0"/>
                <w:szCs w:val="21"/>
              </w:rPr>
            </w:pPr>
          </w:p>
        </w:tc>
        <w:tc>
          <w:tcPr>
            <w:tcW w:w="658" w:type="dxa"/>
            <w:vMerge w:val="restart"/>
            <w:noWrap/>
            <w:vAlign w:val="center"/>
          </w:tcPr>
          <w:p>
            <w:pPr>
              <w:widowControl/>
              <w:jc w:val="center"/>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noWrap/>
            <w:vAlign w:val="center"/>
          </w:tcPr>
          <w:p>
            <w:pPr>
              <w:widowControl/>
              <w:rPr>
                <w:rFonts w:ascii="宋体" w:hAnsi="宋体" w:cs="宋体"/>
                <w:kern w:val="0"/>
                <w:szCs w:val="21"/>
              </w:rPr>
            </w:pPr>
          </w:p>
        </w:tc>
        <w:tc>
          <w:tcPr>
            <w:tcW w:w="1231" w:type="dxa"/>
            <w:noWrap/>
            <w:vAlign w:val="center"/>
          </w:tcPr>
          <w:p>
            <w:pPr>
              <w:widowControl/>
              <w:jc w:val="center"/>
              <w:rPr>
                <w:rFonts w:ascii="宋体" w:hAnsi="宋体" w:cs="宋体"/>
                <w:kern w:val="0"/>
                <w:szCs w:val="21"/>
              </w:rPr>
            </w:pPr>
            <w:r>
              <w:rPr>
                <w:rFonts w:hint="eastAsia" w:ascii="宋体" w:hAnsi="宋体"/>
                <w:bCs/>
                <w:color w:val="000000"/>
                <w:szCs w:val="21"/>
              </w:rPr>
              <w:t>标准样品B</w:t>
            </w:r>
          </w:p>
        </w:tc>
        <w:tc>
          <w:tcPr>
            <w:tcW w:w="681" w:type="dxa"/>
            <w:noWrap/>
            <w:vAlign w:val="center"/>
          </w:tcPr>
          <w:p>
            <w:pPr>
              <w:widowControl/>
              <w:jc w:val="center"/>
              <w:rPr>
                <w:rFonts w:ascii="宋体" w:hAnsi="宋体" w:cs="宋体"/>
                <w:kern w:val="0"/>
                <w:szCs w:val="21"/>
              </w:rPr>
            </w:pPr>
          </w:p>
        </w:tc>
        <w:tc>
          <w:tcPr>
            <w:tcW w:w="434" w:type="dxa"/>
            <w:noWrap/>
            <w:vAlign w:val="center"/>
          </w:tcPr>
          <w:p>
            <w:pPr>
              <w:widowControl/>
              <w:jc w:val="center"/>
              <w:rPr>
                <w:rFonts w:ascii="宋体" w:hAnsi="宋体" w:cs="宋体"/>
                <w:kern w:val="0"/>
                <w:szCs w:val="21"/>
              </w:rPr>
            </w:pPr>
          </w:p>
        </w:tc>
        <w:tc>
          <w:tcPr>
            <w:tcW w:w="342" w:type="dxa"/>
            <w:noWrap/>
            <w:vAlign w:val="center"/>
          </w:tcPr>
          <w:p>
            <w:pPr>
              <w:widowControl/>
              <w:jc w:val="center"/>
              <w:rPr>
                <w:rFonts w:ascii="宋体" w:hAnsi="宋体" w:cs="宋体"/>
                <w:kern w:val="0"/>
                <w:szCs w:val="21"/>
              </w:rPr>
            </w:pPr>
          </w:p>
        </w:tc>
        <w:tc>
          <w:tcPr>
            <w:tcW w:w="343" w:type="dxa"/>
            <w:noWrap/>
            <w:vAlign w:val="center"/>
          </w:tcPr>
          <w:p>
            <w:pPr>
              <w:widowControl/>
              <w:jc w:val="center"/>
              <w:rPr>
                <w:rFonts w:ascii="宋体" w:hAnsi="宋体" w:cs="宋体"/>
                <w:kern w:val="0"/>
                <w:szCs w:val="21"/>
              </w:rPr>
            </w:pPr>
          </w:p>
        </w:tc>
        <w:tc>
          <w:tcPr>
            <w:tcW w:w="386" w:type="dxa"/>
            <w:noWrap/>
            <w:vAlign w:val="center"/>
          </w:tcPr>
          <w:p>
            <w:pPr>
              <w:widowControl/>
              <w:jc w:val="center"/>
              <w:rPr>
                <w:rFonts w:ascii="宋体" w:hAnsi="宋体" w:cs="宋体"/>
                <w:kern w:val="0"/>
                <w:szCs w:val="21"/>
              </w:rPr>
            </w:pPr>
          </w:p>
        </w:tc>
        <w:tc>
          <w:tcPr>
            <w:tcW w:w="375" w:type="dxa"/>
            <w:noWrap/>
            <w:vAlign w:val="center"/>
          </w:tcPr>
          <w:p>
            <w:pPr>
              <w:widowControl/>
              <w:jc w:val="center"/>
              <w:rPr>
                <w:rFonts w:ascii="宋体" w:hAnsi="宋体" w:cs="宋体"/>
                <w:kern w:val="0"/>
                <w:szCs w:val="21"/>
              </w:rPr>
            </w:pPr>
          </w:p>
        </w:tc>
        <w:tc>
          <w:tcPr>
            <w:tcW w:w="321" w:type="dxa"/>
            <w:noWrap/>
            <w:vAlign w:val="center"/>
          </w:tcPr>
          <w:p>
            <w:pPr>
              <w:widowControl/>
              <w:jc w:val="center"/>
              <w:rPr>
                <w:rFonts w:ascii="宋体" w:hAnsi="宋体" w:cs="宋体"/>
                <w:kern w:val="0"/>
                <w:szCs w:val="21"/>
              </w:rPr>
            </w:pPr>
          </w:p>
        </w:tc>
        <w:tc>
          <w:tcPr>
            <w:tcW w:w="846" w:type="dxa"/>
            <w:noWrap/>
            <w:vAlign w:val="center"/>
          </w:tcPr>
          <w:p>
            <w:pPr>
              <w:widowControl/>
              <w:jc w:val="center"/>
              <w:rPr>
                <w:rFonts w:ascii="宋体" w:hAnsi="宋体" w:cs="宋体"/>
                <w:kern w:val="0"/>
                <w:szCs w:val="21"/>
              </w:rPr>
            </w:pPr>
          </w:p>
        </w:tc>
        <w:tc>
          <w:tcPr>
            <w:tcW w:w="726" w:type="dxa"/>
            <w:noWrap/>
            <w:vAlign w:val="center"/>
          </w:tcPr>
          <w:p>
            <w:pPr>
              <w:widowControl/>
              <w:jc w:val="center"/>
              <w:rPr>
                <w:rFonts w:ascii="宋体" w:hAnsi="宋体" w:cs="宋体"/>
                <w:kern w:val="0"/>
                <w:szCs w:val="21"/>
              </w:rPr>
            </w:pPr>
          </w:p>
        </w:tc>
        <w:tc>
          <w:tcPr>
            <w:tcW w:w="658" w:type="dxa"/>
            <w:noWrap/>
            <w:vAlign w:val="center"/>
          </w:tcPr>
          <w:p>
            <w:pPr>
              <w:widowControl/>
              <w:jc w:val="center"/>
              <w:rPr>
                <w:rFonts w:ascii="宋体" w:hAnsi="宋体" w:cs="宋体"/>
                <w:kern w:val="0"/>
                <w:szCs w:val="21"/>
              </w:rPr>
            </w:pPr>
          </w:p>
        </w:tc>
        <w:tc>
          <w:tcPr>
            <w:tcW w:w="969" w:type="dxa"/>
            <w:vMerge w:val="continue"/>
            <w:noWrap/>
            <w:vAlign w:val="center"/>
          </w:tcPr>
          <w:p>
            <w:pPr>
              <w:widowControl/>
              <w:jc w:val="center"/>
              <w:rPr>
                <w:rFonts w:ascii="宋体" w:hAnsi="宋体" w:cs="宋体"/>
                <w:kern w:val="0"/>
                <w:szCs w:val="21"/>
              </w:rPr>
            </w:pPr>
          </w:p>
        </w:tc>
        <w:tc>
          <w:tcPr>
            <w:tcW w:w="658" w:type="dxa"/>
            <w:vMerge w:val="continue"/>
            <w:noWrap/>
            <w:vAlign w:val="center"/>
          </w:tcPr>
          <w:p>
            <w:pPr>
              <w:widowControl/>
              <w:jc w:val="center"/>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noWrap/>
            <w:vAlign w:val="center"/>
          </w:tcPr>
          <w:p>
            <w:pPr>
              <w:widowControl/>
              <w:rPr>
                <w:rFonts w:ascii="宋体" w:hAnsi="宋体" w:cs="宋体"/>
                <w:kern w:val="0"/>
                <w:szCs w:val="21"/>
              </w:rPr>
            </w:pPr>
          </w:p>
        </w:tc>
        <w:tc>
          <w:tcPr>
            <w:tcW w:w="1231" w:type="dxa"/>
            <w:noWrap/>
            <w:vAlign w:val="center"/>
          </w:tcPr>
          <w:p>
            <w:pPr>
              <w:widowControl/>
              <w:jc w:val="center"/>
              <w:rPr>
                <w:rFonts w:ascii="宋体" w:hAnsi="宋体" w:cs="宋体"/>
                <w:color w:val="000000"/>
                <w:kern w:val="0"/>
                <w:szCs w:val="21"/>
              </w:rPr>
            </w:pPr>
            <w:r>
              <w:rPr>
                <w:rFonts w:hint="eastAsia" w:ascii="宋体" w:hAnsi="宋体"/>
                <w:bCs/>
                <w:color w:val="000000"/>
                <w:szCs w:val="21"/>
              </w:rPr>
              <w:t>标准样品C</w:t>
            </w:r>
          </w:p>
        </w:tc>
        <w:tc>
          <w:tcPr>
            <w:tcW w:w="681" w:type="dxa"/>
            <w:noWrap/>
            <w:vAlign w:val="center"/>
          </w:tcPr>
          <w:p>
            <w:pPr>
              <w:widowControl/>
              <w:jc w:val="center"/>
              <w:rPr>
                <w:rFonts w:ascii="宋体" w:hAnsi="宋体" w:cs="宋体"/>
                <w:kern w:val="0"/>
                <w:szCs w:val="21"/>
              </w:rPr>
            </w:pPr>
          </w:p>
        </w:tc>
        <w:tc>
          <w:tcPr>
            <w:tcW w:w="434" w:type="dxa"/>
            <w:noWrap/>
            <w:vAlign w:val="center"/>
          </w:tcPr>
          <w:p>
            <w:pPr>
              <w:widowControl/>
              <w:jc w:val="center"/>
              <w:rPr>
                <w:rFonts w:ascii="宋体" w:hAnsi="宋体" w:cs="宋体"/>
                <w:kern w:val="0"/>
                <w:szCs w:val="21"/>
              </w:rPr>
            </w:pPr>
          </w:p>
        </w:tc>
        <w:tc>
          <w:tcPr>
            <w:tcW w:w="342" w:type="dxa"/>
            <w:noWrap/>
            <w:vAlign w:val="center"/>
          </w:tcPr>
          <w:p>
            <w:pPr>
              <w:widowControl/>
              <w:jc w:val="center"/>
              <w:rPr>
                <w:rFonts w:ascii="宋体" w:hAnsi="宋体" w:cs="宋体"/>
                <w:kern w:val="0"/>
                <w:szCs w:val="21"/>
              </w:rPr>
            </w:pPr>
          </w:p>
        </w:tc>
        <w:tc>
          <w:tcPr>
            <w:tcW w:w="343" w:type="dxa"/>
            <w:noWrap/>
            <w:vAlign w:val="center"/>
          </w:tcPr>
          <w:p>
            <w:pPr>
              <w:widowControl/>
              <w:jc w:val="center"/>
              <w:rPr>
                <w:rFonts w:ascii="宋体" w:hAnsi="宋体" w:cs="宋体"/>
                <w:kern w:val="0"/>
                <w:szCs w:val="21"/>
              </w:rPr>
            </w:pPr>
          </w:p>
        </w:tc>
        <w:tc>
          <w:tcPr>
            <w:tcW w:w="386" w:type="dxa"/>
            <w:noWrap/>
            <w:vAlign w:val="center"/>
          </w:tcPr>
          <w:p>
            <w:pPr>
              <w:widowControl/>
              <w:jc w:val="center"/>
              <w:rPr>
                <w:rFonts w:ascii="宋体" w:hAnsi="宋体" w:cs="宋体"/>
                <w:kern w:val="0"/>
                <w:szCs w:val="21"/>
              </w:rPr>
            </w:pPr>
          </w:p>
        </w:tc>
        <w:tc>
          <w:tcPr>
            <w:tcW w:w="375" w:type="dxa"/>
            <w:noWrap/>
            <w:vAlign w:val="center"/>
          </w:tcPr>
          <w:p>
            <w:pPr>
              <w:widowControl/>
              <w:jc w:val="center"/>
              <w:rPr>
                <w:rFonts w:ascii="宋体" w:hAnsi="宋体" w:cs="宋体"/>
                <w:kern w:val="0"/>
                <w:szCs w:val="21"/>
              </w:rPr>
            </w:pPr>
          </w:p>
        </w:tc>
        <w:tc>
          <w:tcPr>
            <w:tcW w:w="321" w:type="dxa"/>
            <w:noWrap/>
            <w:vAlign w:val="center"/>
          </w:tcPr>
          <w:p>
            <w:pPr>
              <w:widowControl/>
              <w:jc w:val="center"/>
              <w:rPr>
                <w:rFonts w:ascii="宋体" w:hAnsi="宋体" w:cs="宋体"/>
                <w:kern w:val="0"/>
                <w:szCs w:val="21"/>
              </w:rPr>
            </w:pPr>
          </w:p>
        </w:tc>
        <w:tc>
          <w:tcPr>
            <w:tcW w:w="846" w:type="dxa"/>
            <w:noWrap/>
            <w:vAlign w:val="center"/>
          </w:tcPr>
          <w:p>
            <w:pPr>
              <w:widowControl/>
              <w:jc w:val="center"/>
              <w:rPr>
                <w:rFonts w:ascii="宋体" w:hAnsi="宋体" w:cs="宋体"/>
                <w:kern w:val="0"/>
                <w:szCs w:val="21"/>
              </w:rPr>
            </w:pPr>
          </w:p>
        </w:tc>
        <w:tc>
          <w:tcPr>
            <w:tcW w:w="726" w:type="dxa"/>
            <w:noWrap/>
            <w:vAlign w:val="center"/>
          </w:tcPr>
          <w:p>
            <w:pPr>
              <w:widowControl/>
              <w:jc w:val="center"/>
              <w:rPr>
                <w:rFonts w:ascii="宋体" w:hAnsi="宋体" w:cs="宋体"/>
                <w:kern w:val="0"/>
                <w:szCs w:val="21"/>
              </w:rPr>
            </w:pPr>
          </w:p>
        </w:tc>
        <w:tc>
          <w:tcPr>
            <w:tcW w:w="658" w:type="dxa"/>
            <w:noWrap/>
            <w:vAlign w:val="center"/>
          </w:tcPr>
          <w:p>
            <w:pPr>
              <w:widowControl/>
              <w:jc w:val="center"/>
              <w:rPr>
                <w:rFonts w:ascii="宋体" w:hAnsi="宋体" w:cs="宋体"/>
                <w:kern w:val="0"/>
                <w:szCs w:val="21"/>
              </w:rPr>
            </w:pPr>
          </w:p>
        </w:tc>
        <w:tc>
          <w:tcPr>
            <w:tcW w:w="969" w:type="dxa"/>
            <w:vMerge w:val="continue"/>
            <w:noWrap/>
            <w:vAlign w:val="center"/>
          </w:tcPr>
          <w:p>
            <w:pPr>
              <w:widowControl/>
              <w:jc w:val="center"/>
              <w:rPr>
                <w:rFonts w:ascii="宋体" w:hAnsi="宋体" w:cs="宋体"/>
                <w:kern w:val="0"/>
                <w:szCs w:val="21"/>
              </w:rPr>
            </w:pPr>
          </w:p>
        </w:tc>
        <w:tc>
          <w:tcPr>
            <w:tcW w:w="658" w:type="dxa"/>
            <w:vMerge w:val="continue"/>
            <w:noWrap/>
            <w:vAlign w:val="center"/>
          </w:tcPr>
          <w:p>
            <w:pPr>
              <w:widowControl/>
              <w:jc w:val="center"/>
              <w:rPr>
                <w:rFonts w:ascii="宋体" w:hAnsi="宋体" w:cs="宋体"/>
                <w:kern w:val="0"/>
                <w:szCs w:val="21"/>
              </w:rPr>
            </w:pPr>
          </w:p>
        </w:tc>
      </w:tr>
    </w:tbl>
    <w:p>
      <w:pPr>
        <w:widowControl/>
        <w:rPr>
          <w:kern w:val="0"/>
          <w:szCs w:val="21"/>
        </w:rPr>
      </w:pPr>
    </w:p>
    <w:p>
      <w:pPr>
        <w:widowControl/>
        <w:jc w:val="center"/>
        <w:rPr>
          <w:rFonts w:ascii="仿宋" w:hAnsi="仿宋" w:eastAsia="仿宋" w:cs="仿宋"/>
          <w:kern w:val="0"/>
          <w:szCs w:val="21"/>
        </w:rPr>
      </w:pPr>
      <w:r>
        <w:rPr>
          <w:rFonts w:hint="eastAsia" w:ascii="仿宋" w:hAnsi="仿宋" w:eastAsia="仿宋" w:cs="仿宋"/>
          <w:kern w:val="0"/>
          <w:szCs w:val="21"/>
        </w:rPr>
        <w:t>注：本校准记录允许根据校准单位技术管理要求，做适当修改。</w:t>
      </w:r>
    </w:p>
    <w:p>
      <w:pPr>
        <w:widowControl/>
        <w:jc w:val="center"/>
        <w:rPr>
          <w:kern w:val="0"/>
          <w:sz w:val="24"/>
        </w:rPr>
        <w:sectPr>
          <w:pgSz w:w="11850" w:h="16783"/>
          <w:pgMar w:top="1440" w:right="1797" w:bottom="1440" w:left="1797" w:header="851" w:footer="992" w:gutter="0"/>
          <w:cols w:space="720" w:num="1"/>
          <w:docGrid w:type="lines" w:linePitch="312" w:charSpace="0"/>
        </w:sectPr>
      </w:pPr>
      <w:r>
        <w:rPr>
          <w:kern w:val="0"/>
          <w:sz w:val="24"/>
        </w:rPr>
        <w:t>--------------------------以下空白----------------------------------</w:t>
      </w:r>
    </w:p>
    <w:bookmarkEnd w:id="170"/>
    <w:p>
      <w:pPr>
        <w:pStyle w:val="2"/>
        <w:rPr>
          <w:rFonts w:ascii="黑体" w:hAnsi="黑体" w:eastAsia="黑体" w:cs="黑体"/>
          <w:szCs w:val="28"/>
        </w:rPr>
      </w:pPr>
      <w:bookmarkStart w:id="177" w:name="_Toc7380"/>
      <w:bookmarkStart w:id="178" w:name="_Toc25967"/>
      <w:bookmarkStart w:id="179" w:name="_Toc25724"/>
      <w:bookmarkStart w:id="180" w:name="_Toc13689"/>
      <w:bookmarkStart w:id="181" w:name="_Toc14395"/>
      <w:bookmarkStart w:id="182" w:name="_Toc25744"/>
      <w:bookmarkStart w:id="183" w:name="_Toc7088"/>
      <w:bookmarkStart w:id="184" w:name="_Toc7145"/>
      <w:bookmarkStart w:id="185" w:name="_Toc2111"/>
      <w:bookmarkStart w:id="186" w:name="_Toc12856"/>
      <w:r>
        <w:rPr>
          <w:rFonts w:hint="eastAsia" w:ascii="黑体" w:hAnsi="黑体" w:eastAsia="黑体" w:cs="黑体"/>
          <w:szCs w:val="28"/>
        </w:rPr>
        <w:t>附录</w:t>
      </w:r>
      <w:bookmarkEnd w:id="177"/>
      <w:bookmarkEnd w:id="178"/>
      <w:bookmarkEnd w:id="179"/>
      <w:bookmarkEnd w:id="180"/>
      <w:bookmarkEnd w:id="181"/>
      <w:bookmarkEnd w:id="182"/>
      <w:r>
        <w:rPr>
          <w:rFonts w:hint="eastAsia" w:ascii="黑体" w:hAnsi="黑体" w:eastAsia="黑体" w:cs="黑体"/>
          <w:szCs w:val="28"/>
        </w:rPr>
        <w:t>C</w:t>
      </w:r>
      <w:bookmarkEnd w:id="183"/>
      <w:bookmarkEnd w:id="184"/>
      <w:bookmarkEnd w:id="185"/>
      <w:bookmarkEnd w:id="186"/>
    </w:p>
    <w:p>
      <w:pPr>
        <w:pStyle w:val="2"/>
        <w:rPr>
          <w:rFonts w:ascii="黑体" w:hAnsi="黑体" w:eastAsia="黑体" w:cs="黑体"/>
          <w:szCs w:val="28"/>
        </w:rPr>
      </w:pPr>
      <w:bookmarkStart w:id="187" w:name="_Toc19497"/>
      <w:bookmarkStart w:id="188" w:name="_Toc2759"/>
      <w:bookmarkStart w:id="189" w:name="_Toc22085"/>
      <w:bookmarkStart w:id="190" w:name="_Toc782"/>
      <w:bookmarkStart w:id="191" w:name="_Toc15302"/>
      <w:bookmarkStart w:id="192" w:name="_Toc4880"/>
      <w:r>
        <w:rPr>
          <w:rFonts w:hint="eastAsia" w:ascii="黑体" w:hAnsi="黑体" w:eastAsia="黑体" w:cs="黑体"/>
          <w:szCs w:val="28"/>
        </w:rPr>
        <w:t>校准证书（内页）参考格式</w:t>
      </w:r>
      <w:bookmarkEnd w:id="187"/>
      <w:bookmarkEnd w:id="188"/>
      <w:bookmarkEnd w:id="189"/>
      <w:bookmarkEnd w:id="190"/>
      <w:bookmarkEnd w:id="191"/>
      <w:bookmarkEnd w:id="192"/>
    </w:p>
    <w:p>
      <w:pPr>
        <w:widowControl/>
        <w:jc w:val="center"/>
        <w:rPr>
          <w:kern w:val="0"/>
          <w:sz w:val="24"/>
        </w:rPr>
      </w:pPr>
    </w:p>
    <w:p>
      <w:pPr>
        <w:widowControl/>
        <w:rPr>
          <w:rFonts w:ascii="黑体" w:hAnsi="黑体" w:eastAsia="黑体" w:cs="黑体"/>
          <w:kern w:val="0"/>
          <w:sz w:val="24"/>
        </w:rPr>
      </w:pPr>
      <w:r>
        <w:rPr>
          <w:rFonts w:hint="eastAsia" w:ascii="黑体" w:hAnsi="黑体" w:eastAsia="黑体" w:cs="黑体"/>
          <w:kern w:val="0"/>
          <w:sz w:val="24"/>
        </w:rPr>
        <w:t>C.1 校准条件</w:t>
      </w:r>
    </w:p>
    <w:p>
      <w:pPr>
        <w:widowControl/>
        <w:ind w:firstLine="420" w:firstLineChars="175"/>
        <w:rPr>
          <w:kern w:val="0"/>
          <w:sz w:val="24"/>
        </w:rPr>
      </w:pPr>
      <w:r>
        <w:rPr>
          <w:kern w:val="0"/>
          <w:sz w:val="24"/>
        </w:rPr>
        <w:t>温度：_______℃</w:t>
      </w:r>
    </w:p>
    <w:p>
      <w:pPr>
        <w:widowControl/>
        <w:ind w:firstLine="420" w:firstLineChars="175"/>
        <w:rPr>
          <w:kern w:val="0"/>
          <w:sz w:val="24"/>
        </w:rPr>
      </w:pPr>
      <w:r>
        <w:rPr>
          <w:kern w:val="0"/>
          <w:sz w:val="24"/>
        </w:rPr>
        <w:t>相对湿度：________%</w:t>
      </w:r>
    </w:p>
    <w:p>
      <w:pPr>
        <w:widowControl/>
        <w:rPr>
          <w:rFonts w:ascii="黑体" w:hAnsi="黑体" w:eastAsia="黑体" w:cs="黑体"/>
          <w:kern w:val="0"/>
          <w:sz w:val="24"/>
        </w:rPr>
      </w:pPr>
      <w:r>
        <w:rPr>
          <w:rFonts w:hint="eastAsia" w:ascii="黑体" w:hAnsi="黑体" w:eastAsia="黑体" w:cs="黑体"/>
          <w:kern w:val="0"/>
          <w:sz w:val="24"/>
        </w:rPr>
        <w:t>C.2 校准结果</w:t>
      </w:r>
    </w:p>
    <w:tbl>
      <w:tblPr>
        <w:tblStyle w:val="14"/>
        <w:tblW w:w="54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7"/>
        <w:gridCol w:w="877"/>
        <w:gridCol w:w="2400"/>
        <w:gridCol w:w="14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7" w:type="dxa"/>
            <w:noWrap/>
            <w:vAlign w:val="center"/>
          </w:tcPr>
          <w:p>
            <w:pPr>
              <w:widowControl/>
              <w:jc w:val="center"/>
              <w:rPr>
                <w:rFonts w:ascii="宋体" w:hAnsi="宋体" w:cs="宋体"/>
                <w:kern w:val="0"/>
                <w:szCs w:val="21"/>
              </w:rPr>
            </w:pPr>
            <w:r>
              <w:rPr>
                <w:rFonts w:hint="eastAsia" w:ascii="宋体" w:hAnsi="宋体" w:cs="宋体"/>
                <w:kern w:val="0"/>
                <w:szCs w:val="21"/>
              </w:rPr>
              <w:t>序号</w:t>
            </w:r>
          </w:p>
        </w:tc>
        <w:tc>
          <w:tcPr>
            <w:tcW w:w="3277" w:type="dxa"/>
            <w:gridSpan w:val="2"/>
            <w:noWrap/>
            <w:vAlign w:val="center"/>
          </w:tcPr>
          <w:p>
            <w:pPr>
              <w:widowControl/>
              <w:jc w:val="center"/>
              <w:rPr>
                <w:rFonts w:ascii="宋体" w:hAnsi="宋体" w:cs="宋体"/>
                <w:kern w:val="0"/>
                <w:szCs w:val="21"/>
              </w:rPr>
            </w:pPr>
            <w:r>
              <w:rPr>
                <w:rFonts w:hint="eastAsia" w:ascii="宋体" w:hAnsi="宋体" w:cs="宋体"/>
                <w:kern w:val="0"/>
                <w:szCs w:val="21"/>
              </w:rPr>
              <w:t>技术指标</w:t>
            </w:r>
          </w:p>
        </w:tc>
        <w:tc>
          <w:tcPr>
            <w:tcW w:w="1428" w:type="dxa"/>
            <w:noWrap/>
            <w:vAlign w:val="center"/>
          </w:tcPr>
          <w:p>
            <w:pPr>
              <w:widowControl/>
              <w:jc w:val="center"/>
              <w:rPr>
                <w:rFonts w:ascii="宋体" w:hAnsi="宋体" w:cs="宋体"/>
                <w:kern w:val="0"/>
                <w:szCs w:val="21"/>
              </w:rPr>
            </w:pPr>
            <w:r>
              <w:rPr>
                <w:rFonts w:hint="eastAsia" w:ascii="宋体" w:hAnsi="宋体" w:cs="宋体"/>
                <w:kern w:val="0"/>
                <w:szCs w:val="21"/>
              </w:rPr>
              <w:t>校准结果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7" w:type="dxa"/>
            <w:vMerge w:val="restart"/>
            <w:noWrap/>
            <w:vAlign w:val="center"/>
          </w:tcPr>
          <w:p>
            <w:pPr>
              <w:widowControl/>
              <w:jc w:val="center"/>
              <w:rPr>
                <w:rFonts w:ascii="宋体" w:hAnsi="宋体" w:cs="宋体"/>
                <w:kern w:val="0"/>
                <w:szCs w:val="21"/>
              </w:rPr>
            </w:pPr>
            <w:r>
              <w:rPr>
                <w:rFonts w:hint="eastAsia" w:ascii="宋体" w:hAnsi="宋体" w:cs="宋体"/>
                <w:kern w:val="0"/>
                <w:szCs w:val="21"/>
              </w:rPr>
              <w:t>1</w:t>
            </w:r>
          </w:p>
        </w:tc>
        <w:tc>
          <w:tcPr>
            <w:tcW w:w="877" w:type="dxa"/>
            <w:vMerge w:val="restart"/>
            <w:noWrap/>
            <w:vAlign w:val="center"/>
          </w:tcPr>
          <w:p>
            <w:pPr>
              <w:widowControl/>
              <w:jc w:val="center"/>
              <w:rPr>
                <w:rFonts w:ascii="宋体" w:hAnsi="宋体" w:cs="宋体"/>
                <w:kern w:val="0"/>
                <w:szCs w:val="21"/>
              </w:rPr>
            </w:pPr>
            <w:r>
              <w:rPr>
                <w:rFonts w:hint="eastAsia" w:ascii="宋体" w:hAnsi="宋体" w:cs="宋体"/>
                <w:kern w:val="0"/>
                <w:szCs w:val="21"/>
              </w:rPr>
              <w:t>辐射率</w:t>
            </w:r>
          </w:p>
        </w:tc>
        <w:tc>
          <w:tcPr>
            <w:tcW w:w="2400" w:type="dxa"/>
            <w:noWrap/>
            <w:vAlign w:val="center"/>
          </w:tcPr>
          <w:p>
            <w:pPr>
              <w:widowControl/>
              <w:jc w:val="center"/>
              <w:rPr>
                <w:rFonts w:ascii="宋体" w:hAnsi="宋体" w:cs="宋体"/>
                <w:kern w:val="0"/>
                <w:szCs w:val="21"/>
              </w:rPr>
            </w:pPr>
            <w:r>
              <w:rPr>
                <w:rFonts w:hint="eastAsia" w:ascii="宋体" w:hAnsi="宋体" w:cs="宋体"/>
                <w:kern w:val="0"/>
                <w:szCs w:val="21"/>
              </w:rPr>
              <w:t>仪器示值误差</w:t>
            </w:r>
          </w:p>
        </w:tc>
        <w:tc>
          <w:tcPr>
            <w:tcW w:w="1428" w:type="dxa"/>
            <w:noWrap/>
            <w:vAlign w:val="center"/>
          </w:tcPr>
          <w:p>
            <w:pPr>
              <w:widowControl/>
              <w:jc w:val="center"/>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7" w:type="dxa"/>
            <w:vMerge w:val="continue"/>
            <w:noWrap/>
            <w:vAlign w:val="center"/>
          </w:tcPr>
          <w:p>
            <w:pPr>
              <w:widowControl/>
              <w:jc w:val="center"/>
              <w:rPr>
                <w:rFonts w:ascii="宋体" w:hAnsi="宋体" w:cs="宋体"/>
                <w:kern w:val="0"/>
                <w:szCs w:val="21"/>
              </w:rPr>
            </w:pPr>
          </w:p>
        </w:tc>
        <w:tc>
          <w:tcPr>
            <w:tcW w:w="877" w:type="dxa"/>
            <w:vMerge w:val="continue"/>
            <w:noWrap/>
            <w:vAlign w:val="center"/>
          </w:tcPr>
          <w:p>
            <w:pPr>
              <w:widowControl/>
              <w:jc w:val="center"/>
              <w:rPr>
                <w:rFonts w:ascii="宋体" w:hAnsi="宋体" w:cs="宋体"/>
                <w:kern w:val="0"/>
                <w:szCs w:val="21"/>
              </w:rPr>
            </w:pPr>
          </w:p>
        </w:tc>
        <w:tc>
          <w:tcPr>
            <w:tcW w:w="2400" w:type="dxa"/>
            <w:noWrap/>
            <w:vAlign w:val="center"/>
          </w:tcPr>
          <w:p>
            <w:pPr>
              <w:widowControl/>
              <w:jc w:val="center"/>
              <w:rPr>
                <w:rFonts w:ascii="宋体" w:hAnsi="宋体" w:cs="宋体"/>
                <w:kern w:val="0"/>
                <w:szCs w:val="21"/>
              </w:rPr>
            </w:pPr>
            <w:r>
              <w:rPr>
                <w:rFonts w:hint="eastAsia" w:ascii="宋体" w:hAnsi="宋体" w:cs="宋体"/>
                <w:kern w:val="0"/>
                <w:szCs w:val="21"/>
              </w:rPr>
              <w:t>测量重复性</w:t>
            </w:r>
          </w:p>
        </w:tc>
        <w:tc>
          <w:tcPr>
            <w:tcW w:w="1428" w:type="dxa"/>
            <w:noWrap/>
            <w:vAlign w:val="center"/>
          </w:tcPr>
          <w:p>
            <w:pPr>
              <w:widowControl/>
              <w:jc w:val="center"/>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767" w:type="dxa"/>
            <w:vMerge w:val="continue"/>
            <w:noWrap/>
            <w:vAlign w:val="center"/>
          </w:tcPr>
          <w:p>
            <w:pPr>
              <w:widowControl/>
              <w:jc w:val="center"/>
              <w:rPr>
                <w:rFonts w:ascii="宋体" w:hAnsi="宋体" w:cs="宋体"/>
                <w:kern w:val="0"/>
                <w:szCs w:val="21"/>
              </w:rPr>
            </w:pPr>
          </w:p>
        </w:tc>
        <w:tc>
          <w:tcPr>
            <w:tcW w:w="877" w:type="dxa"/>
            <w:vMerge w:val="continue"/>
            <w:noWrap/>
            <w:vAlign w:val="center"/>
          </w:tcPr>
          <w:p>
            <w:pPr>
              <w:widowControl/>
              <w:jc w:val="center"/>
              <w:rPr>
                <w:rFonts w:ascii="宋体" w:hAnsi="宋体" w:cs="宋体"/>
                <w:kern w:val="0"/>
                <w:szCs w:val="21"/>
              </w:rPr>
            </w:pPr>
          </w:p>
        </w:tc>
        <w:tc>
          <w:tcPr>
            <w:tcW w:w="2400" w:type="dxa"/>
            <w:noWrap/>
            <w:vAlign w:val="center"/>
          </w:tcPr>
          <w:p>
            <w:pPr>
              <w:widowControl/>
              <w:jc w:val="center"/>
              <w:rPr>
                <w:rFonts w:ascii="宋体" w:hAnsi="宋体" w:cs="宋体"/>
                <w:kern w:val="0"/>
                <w:szCs w:val="21"/>
              </w:rPr>
            </w:pPr>
            <w:r>
              <w:rPr>
                <w:rFonts w:hint="eastAsia" w:ascii="宋体" w:hAnsi="宋体" w:cs="宋体"/>
                <w:kern w:val="0"/>
                <w:szCs w:val="21"/>
              </w:rPr>
              <w:t>仪器示值误差不确定度</w:t>
            </w:r>
          </w:p>
        </w:tc>
        <w:tc>
          <w:tcPr>
            <w:tcW w:w="1428" w:type="dxa"/>
            <w:noWrap/>
            <w:vAlign w:val="center"/>
          </w:tcPr>
          <w:p>
            <w:pPr>
              <w:widowControl/>
              <w:jc w:val="center"/>
              <w:rPr>
                <w:rFonts w:ascii="宋体" w:hAnsi="宋体" w:cs="宋体"/>
                <w:kern w:val="0"/>
                <w:szCs w:val="21"/>
              </w:rPr>
            </w:pPr>
          </w:p>
        </w:tc>
      </w:tr>
    </w:tbl>
    <w:p>
      <w:pPr>
        <w:widowControl/>
        <w:rPr>
          <w:kern w:val="0"/>
          <w:szCs w:val="21"/>
        </w:rPr>
      </w:pPr>
    </w:p>
    <w:p>
      <w:pPr>
        <w:widowControl/>
        <w:jc w:val="center"/>
        <w:rPr>
          <w:color w:val="000000"/>
          <w:sz w:val="24"/>
        </w:rPr>
      </w:pPr>
      <w:r>
        <w:rPr>
          <w:kern w:val="0"/>
          <w:sz w:val="24"/>
        </w:rPr>
        <w:t>--------------------------------以下空白----------------------------------</w:t>
      </w:r>
    </w:p>
    <w:p>
      <w:pPr>
        <w:ind w:firstLine="420" w:firstLineChars="200"/>
        <w:rPr>
          <w:color w:val="000000"/>
          <w:szCs w:val="21"/>
        </w:rPr>
      </w:pPr>
    </w:p>
    <w:p>
      <w:pPr>
        <w:spacing w:line="240" w:lineRule="atLeast"/>
        <w:ind w:firstLine="495"/>
        <w:rPr>
          <w:rFonts w:eastAsia="黑体"/>
          <w:color w:val="000000"/>
          <w:szCs w:val="21"/>
        </w:rPr>
      </w:pPr>
    </w:p>
    <w:bookmarkEnd w:id="7"/>
    <w:p>
      <w:pPr>
        <w:rPr>
          <w:szCs w:val="21"/>
        </w:rPr>
        <w:sectPr>
          <w:pgSz w:w="11906" w:h="16838"/>
          <w:pgMar w:top="1440" w:right="1800" w:bottom="1440" w:left="1800" w:header="851" w:footer="992" w:gutter="0"/>
          <w:cols w:space="720" w:num="1"/>
          <w:docGrid w:type="lines" w:linePitch="312" w:charSpace="0"/>
        </w:sectPr>
      </w:pPr>
    </w:p>
    <w:p>
      <w:pPr>
        <w:pStyle w:val="2"/>
        <w:rPr>
          <w:rFonts w:ascii="黑体" w:hAnsi="黑体" w:eastAsia="黑体" w:cs="黑体"/>
          <w:szCs w:val="28"/>
        </w:rPr>
      </w:pPr>
      <w:bookmarkStart w:id="193" w:name="_Toc17898"/>
      <w:bookmarkStart w:id="194" w:name="_Toc6486"/>
      <w:bookmarkStart w:id="195" w:name="_Toc29446"/>
      <w:bookmarkStart w:id="196" w:name="_Toc7493"/>
      <w:bookmarkStart w:id="197" w:name="_Toc5524"/>
      <w:bookmarkStart w:id="198" w:name="_Toc30566"/>
      <w:bookmarkStart w:id="199" w:name="_Toc9916"/>
      <w:bookmarkStart w:id="200" w:name="_Toc11448"/>
      <w:bookmarkStart w:id="201" w:name="_Toc26928"/>
      <w:bookmarkStart w:id="202" w:name="_Toc105"/>
      <w:r>
        <w:rPr>
          <w:rFonts w:hint="eastAsia" w:ascii="黑体" w:hAnsi="黑体" w:eastAsia="黑体" w:cs="黑体"/>
          <w:szCs w:val="28"/>
        </w:rPr>
        <w:t>附录</w:t>
      </w:r>
      <w:bookmarkEnd w:id="193"/>
      <w:bookmarkEnd w:id="194"/>
      <w:bookmarkEnd w:id="195"/>
      <w:bookmarkEnd w:id="196"/>
      <w:bookmarkEnd w:id="197"/>
      <w:bookmarkEnd w:id="198"/>
      <w:r>
        <w:rPr>
          <w:rFonts w:hint="eastAsia" w:ascii="黑体" w:hAnsi="黑体" w:eastAsia="黑体" w:cs="黑体"/>
          <w:szCs w:val="28"/>
        </w:rPr>
        <w:t>D</w:t>
      </w:r>
      <w:bookmarkEnd w:id="199"/>
      <w:bookmarkEnd w:id="200"/>
      <w:bookmarkEnd w:id="201"/>
      <w:bookmarkEnd w:id="202"/>
    </w:p>
    <w:p>
      <w:pPr>
        <w:pStyle w:val="2"/>
        <w:rPr>
          <w:rFonts w:ascii="黑体" w:hAnsi="黑体" w:eastAsia="黑体" w:cs="黑体"/>
          <w:szCs w:val="28"/>
        </w:rPr>
      </w:pPr>
      <w:bookmarkStart w:id="203" w:name="_Toc1252"/>
      <w:bookmarkStart w:id="204" w:name="_Toc11747"/>
      <w:bookmarkStart w:id="205" w:name="_Toc18898"/>
      <w:bookmarkStart w:id="206" w:name="_Toc8058"/>
      <w:bookmarkStart w:id="207" w:name="_Toc24471"/>
      <w:bookmarkStart w:id="208" w:name="_Toc13835"/>
      <w:r>
        <w:rPr>
          <w:rFonts w:hint="eastAsia" w:ascii="黑体" w:hAnsi="黑体" w:eastAsia="黑体" w:cs="黑体"/>
          <w:szCs w:val="28"/>
        </w:rPr>
        <w:t>低辐射镀膜玻璃辐射率仪器示值误差不确定度评定实例</w:t>
      </w:r>
      <w:bookmarkEnd w:id="203"/>
      <w:bookmarkEnd w:id="204"/>
      <w:bookmarkEnd w:id="205"/>
      <w:bookmarkEnd w:id="206"/>
      <w:bookmarkEnd w:id="207"/>
      <w:bookmarkEnd w:id="208"/>
    </w:p>
    <w:p>
      <w:pPr>
        <w:spacing w:beforeLines="50" w:afterLines="50"/>
        <w:rPr>
          <w:rFonts w:ascii="黑体" w:hAnsi="黑体" w:eastAsia="黑体" w:cs="黑体"/>
          <w:color w:val="000000"/>
          <w:sz w:val="24"/>
        </w:rPr>
      </w:pPr>
      <w:r>
        <w:rPr>
          <w:rFonts w:hint="eastAsia" w:ascii="黑体" w:hAnsi="黑体" w:eastAsia="黑体" w:cs="黑体"/>
          <w:color w:val="000000"/>
          <w:sz w:val="24"/>
        </w:rPr>
        <w:t>D.1 测量方法</w:t>
      </w:r>
    </w:p>
    <w:p>
      <w:pPr>
        <w:adjustRightInd w:val="0"/>
        <w:snapToGrid w:val="0"/>
        <w:ind w:firstLine="420"/>
        <w:rPr>
          <w:rFonts w:ascii="宋体" w:hAnsi="宋体"/>
          <w:bCs/>
          <w:color w:val="000000"/>
          <w:sz w:val="24"/>
        </w:rPr>
      </w:pPr>
      <w:r>
        <w:rPr>
          <w:rFonts w:hint="eastAsia" w:ascii="宋体" w:hAnsi="宋体"/>
          <w:bCs/>
          <w:color w:val="000000"/>
          <w:sz w:val="24"/>
        </w:rPr>
        <w:t>被校装置按照说明书要求进行预热和校准。选择相应的辐射率标准样品，每件标准样品重复测量n次辐射率值</w:t>
      </w:r>
      <w:r>
        <w:rPr>
          <w:bCs/>
          <w:i/>
          <w:iCs/>
          <w:color w:val="000000"/>
          <w:sz w:val="24"/>
        </w:rPr>
        <w:t>ε</w:t>
      </w:r>
      <w:r>
        <w:rPr>
          <w:bCs/>
          <w:i/>
          <w:iCs/>
          <w:color w:val="000000"/>
          <w:sz w:val="24"/>
          <w:vertAlign w:val="subscript"/>
        </w:rPr>
        <w:t>ij</w:t>
      </w:r>
      <w:r>
        <w:rPr>
          <w:rFonts w:hint="eastAsia" w:ascii="宋体" w:hAnsi="宋体"/>
          <w:bCs/>
          <w:color w:val="000000"/>
          <w:sz w:val="24"/>
        </w:rPr>
        <w:t>，每件标准样品重复测量n次的算术平均值</w:t>
      </w:r>
      <w:r>
        <w:rPr>
          <w:rFonts w:hint="eastAsia" w:ascii="宋体" w:hAnsi="宋体"/>
          <w:bCs/>
          <w:color w:val="000000"/>
          <w:position w:val="-6"/>
          <w:sz w:val="24"/>
        </w:rPr>
        <w:object>
          <v:shape id="_x0000_i1038" o:spt="75" type="#_x0000_t75" style="height:17.25pt;width:12.75pt;" o:ole="t" filled="f" o:preferrelative="t" stroked="f" coordsize="21600,21600">
            <v:path/>
            <v:fill on="f" focussize="0,0"/>
            <v:stroke on="f" joinstyle="miter"/>
            <v:imagedata r:id="rId33" o:title=""/>
            <o:lock v:ext="edit" aspectratio="t"/>
            <w10:wrap type="none"/>
            <w10:anchorlock/>
          </v:shape>
          <o:OLEObject Type="Embed" ProgID="Equation.KSEE3" ShapeID="_x0000_i1038" DrawAspect="Content" ObjectID="_1468075735" r:id="rId32">
            <o:LockedField>false</o:LockedField>
          </o:OLEObject>
        </w:object>
      </w:r>
      <w:r>
        <w:rPr>
          <w:bCs/>
          <w:color w:val="000000"/>
          <w:sz w:val="24"/>
        </w:rPr>
        <w:t>按照公式（</w:t>
      </w:r>
      <w:r>
        <w:rPr>
          <w:rFonts w:hint="eastAsia"/>
          <w:bCs/>
          <w:color w:val="000000"/>
          <w:sz w:val="24"/>
        </w:rPr>
        <w:t>D.</w:t>
      </w:r>
      <w:r>
        <w:rPr>
          <w:bCs/>
          <w:color w:val="000000"/>
          <w:sz w:val="24"/>
        </w:rPr>
        <w:t>1）计算</w:t>
      </w:r>
      <w:r>
        <w:rPr>
          <w:rFonts w:hint="eastAsia" w:ascii="宋体" w:hAnsi="宋体"/>
          <w:bCs/>
          <w:color w:val="000000"/>
          <w:sz w:val="24"/>
        </w:rPr>
        <w:t>，每片标准样品的示值误差</w:t>
      </w:r>
      <w:r>
        <w:rPr>
          <w:color w:val="000000"/>
          <w:sz w:val="24"/>
        </w:rPr>
        <w:t>Δ</w:t>
      </w:r>
      <w:r>
        <w:rPr>
          <w:i/>
          <w:iCs/>
          <w:color w:val="000000"/>
          <w:sz w:val="24"/>
          <w:vertAlign w:val="subscript"/>
        </w:rPr>
        <w:t>i</w:t>
      </w:r>
      <w:r>
        <w:rPr>
          <w:rFonts w:hint="eastAsia" w:ascii="宋体" w:hAnsi="宋体"/>
          <w:bCs/>
          <w:color w:val="000000"/>
          <w:sz w:val="24"/>
        </w:rPr>
        <w:t>按照公式（</w:t>
      </w:r>
      <w:r>
        <w:rPr>
          <w:rFonts w:hint="eastAsia"/>
          <w:bCs/>
          <w:color w:val="000000"/>
          <w:sz w:val="24"/>
        </w:rPr>
        <w:t>D.</w:t>
      </w:r>
      <w:r>
        <w:rPr>
          <w:bCs/>
          <w:color w:val="000000"/>
          <w:sz w:val="24"/>
        </w:rPr>
        <w:t>2</w:t>
      </w:r>
      <w:r>
        <w:rPr>
          <w:rFonts w:hint="eastAsia" w:ascii="宋体" w:hAnsi="宋体"/>
          <w:bCs/>
          <w:color w:val="000000"/>
          <w:sz w:val="24"/>
        </w:rPr>
        <w:t>），</w:t>
      </w:r>
      <w:r>
        <w:rPr>
          <w:rFonts w:hint="eastAsia"/>
          <w:bCs/>
          <w:color w:val="000000"/>
          <w:sz w:val="24"/>
        </w:rPr>
        <w:t>样品各自的示值误差</w:t>
      </w:r>
      <w:r>
        <w:rPr>
          <w:color w:val="000000"/>
          <w:sz w:val="24"/>
        </w:rPr>
        <w:t>Δ</w:t>
      </w:r>
      <w:r>
        <w:rPr>
          <w:i/>
          <w:iCs/>
          <w:color w:val="000000"/>
          <w:sz w:val="24"/>
          <w:vertAlign w:val="subscript"/>
        </w:rPr>
        <w:t>i</w:t>
      </w:r>
      <w:r>
        <w:rPr>
          <w:rFonts w:hint="eastAsia"/>
          <w:bCs/>
          <w:color w:val="000000"/>
          <w:sz w:val="24"/>
        </w:rPr>
        <w:t>绝对值的最大值对应的示值误差，作为</w:t>
      </w:r>
      <w:r>
        <w:rPr>
          <w:rFonts w:hint="eastAsia"/>
          <w:sz w:val="24"/>
        </w:rPr>
        <w:t>仪器测值的辐射率仪器示值误差</w:t>
      </w:r>
      <w:r>
        <w:rPr>
          <w:rFonts w:hint="eastAsia" w:ascii="宋体" w:hAnsi="宋体"/>
          <w:bCs/>
          <w:color w:val="000000"/>
          <w:sz w:val="24"/>
        </w:rPr>
        <w:t>。</w:t>
      </w:r>
    </w:p>
    <w:p>
      <w:pPr>
        <w:adjustRightInd w:val="0"/>
        <w:snapToGrid w:val="0"/>
        <w:ind w:firstLine="420"/>
        <w:rPr>
          <w:rFonts w:ascii="宋体" w:hAnsi="宋体"/>
          <w:bCs/>
          <w:color w:val="000000"/>
          <w:sz w:val="24"/>
        </w:rPr>
      </w:pPr>
      <w:r>
        <w:rPr>
          <w:rFonts w:hint="eastAsia" w:ascii="宋体" w:hAnsi="宋体"/>
          <w:bCs/>
          <w:color w:val="000000"/>
          <w:sz w:val="24"/>
        </w:rPr>
        <w:t>按照表1中的辐射率</w:t>
      </w:r>
      <w:r>
        <w:rPr>
          <w:rFonts w:hint="eastAsia"/>
          <w:sz w:val="24"/>
        </w:rPr>
        <w:t>标准值范围选择3块Low-E玻璃辐射率标准样品，本实例标准样品标准值分别为</w:t>
      </w:r>
      <w:r>
        <w:rPr>
          <w:rFonts w:hint="eastAsia" w:ascii="宋体" w:hAnsi="宋体"/>
          <w:bCs/>
          <w:color w:val="000000"/>
          <w:sz w:val="24"/>
        </w:rPr>
        <w:t>0.051、0.111、0.164。</w:t>
      </w:r>
    </w:p>
    <w:p>
      <w:pPr>
        <w:spacing w:beforeLines="50" w:afterLines="50"/>
        <w:rPr>
          <w:rFonts w:ascii="黑体" w:hAnsi="黑体" w:eastAsia="黑体" w:cs="黑体"/>
          <w:color w:val="000000"/>
          <w:sz w:val="24"/>
        </w:rPr>
      </w:pPr>
      <w:r>
        <w:rPr>
          <w:rFonts w:hint="eastAsia" w:ascii="黑体" w:hAnsi="黑体" w:eastAsia="黑体" w:cs="黑体"/>
          <w:color w:val="000000"/>
          <w:sz w:val="24"/>
        </w:rPr>
        <w:t>D.2 数学模型</w:t>
      </w:r>
    </w:p>
    <w:p>
      <w:pPr>
        <w:ind w:firstLine="420"/>
        <w:rPr>
          <w:color w:val="000000"/>
          <w:sz w:val="24"/>
        </w:rPr>
      </w:pPr>
      <w:r>
        <w:rPr>
          <w:rFonts w:hint="eastAsia"/>
          <w:color w:val="000000"/>
          <w:sz w:val="24"/>
        </w:rPr>
        <w:t>示值误差按照公式（D.1）和公式（D.2）计算：</w:t>
      </w:r>
    </w:p>
    <w:p>
      <w:pPr>
        <w:adjustRightInd w:val="0"/>
        <w:snapToGrid w:val="0"/>
        <w:ind w:firstLine="420"/>
        <w:jc w:val="right"/>
        <w:rPr>
          <w:rFonts w:ascii="宋体" w:hAnsi="宋体"/>
          <w:bCs/>
          <w:color w:val="000000"/>
          <w:sz w:val="24"/>
        </w:rPr>
      </w:pPr>
      <w:r>
        <w:rPr>
          <w:rFonts w:hint="eastAsia" w:ascii="宋体" w:hAnsi="宋体"/>
          <w:bCs/>
          <w:color w:val="000000"/>
          <w:position w:val="-30"/>
          <w:sz w:val="24"/>
        </w:rPr>
        <w:object>
          <v:shape id="_x0000_i1039" o:spt="75" type="#_x0000_t75" style="height:35.25pt;width:63pt;" o:ole="t" filled="f" o:preferrelative="t" stroked="f" coordsize="21600,21600">
            <v:path/>
            <v:fill on="f" focussize="0,0"/>
            <v:stroke on="f" joinstyle="miter"/>
            <v:imagedata r:id="rId35" o:title=""/>
            <o:lock v:ext="edit" aspectratio="t"/>
            <w10:wrap type="none"/>
            <w10:anchorlock/>
          </v:shape>
          <o:OLEObject Type="Embed" ProgID="Equation.KSEE3" ShapeID="_x0000_i1039" DrawAspect="Content" ObjectID="_1468075736" r:id="rId34">
            <o:LockedField>false</o:LockedField>
          </o:OLEObject>
        </w:object>
      </w:r>
      <w:r>
        <w:rPr>
          <w:rFonts w:hint="eastAsia" w:ascii="宋体" w:hAnsi="宋体"/>
          <w:bCs/>
          <w:color w:val="000000"/>
          <w:sz w:val="24"/>
        </w:rPr>
        <w:t xml:space="preserve">                      （D.1）</w:t>
      </w:r>
    </w:p>
    <w:p>
      <w:pPr>
        <w:adjustRightInd w:val="0"/>
        <w:snapToGrid w:val="0"/>
        <w:ind w:firstLine="420"/>
        <w:jc w:val="right"/>
        <w:rPr>
          <w:rFonts w:ascii="宋体" w:hAnsi="宋体"/>
          <w:bCs/>
          <w:color w:val="000000"/>
          <w:sz w:val="24"/>
        </w:rPr>
      </w:pPr>
      <w:r>
        <w:rPr>
          <w:rFonts w:hint="eastAsia" w:ascii="宋体" w:hAnsi="宋体"/>
          <w:bCs/>
          <w:color w:val="000000"/>
          <w:position w:val="-14"/>
          <w:sz w:val="24"/>
        </w:rPr>
        <w:object>
          <v:shape id="_x0000_i1040" o:spt="75" type="#_x0000_t75" style="height:21pt;width:63pt;" o:ole="t" filled="f" o:preferrelative="t" stroked="f" coordsize="21600,21600">
            <v:path/>
            <v:fill on="f" focussize="0,0"/>
            <v:stroke on="f" joinstyle="miter"/>
            <v:imagedata r:id="rId37" o:title=""/>
            <o:lock v:ext="edit" aspectratio="t"/>
            <w10:wrap type="none"/>
            <w10:anchorlock/>
          </v:shape>
          <o:OLEObject Type="Embed" ProgID="Equation.KSEE3" ShapeID="_x0000_i1040" DrawAspect="Content" ObjectID="_1468075737" r:id="rId36">
            <o:LockedField>false</o:LockedField>
          </o:OLEObject>
        </w:object>
      </w:r>
      <w:bookmarkStart w:id="209" w:name="OLE_LINK3"/>
      <w:bookmarkEnd w:id="209"/>
      <w:r>
        <w:rPr>
          <w:rFonts w:hint="eastAsia" w:ascii="宋体" w:hAnsi="宋体"/>
          <w:bCs/>
          <w:color w:val="000000"/>
          <w:sz w:val="24"/>
        </w:rPr>
        <w:t xml:space="preserve">              </w:t>
      </w:r>
      <w:r>
        <w:rPr>
          <w:rFonts w:hint="eastAsia" w:ascii="宋体" w:hAnsi="宋体"/>
          <w:bCs/>
          <w:color w:val="000000"/>
          <w:sz w:val="24"/>
          <w:lang w:val="en-US" w:eastAsia="zh-CN"/>
        </w:rPr>
        <w:t xml:space="preserve">    </w:t>
      </w:r>
      <w:r>
        <w:rPr>
          <w:rFonts w:hint="eastAsia" w:ascii="宋体" w:hAnsi="宋体"/>
          <w:bCs/>
          <w:color w:val="000000"/>
          <w:sz w:val="24"/>
        </w:rPr>
        <w:t xml:space="preserve">    （D.2）</w:t>
      </w:r>
    </w:p>
    <w:p>
      <w:pPr>
        <w:widowControl/>
        <w:ind w:firstLine="420"/>
        <w:rPr>
          <w:color w:val="000000"/>
          <w:sz w:val="24"/>
        </w:rPr>
      </w:pPr>
      <w:r>
        <w:rPr>
          <w:rFonts w:hint="eastAsia"/>
          <w:color w:val="000000"/>
          <w:sz w:val="24"/>
        </w:rPr>
        <w:t>式中：</w:t>
      </w:r>
    </w:p>
    <w:p>
      <w:pPr>
        <w:widowControl/>
        <w:adjustRightInd w:val="0"/>
        <w:snapToGrid w:val="0"/>
        <w:ind w:firstLine="420"/>
        <w:rPr>
          <w:color w:val="000000"/>
          <w:sz w:val="24"/>
        </w:rPr>
      </w:pPr>
      <w:r>
        <w:rPr>
          <w:bCs/>
          <w:i/>
          <w:color w:val="000000"/>
          <w:sz w:val="24"/>
        </w:rPr>
        <w:t>n</w:t>
      </w:r>
      <w:r>
        <w:rPr>
          <w:bCs/>
          <w:color w:val="000000"/>
          <w:sz w:val="24"/>
        </w:rPr>
        <w:t>——重复测量次数</w:t>
      </w:r>
      <w:r>
        <w:rPr>
          <w:rFonts w:hint="eastAsia"/>
          <w:bCs/>
          <w:color w:val="000000"/>
          <w:sz w:val="24"/>
        </w:rPr>
        <w:t>，取6</w:t>
      </w:r>
      <w:r>
        <w:rPr>
          <w:bCs/>
          <w:color w:val="000000"/>
          <w:sz w:val="24"/>
        </w:rPr>
        <w:t>；</w:t>
      </w:r>
    </w:p>
    <w:p>
      <w:pPr>
        <w:widowControl/>
        <w:adjustRightInd w:val="0"/>
        <w:snapToGrid w:val="0"/>
        <w:ind w:firstLine="420"/>
        <w:rPr>
          <w:bCs/>
          <w:color w:val="000000"/>
          <w:sz w:val="24"/>
        </w:rPr>
      </w:pPr>
      <w:r>
        <w:rPr>
          <w:bCs/>
          <w:i/>
          <w:iCs/>
          <w:color w:val="000000"/>
          <w:sz w:val="24"/>
        </w:rPr>
        <w:t>ε</w:t>
      </w:r>
      <w:r>
        <w:rPr>
          <w:bCs/>
          <w:i/>
          <w:iCs/>
          <w:color w:val="000000"/>
          <w:sz w:val="24"/>
          <w:vertAlign w:val="subscript"/>
        </w:rPr>
        <w:t>ij</w:t>
      </w:r>
      <w:r>
        <w:rPr>
          <w:bCs/>
          <w:color w:val="000000"/>
          <w:sz w:val="24"/>
        </w:rPr>
        <w:t>——第</w:t>
      </w:r>
      <w:r>
        <w:rPr>
          <w:bCs/>
          <w:i/>
          <w:color w:val="000000"/>
          <w:sz w:val="24"/>
        </w:rPr>
        <w:t>i</w:t>
      </w:r>
      <w:r>
        <w:rPr>
          <w:bCs/>
          <w:color w:val="000000"/>
          <w:sz w:val="24"/>
        </w:rPr>
        <w:t>个辐射率标准样品的第</w:t>
      </w:r>
      <w:r>
        <w:rPr>
          <w:bCs/>
          <w:i/>
          <w:color w:val="000000"/>
          <w:sz w:val="24"/>
        </w:rPr>
        <w:t>j</w:t>
      </w:r>
      <w:r>
        <w:rPr>
          <w:bCs/>
          <w:color w:val="000000"/>
          <w:sz w:val="24"/>
        </w:rPr>
        <w:t>次测试值；</w:t>
      </w:r>
    </w:p>
    <w:p>
      <w:pPr>
        <w:widowControl/>
        <w:adjustRightInd w:val="0"/>
        <w:snapToGrid w:val="0"/>
        <w:ind w:firstLine="420"/>
        <w:rPr>
          <w:bCs/>
          <w:color w:val="000000"/>
          <w:sz w:val="24"/>
        </w:rPr>
      </w:pPr>
      <w:r>
        <w:rPr>
          <w:bCs/>
          <w:color w:val="000000"/>
          <w:position w:val="-6"/>
          <w:sz w:val="24"/>
        </w:rPr>
        <w:object>
          <v:shape id="_x0000_i1041" o:spt="75" type="#_x0000_t75" style="height:17.25pt;width:12.75pt;" o:ole="t" filled="f" o:preferrelative="t" stroked="f" coordsize="21600,21600">
            <v:path/>
            <v:fill on="f" focussize="0,0"/>
            <v:stroke on="f" joinstyle="miter"/>
            <v:imagedata r:id="rId39" o:title=""/>
            <o:lock v:ext="edit" aspectratio="t"/>
            <w10:wrap type="none"/>
            <w10:anchorlock/>
          </v:shape>
          <o:OLEObject Type="Embed" ProgID="Equation.KSEE3" ShapeID="_x0000_i1041" DrawAspect="Content" ObjectID="_1468075738" r:id="rId38">
            <o:LockedField>false</o:LockedField>
          </o:OLEObject>
        </w:object>
      </w:r>
      <w:r>
        <w:rPr>
          <w:color w:val="000000"/>
          <w:sz w:val="24"/>
        </w:rPr>
        <w:t>——</w:t>
      </w:r>
      <w:r>
        <w:rPr>
          <w:bCs/>
          <w:color w:val="000000"/>
          <w:sz w:val="24"/>
        </w:rPr>
        <w:t>第</w:t>
      </w:r>
      <w:r>
        <w:rPr>
          <w:bCs/>
          <w:i/>
          <w:color w:val="000000"/>
          <w:sz w:val="24"/>
        </w:rPr>
        <w:t>i</w:t>
      </w:r>
      <w:r>
        <w:rPr>
          <w:bCs/>
          <w:color w:val="000000"/>
          <w:sz w:val="24"/>
        </w:rPr>
        <w:t>个辐射率标准样品的</w:t>
      </w:r>
      <w:r>
        <w:rPr>
          <w:bCs/>
          <w:i/>
          <w:color w:val="000000"/>
          <w:sz w:val="24"/>
        </w:rPr>
        <w:t>n</w:t>
      </w:r>
      <w:r>
        <w:rPr>
          <w:bCs/>
          <w:color w:val="000000"/>
          <w:sz w:val="24"/>
        </w:rPr>
        <w:t>次</w:t>
      </w:r>
      <w:r>
        <w:rPr>
          <w:rFonts w:hint="eastAsia"/>
          <w:bCs/>
          <w:color w:val="000000"/>
          <w:sz w:val="24"/>
        </w:rPr>
        <w:t>算术</w:t>
      </w:r>
      <w:r>
        <w:rPr>
          <w:bCs/>
          <w:color w:val="000000"/>
          <w:sz w:val="24"/>
        </w:rPr>
        <w:t>平均值；</w:t>
      </w:r>
    </w:p>
    <w:p>
      <w:pPr>
        <w:widowControl/>
        <w:adjustRightInd w:val="0"/>
        <w:snapToGrid w:val="0"/>
        <w:ind w:firstLine="420"/>
        <w:rPr>
          <w:bCs/>
          <w:color w:val="000000"/>
          <w:sz w:val="24"/>
        </w:rPr>
      </w:pPr>
      <w:r>
        <w:rPr>
          <w:bCs/>
          <w:color w:val="000000"/>
          <w:position w:val="-14"/>
          <w:sz w:val="24"/>
        </w:rPr>
        <w:object>
          <v:shape id="_x0000_i1042" o:spt="75" type="#_x0000_t75" style="height:18.75pt;width:15pt;" o:ole="t" filled="f" o:preferrelative="t" stroked="f" coordsize="21600,21600">
            <v:path/>
            <v:fill on="f" focussize="0,0"/>
            <v:stroke on="f" joinstyle="miter"/>
            <v:imagedata r:id="rId41" o:title=""/>
            <o:lock v:ext="edit" aspectratio="t"/>
            <w10:wrap type="none"/>
            <w10:anchorlock/>
          </v:shape>
          <o:OLEObject Type="Embed" ProgID="Equation.KSEE3" ShapeID="_x0000_i1042" DrawAspect="Content" ObjectID="_1468075739" r:id="rId40">
            <o:LockedField>false</o:LockedField>
          </o:OLEObject>
        </w:object>
      </w:r>
      <w:r>
        <w:rPr>
          <w:color w:val="000000"/>
          <w:sz w:val="24"/>
        </w:rPr>
        <w:t>——</w:t>
      </w:r>
      <w:r>
        <w:rPr>
          <w:bCs/>
          <w:color w:val="000000"/>
          <w:sz w:val="24"/>
        </w:rPr>
        <w:t>第</w:t>
      </w:r>
      <w:r>
        <w:rPr>
          <w:bCs/>
          <w:i/>
          <w:color w:val="000000"/>
          <w:sz w:val="24"/>
        </w:rPr>
        <w:t>i</w:t>
      </w:r>
      <w:r>
        <w:rPr>
          <w:bCs/>
          <w:color w:val="000000"/>
          <w:sz w:val="24"/>
        </w:rPr>
        <w:t>个辐射率标准样品的标准值；</w:t>
      </w:r>
    </w:p>
    <w:p>
      <w:pPr>
        <w:widowControl/>
        <w:adjustRightInd w:val="0"/>
        <w:snapToGrid w:val="0"/>
        <w:ind w:firstLine="420"/>
        <w:rPr>
          <w:color w:val="000000"/>
          <w:sz w:val="24"/>
        </w:rPr>
      </w:pPr>
      <w:r>
        <w:rPr>
          <w:color w:val="000000"/>
          <w:sz w:val="24"/>
        </w:rPr>
        <w:t>Δ</w:t>
      </w:r>
      <w:r>
        <w:rPr>
          <w:i/>
          <w:iCs/>
          <w:color w:val="000000"/>
          <w:sz w:val="24"/>
          <w:vertAlign w:val="subscript"/>
        </w:rPr>
        <w:t>i</w:t>
      </w:r>
      <w:r>
        <w:rPr>
          <w:color w:val="000000"/>
          <w:sz w:val="24"/>
        </w:rPr>
        <w:t>——</w:t>
      </w:r>
      <w:r>
        <w:rPr>
          <w:bCs/>
          <w:color w:val="000000"/>
          <w:sz w:val="24"/>
        </w:rPr>
        <w:t>辐射率</w:t>
      </w:r>
      <w:r>
        <w:rPr>
          <w:rFonts w:hint="eastAsia"/>
          <w:bCs/>
          <w:color w:val="000000"/>
          <w:sz w:val="24"/>
        </w:rPr>
        <w:t>算术</w:t>
      </w:r>
      <w:r>
        <w:rPr>
          <w:bCs/>
          <w:color w:val="000000"/>
          <w:sz w:val="24"/>
        </w:rPr>
        <w:t>平均值与标准值的差值</w:t>
      </w:r>
      <w:r>
        <w:rPr>
          <w:rFonts w:hint="eastAsia"/>
          <w:bCs/>
          <w:color w:val="000000"/>
          <w:sz w:val="24"/>
        </w:rPr>
        <w:t>，即示值误差</w:t>
      </w:r>
      <w:r>
        <w:rPr>
          <w:bCs/>
          <w:color w:val="000000"/>
          <w:sz w:val="24"/>
        </w:rPr>
        <w:t>。</w:t>
      </w:r>
    </w:p>
    <w:p>
      <w:pPr>
        <w:spacing w:beforeLines="50" w:afterLines="50"/>
        <w:rPr>
          <w:rFonts w:ascii="黑体" w:hAnsi="黑体" w:eastAsia="黑体" w:cs="黑体"/>
          <w:color w:val="000000"/>
          <w:sz w:val="24"/>
        </w:rPr>
      </w:pPr>
      <w:r>
        <w:rPr>
          <w:rFonts w:hint="eastAsia" w:ascii="黑体" w:hAnsi="黑体" w:eastAsia="黑体" w:cs="黑体"/>
          <w:color w:val="000000"/>
          <w:sz w:val="24"/>
        </w:rPr>
        <w:t>D.3 测量不确定度来源分析</w:t>
      </w:r>
    </w:p>
    <w:p>
      <w:pPr>
        <w:adjustRightInd w:val="0"/>
        <w:ind w:firstLine="480" w:firstLineChars="200"/>
        <w:rPr>
          <w:color w:val="000000"/>
          <w:sz w:val="24"/>
        </w:rPr>
      </w:pPr>
      <w:r>
        <w:rPr>
          <w:rFonts w:hint="eastAsia"/>
          <w:sz w:val="24"/>
        </w:rPr>
        <w:t>辐射率</w:t>
      </w:r>
      <w:r>
        <w:rPr>
          <w:rFonts w:hint="eastAsia"/>
          <w:color w:val="000000"/>
          <w:sz w:val="24"/>
        </w:rPr>
        <w:t>测量重复性引入的标准不确定度分量，此项可以由A类评定；标准样品引入的标准不确定度分量，此项可以由B类评定。</w:t>
      </w:r>
    </w:p>
    <w:p>
      <w:pPr>
        <w:adjustRightInd w:val="0"/>
        <w:snapToGrid w:val="0"/>
        <w:spacing w:beforeLines="50" w:afterLines="50"/>
        <w:rPr>
          <w:rFonts w:ascii="黑体" w:hAnsi="黑体" w:eastAsia="黑体" w:cs="黑体"/>
          <w:color w:val="000000"/>
          <w:sz w:val="24"/>
        </w:rPr>
      </w:pPr>
      <w:r>
        <w:rPr>
          <w:rFonts w:hint="eastAsia" w:ascii="黑体" w:hAnsi="黑体" w:eastAsia="黑体" w:cs="黑体"/>
          <w:color w:val="000000"/>
          <w:sz w:val="24"/>
        </w:rPr>
        <w:t>D.4 标准不确定度评定</w:t>
      </w:r>
    </w:p>
    <w:p>
      <w:pPr>
        <w:adjustRightInd w:val="0"/>
        <w:snapToGrid w:val="0"/>
        <w:rPr>
          <w:color w:val="000000"/>
          <w:sz w:val="24"/>
        </w:rPr>
      </w:pPr>
      <w:r>
        <w:rPr>
          <w:rFonts w:hint="eastAsia"/>
          <w:color w:val="000000"/>
          <w:sz w:val="24"/>
        </w:rPr>
        <w:t>D.4.1 由辐射率测量重复性引入的不确定度</w:t>
      </w:r>
      <w:r>
        <w:rPr>
          <w:rFonts w:hint="eastAsia"/>
          <w:color w:val="000000"/>
          <w:position w:val="-10"/>
          <w:sz w:val="24"/>
        </w:rPr>
        <w:object>
          <v:shape id="_x0000_i1043" o:spt="75" type="#_x0000_t75" style="height:18.75pt;width:24.75pt;" o:ole="t" filled="f" o:preferrelative="t" stroked="f" coordsize="21600,21600">
            <v:path/>
            <v:fill on="f" focussize="0,0"/>
            <v:stroke on="f" joinstyle="miter"/>
            <v:imagedata r:id="rId43" o:title=""/>
            <o:lock v:ext="edit" aspectratio="t"/>
            <w10:wrap type="none"/>
            <w10:anchorlock/>
          </v:shape>
          <o:OLEObject Type="Embed" ProgID="Equation.KSEE3" ShapeID="_x0000_i1043" DrawAspect="Content" ObjectID="_1468075740" r:id="rId42">
            <o:LockedField>false</o:LockedField>
          </o:OLEObject>
        </w:object>
      </w:r>
    </w:p>
    <w:p>
      <w:pPr>
        <w:adjustRightInd w:val="0"/>
        <w:snapToGrid w:val="0"/>
        <w:ind w:firstLine="420"/>
        <w:rPr>
          <w:color w:val="000000"/>
          <w:sz w:val="24"/>
        </w:rPr>
      </w:pPr>
      <w:r>
        <w:rPr>
          <w:rFonts w:hint="eastAsia"/>
          <w:color w:val="000000"/>
          <w:sz w:val="24"/>
        </w:rPr>
        <w:t>经计算，仪器测量标准值为</w:t>
      </w:r>
      <w:r>
        <w:rPr>
          <w:rFonts w:hint="eastAsia" w:ascii="宋体" w:hAnsi="宋体"/>
          <w:bCs/>
          <w:color w:val="000000"/>
          <w:sz w:val="24"/>
        </w:rPr>
        <w:t>0.164的标准样品的</w:t>
      </w:r>
      <w:r>
        <w:rPr>
          <w:rFonts w:hint="eastAsia"/>
          <w:color w:val="000000"/>
          <w:kern w:val="0"/>
          <w:sz w:val="24"/>
        </w:rPr>
        <w:t>示值误差绝对值最大</w:t>
      </w:r>
      <w:r>
        <w:rPr>
          <w:rFonts w:hint="eastAsia"/>
          <w:color w:val="000000"/>
          <w:sz w:val="24"/>
        </w:rPr>
        <w:t>，将该示值误差作为仪器示值误差，并使用该标准样品的重复性数据来评定不确定度。多次</w:t>
      </w:r>
      <w:r>
        <w:rPr>
          <w:color w:val="000000"/>
          <w:sz w:val="24"/>
        </w:rPr>
        <w:t>测试数据</w:t>
      </w:r>
      <w:r>
        <w:rPr>
          <w:rFonts w:hint="eastAsia"/>
          <w:color w:val="000000"/>
          <w:sz w:val="24"/>
        </w:rPr>
        <w:t>为：0.175、0.180、0.178、0.178、0.178、0.178</w:t>
      </w:r>
      <w:r>
        <w:rPr>
          <w:rFonts w:hint="eastAsia"/>
          <w:sz w:val="24"/>
        </w:rPr>
        <w:t>。算术</w:t>
      </w:r>
      <w:r>
        <w:rPr>
          <w:rFonts w:hint="eastAsia"/>
          <w:color w:val="000000"/>
          <w:sz w:val="24"/>
        </w:rPr>
        <w:t>平均值按照公式（D.3）计算：</w:t>
      </w:r>
    </w:p>
    <w:p>
      <w:pPr>
        <w:adjustRightInd w:val="0"/>
        <w:snapToGrid w:val="0"/>
        <w:jc w:val="right"/>
        <w:rPr>
          <w:color w:val="000000"/>
          <w:sz w:val="24"/>
        </w:rPr>
      </w:pPr>
      <w:r>
        <w:rPr>
          <w:rFonts w:hint="eastAsia"/>
          <w:color w:val="000000"/>
          <w:position w:val="-30"/>
          <w:sz w:val="24"/>
        </w:rPr>
        <w:object>
          <v:shape id="_x0000_i1044" o:spt="75" type="#_x0000_t75" style="height:36.75pt;width:108pt;" o:ole="t" filled="f" o:preferrelative="t" stroked="f" coordsize="21600,21600">
            <v:path/>
            <v:fill on="f" focussize="0,0"/>
            <v:stroke on="f" joinstyle="miter"/>
            <v:imagedata r:id="rId45" o:title=""/>
            <o:lock v:ext="edit" aspectratio="t"/>
            <w10:wrap type="none"/>
            <w10:anchorlock/>
          </v:shape>
          <o:OLEObject Type="Embed" ProgID="Equation.KSEE3" ShapeID="_x0000_i1044" DrawAspect="Content" ObjectID="_1468075741" r:id="rId44">
            <o:LockedField>false</o:LockedField>
          </o:OLEObject>
        </w:object>
      </w:r>
      <w:r>
        <w:rPr>
          <w:rFonts w:hint="eastAsia"/>
          <w:color w:val="000000"/>
          <w:sz w:val="24"/>
        </w:rPr>
        <w:t xml:space="preserve">                  （D.3）</w:t>
      </w:r>
    </w:p>
    <w:p>
      <w:pPr>
        <w:widowControl/>
        <w:adjustRightInd w:val="0"/>
        <w:snapToGrid w:val="0"/>
        <w:ind w:firstLine="420"/>
        <w:rPr>
          <w:rFonts w:ascii="宋体" w:hAnsi="宋体"/>
          <w:bCs/>
          <w:color w:val="000000"/>
          <w:sz w:val="24"/>
        </w:rPr>
      </w:pPr>
      <w:r>
        <w:rPr>
          <w:rFonts w:hint="eastAsia" w:ascii="宋体" w:hAnsi="宋体"/>
          <w:bCs/>
          <w:color w:val="000000"/>
          <w:sz w:val="24"/>
        </w:rPr>
        <w:t>式中：</w:t>
      </w:r>
    </w:p>
    <w:p>
      <w:pPr>
        <w:widowControl/>
        <w:adjustRightInd w:val="0"/>
        <w:snapToGrid w:val="0"/>
        <w:ind w:firstLine="420"/>
        <w:rPr>
          <w:color w:val="000000"/>
          <w:sz w:val="24"/>
        </w:rPr>
      </w:pPr>
      <w:r>
        <w:rPr>
          <w:rFonts w:hint="eastAsia" w:ascii="宋体" w:hAnsi="宋体"/>
          <w:bCs/>
          <w:color w:val="000000"/>
          <w:position w:val="-6"/>
          <w:sz w:val="24"/>
        </w:rPr>
        <w:object>
          <v:shape id="_x0000_i1045" o:spt="75" type="#_x0000_t75" style="height:11.25pt;width:9.75pt;" o:ole="t" filled="f" o:preferrelative="t" stroked="f" coordsize="21600,21600">
            <v:path/>
            <v:fill on="f" focussize="0,0"/>
            <v:stroke on="f" joinstyle="miter"/>
            <v:imagedata r:id="rId47" o:title=""/>
            <o:lock v:ext="edit" aspectratio="t"/>
            <w10:wrap type="none"/>
            <w10:anchorlock/>
          </v:shape>
          <o:OLEObject Type="Embed" ProgID="Equation.KSEE3" ShapeID="_x0000_i1045" DrawAspect="Content" ObjectID="_1468075742" r:id="rId46">
            <o:LockedField>false</o:LockedField>
          </o:OLEObject>
        </w:object>
      </w:r>
      <w:r>
        <w:rPr>
          <w:rFonts w:hint="eastAsia" w:ascii="宋体" w:hAnsi="宋体"/>
          <w:bCs/>
          <w:color w:val="000000"/>
          <w:sz w:val="24"/>
        </w:rPr>
        <w:t>——重复测量次数；</w:t>
      </w:r>
    </w:p>
    <w:p>
      <w:pPr>
        <w:widowControl/>
        <w:adjustRightInd w:val="0"/>
        <w:snapToGrid w:val="0"/>
        <w:ind w:firstLine="420"/>
        <w:rPr>
          <w:rFonts w:ascii="宋体" w:hAnsi="宋体"/>
          <w:bCs/>
          <w:color w:val="000000"/>
          <w:sz w:val="24"/>
        </w:rPr>
      </w:pPr>
      <w:r>
        <w:rPr>
          <w:rFonts w:hint="eastAsia" w:ascii="宋体" w:hAnsi="宋体"/>
          <w:bCs/>
          <w:color w:val="000000"/>
          <w:position w:val="-14"/>
          <w:sz w:val="24"/>
        </w:rPr>
        <w:object>
          <v:shape id="_x0000_i1046" o:spt="75" type="#_x0000_t75" style="height:18.75pt;width:14.25pt;" o:ole="t" filled="f" o:preferrelative="t" stroked="f" coordsize="21600,21600">
            <v:path/>
            <v:fill on="f" focussize="0,0"/>
            <v:stroke on="f" joinstyle="miter"/>
            <v:imagedata r:id="rId49" o:title=""/>
            <o:lock v:ext="edit" aspectratio="t"/>
            <w10:wrap type="none"/>
            <w10:anchorlock/>
          </v:shape>
          <o:OLEObject Type="Embed" ProgID="Equation.KSEE3" ShapeID="_x0000_i1046" DrawAspect="Content" ObjectID="_1468075743" r:id="rId48">
            <o:LockedField>false</o:LockedField>
          </o:OLEObject>
        </w:object>
      </w:r>
      <w:r>
        <w:rPr>
          <w:rFonts w:hint="eastAsia" w:ascii="宋体" w:hAnsi="宋体"/>
          <w:bCs/>
          <w:color w:val="000000"/>
          <w:sz w:val="24"/>
        </w:rPr>
        <w:t>——辐射率标准样品的第</w:t>
      </w:r>
      <w:r>
        <w:rPr>
          <w:rFonts w:hint="eastAsia" w:ascii="宋体" w:hAnsi="宋体"/>
          <w:bCs/>
          <w:i/>
          <w:iCs/>
          <w:color w:val="000000"/>
          <w:sz w:val="24"/>
        </w:rPr>
        <w:t>j</w:t>
      </w:r>
      <w:r>
        <w:rPr>
          <w:rFonts w:hint="eastAsia" w:ascii="宋体" w:hAnsi="宋体"/>
          <w:bCs/>
          <w:color w:val="000000"/>
          <w:sz w:val="24"/>
        </w:rPr>
        <w:t>次测试值；</w:t>
      </w:r>
    </w:p>
    <w:p>
      <w:pPr>
        <w:widowControl/>
        <w:adjustRightInd w:val="0"/>
        <w:snapToGrid w:val="0"/>
        <w:ind w:firstLine="420"/>
        <w:rPr>
          <w:rFonts w:ascii="宋体" w:hAnsi="宋体"/>
          <w:bCs/>
          <w:color w:val="000000"/>
          <w:sz w:val="24"/>
        </w:rPr>
      </w:pPr>
      <w:r>
        <w:rPr>
          <w:rFonts w:hint="eastAsia" w:ascii="宋体" w:hAnsi="宋体"/>
          <w:bCs/>
          <w:color w:val="000000"/>
          <w:position w:val="-6"/>
          <w:sz w:val="24"/>
        </w:rPr>
        <w:object>
          <v:shape id="_x0000_i1047" o:spt="75" type="#_x0000_t75" style="height:17.25pt;width:9.75pt;" o:ole="t" filled="f" o:preferrelative="t" stroked="f" coordsize="21600,21600">
            <v:path/>
            <v:fill on="f" focussize="0,0"/>
            <v:stroke on="f" joinstyle="miter"/>
            <v:imagedata r:id="rId51" o:title=""/>
            <o:lock v:ext="edit" aspectratio="t"/>
            <w10:wrap type="none"/>
            <w10:anchorlock/>
          </v:shape>
          <o:OLEObject Type="Embed" ProgID="Equation.KSEE3" ShapeID="_x0000_i1047" DrawAspect="Content" ObjectID="_1468075744" r:id="rId50">
            <o:LockedField>false</o:LockedField>
          </o:OLEObject>
        </w:object>
      </w:r>
      <w:r>
        <w:rPr>
          <w:rFonts w:hint="eastAsia"/>
          <w:color w:val="000000"/>
          <w:sz w:val="24"/>
        </w:rPr>
        <w:t>——</w:t>
      </w:r>
      <w:r>
        <w:rPr>
          <w:rFonts w:hint="eastAsia" w:ascii="宋体" w:hAnsi="宋体"/>
          <w:bCs/>
          <w:color w:val="000000"/>
          <w:sz w:val="24"/>
        </w:rPr>
        <w:t>辐射率标准样品的n次算术平均值。</w:t>
      </w:r>
    </w:p>
    <w:p>
      <w:pPr>
        <w:ind w:firstLine="420"/>
        <w:rPr>
          <w:color w:val="000000"/>
          <w:sz w:val="24"/>
        </w:rPr>
      </w:pPr>
      <w:r>
        <w:rPr>
          <w:rFonts w:hint="eastAsia"/>
          <w:color w:val="000000"/>
          <w:sz w:val="24"/>
        </w:rPr>
        <w:t>测量的重复性标准偏差按照公式（D.4）计算：</w:t>
      </w:r>
    </w:p>
    <w:p>
      <w:pPr>
        <w:ind w:firstLine="420"/>
        <w:jc w:val="right"/>
        <w:rPr>
          <w:color w:val="000000"/>
          <w:sz w:val="24"/>
        </w:rPr>
      </w:pPr>
      <w:r>
        <w:rPr>
          <w:rFonts w:hint="eastAsia" w:ascii="宋体" w:hAnsi="宋体"/>
          <w:bCs/>
          <w:color w:val="000000"/>
          <w:position w:val="-26"/>
          <w:sz w:val="24"/>
        </w:rPr>
        <w:object>
          <v:shape id="_x0000_i1048" o:spt="75" type="#_x0000_t75" style="height:53.25pt;width:150.75pt;" o:ole="t" filled="f" o:preferrelative="t" stroked="f" coordsize="21600,21600">
            <v:path/>
            <v:fill on="f" focussize="0,0"/>
            <v:stroke on="f" joinstyle="miter"/>
            <v:imagedata r:id="rId53" o:title=""/>
            <o:lock v:ext="edit" aspectratio="t"/>
            <w10:wrap type="none"/>
            <w10:anchorlock/>
          </v:shape>
          <o:OLEObject Type="Embed" ProgID="Equation.KSEE3" ShapeID="_x0000_i1048" DrawAspect="Content" ObjectID="_1468075745" r:id="rId52">
            <o:LockedField>false</o:LockedField>
          </o:OLEObject>
        </w:object>
      </w:r>
      <w:r>
        <w:rPr>
          <w:rFonts w:hint="eastAsia"/>
          <w:color w:val="000000"/>
          <w:sz w:val="24"/>
        </w:rPr>
        <w:t xml:space="preserve">               （D.4）</w:t>
      </w:r>
    </w:p>
    <w:p>
      <w:pPr>
        <w:widowControl/>
        <w:ind w:firstLine="420"/>
        <w:rPr>
          <w:rFonts w:ascii="宋体" w:hAnsi="宋体"/>
          <w:bCs/>
          <w:color w:val="000000"/>
          <w:sz w:val="24"/>
        </w:rPr>
      </w:pPr>
      <w:r>
        <w:rPr>
          <w:rFonts w:hint="eastAsia" w:ascii="宋体" w:hAnsi="宋体"/>
          <w:bCs/>
          <w:color w:val="000000"/>
          <w:sz w:val="24"/>
        </w:rPr>
        <w:t>式中：</w:t>
      </w:r>
    </w:p>
    <w:p>
      <w:pPr>
        <w:widowControl/>
        <w:adjustRightInd w:val="0"/>
        <w:snapToGrid w:val="0"/>
        <w:ind w:firstLine="420"/>
        <w:rPr>
          <w:color w:val="000000"/>
          <w:sz w:val="24"/>
        </w:rPr>
      </w:pPr>
      <w:r>
        <w:rPr>
          <w:bCs/>
          <w:i/>
          <w:color w:val="000000"/>
          <w:sz w:val="24"/>
        </w:rPr>
        <w:t>n</w:t>
      </w:r>
      <w:r>
        <w:rPr>
          <w:bCs/>
          <w:color w:val="000000"/>
          <w:sz w:val="24"/>
        </w:rPr>
        <w:t>——重复测量次数；</w:t>
      </w:r>
    </w:p>
    <w:p>
      <w:pPr>
        <w:widowControl/>
        <w:adjustRightInd w:val="0"/>
        <w:snapToGrid w:val="0"/>
        <w:ind w:firstLine="420"/>
        <w:rPr>
          <w:bCs/>
          <w:color w:val="000000"/>
          <w:sz w:val="24"/>
        </w:rPr>
      </w:pPr>
      <w:r>
        <w:rPr>
          <w:bCs/>
          <w:color w:val="000000"/>
          <w:position w:val="-14"/>
          <w:sz w:val="24"/>
        </w:rPr>
        <w:object>
          <v:shape id="_x0000_i1049" o:spt="75" type="#_x0000_t75" style="height:18.75pt;width:15pt;" o:ole="t" filled="f" o:preferrelative="t" stroked="f" coordsize="21600,21600">
            <v:path/>
            <v:fill on="f" focussize="0,0"/>
            <v:stroke on="f" joinstyle="miter"/>
            <v:imagedata r:id="rId55" o:title=""/>
            <o:lock v:ext="edit" aspectratio="t"/>
            <w10:wrap type="none"/>
            <w10:anchorlock/>
          </v:shape>
          <o:OLEObject Type="Embed" ProgID="Equation.KSEE3" ShapeID="_x0000_i1049" DrawAspect="Content" ObjectID="_1468075746" r:id="rId54">
            <o:LockedField>false</o:LockedField>
          </o:OLEObject>
        </w:object>
      </w:r>
      <w:r>
        <w:rPr>
          <w:bCs/>
          <w:color w:val="000000"/>
          <w:sz w:val="24"/>
        </w:rPr>
        <w:t>——辐射率标准样品的第</w:t>
      </w:r>
      <w:r>
        <w:rPr>
          <w:bCs/>
          <w:i/>
          <w:color w:val="000000"/>
          <w:sz w:val="24"/>
        </w:rPr>
        <w:t>j</w:t>
      </w:r>
      <w:r>
        <w:rPr>
          <w:bCs/>
          <w:color w:val="000000"/>
          <w:sz w:val="24"/>
        </w:rPr>
        <w:t>次测试值；</w:t>
      </w:r>
    </w:p>
    <w:p>
      <w:pPr>
        <w:widowControl/>
        <w:adjustRightInd w:val="0"/>
        <w:snapToGrid w:val="0"/>
        <w:ind w:firstLine="420"/>
        <w:rPr>
          <w:bCs/>
          <w:color w:val="000000"/>
          <w:sz w:val="24"/>
        </w:rPr>
      </w:pPr>
      <w:r>
        <w:rPr>
          <w:bCs/>
          <w:color w:val="000000"/>
          <w:position w:val="-6"/>
          <w:sz w:val="24"/>
        </w:rPr>
        <w:object>
          <v:shape id="_x0000_i1050" o:spt="75" type="#_x0000_t75" style="height:15pt;width:9pt;" o:ole="t" filled="f" o:preferrelative="t" stroked="f" coordsize="21600,21600">
            <v:path/>
            <v:fill on="f" focussize="0,0"/>
            <v:stroke on="f" joinstyle="miter"/>
            <v:imagedata r:id="rId57" o:title=""/>
            <o:lock v:ext="edit" aspectratio="t"/>
            <w10:wrap type="none"/>
            <w10:anchorlock/>
          </v:shape>
          <o:OLEObject Type="Embed" ProgID="Equation.KSEE3" ShapeID="_x0000_i1050" DrawAspect="Content" ObjectID="_1468075747" r:id="rId56">
            <o:LockedField>false</o:LockedField>
          </o:OLEObject>
        </w:object>
      </w:r>
      <w:r>
        <w:rPr>
          <w:color w:val="000000"/>
          <w:sz w:val="24"/>
        </w:rPr>
        <w:t>——</w:t>
      </w:r>
      <w:r>
        <w:rPr>
          <w:bCs/>
          <w:color w:val="000000"/>
          <w:sz w:val="24"/>
        </w:rPr>
        <w:t>辐射率标准样品的</w:t>
      </w:r>
      <w:r>
        <w:rPr>
          <w:bCs/>
          <w:i/>
          <w:color w:val="000000"/>
          <w:sz w:val="24"/>
        </w:rPr>
        <w:t>n</w:t>
      </w:r>
      <w:r>
        <w:rPr>
          <w:bCs/>
          <w:color w:val="000000"/>
          <w:sz w:val="24"/>
        </w:rPr>
        <w:t>次</w:t>
      </w:r>
      <w:r>
        <w:rPr>
          <w:rFonts w:hint="eastAsia"/>
          <w:bCs/>
          <w:color w:val="000000"/>
          <w:sz w:val="24"/>
        </w:rPr>
        <w:t>算术</w:t>
      </w:r>
      <w:r>
        <w:rPr>
          <w:bCs/>
          <w:color w:val="000000"/>
          <w:sz w:val="24"/>
        </w:rPr>
        <w:t>平均值；</w:t>
      </w:r>
    </w:p>
    <w:p>
      <w:pPr>
        <w:adjustRightInd w:val="0"/>
        <w:snapToGrid w:val="0"/>
        <w:ind w:firstLine="420"/>
        <w:rPr>
          <w:color w:val="000000"/>
          <w:sz w:val="24"/>
        </w:rPr>
      </w:pPr>
      <w:r>
        <w:rPr>
          <w:bCs/>
          <w:color w:val="000000"/>
          <w:position w:val="-10"/>
          <w:sz w:val="24"/>
        </w:rPr>
        <w:object>
          <v:shape id="_x0000_i1051" o:spt="75" type="#_x0000_t75" style="height:18.75pt;width:24pt;" o:ole="t" filled="f" o:preferrelative="t" stroked="f" coordsize="21600,21600">
            <v:path/>
            <v:fill on="f" focussize="0,0"/>
            <v:stroke on="f" joinstyle="miter"/>
            <v:imagedata r:id="rId59" o:title=""/>
            <o:lock v:ext="edit" aspectratio="t"/>
            <w10:wrap type="none"/>
            <w10:anchorlock/>
          </v:shape>
          <o:OLEObject Type="Embed" ProgID="Equation.KSEE3" ShapeID="_x0000_i1051" DrawAspect="Content" ObjectID="_1468075748" r:id="rId58">
            <o:LockedField>false</o:LockedField>
          </o:OLEObject>
        </w:object>
      </w:r>
      <w:r>
        <w:rPr>
          <w:color w:val="000000"/>
          <w:sz w:val="24"/>
        </w:rPr>
        <w:t>——辐射率重复性标准偏差。</w:t>
      </w:r>
    </w:p>
    <w:p>
      <w:pPr>
        <w:adjustRightInd w:val="0"/>
        <w:snapToGrid w:val="0"/>
        <w:ind w:firstLine="420"/>
        <w:rPr>
          <w:color w:val="000000"/>
          <w:sz w:val="24"/>
        </w:rPr>
      </w:pPr>
      <w:r>
        <w:rPr>
          <w:color w:val="000000"/>
          <w:sz w:val="24"/>
        </w:rPr>
        <w:t>被测量估计值</w:t>
      </w:r>
      <w:r>
        <w:rPr>
          <w:color w:val="000000"/>
          <w:position w:val="-6"/>
          <w:sz w:val="24"/>
        </w:rPr>
        <w:object>
          <v:shape id="_x0000_i1052" o:spt="75" type="#_x0000_t75" style="height:15pt;width:9pt;" o:ole="t" filled="f" o:preferrelative="t" stroked="f" coordsize="21600,21600">
            <v:path/>
            <v:fill on="f" focussize="0,0"/>
            <v:stroke on="f" joinstyle="miter"/>
            <v:imagedata r:id="rId61" o:title=""/>
            <o:lock v:ext="edit" aspectratio="t"/>
            <w10:wrap type="none"/>
            <w10:anchorlock/>
          </v:shape>
          <o:OLEObject Type="Embed" ProgID="Equation.KSEE3" ShapeID="_x0000_i1052" DrawAspect="Content" ObjectID="_1468075749" r:id="rId60">
            <o:LockedField>false</o:LockedField>
          </o:OLEObject>
        </w:object>
      </w:r>
      <w:r>
        <w:rPr>
          <w:color w:val="000000"/>
          <w:sz w:val="24"/>
        </w:rPr>
        <w:t>的A类标准不确定度</w:t>
      </w:r>
      <w:r>
        <w:rPr>
          <w:rFonts w:hint="eastAsia"/>
          <w:color w:val="000000"/>
          <w:position w:val="-14"/>
          <w:sz w:val="24"/>
        </w:rPr>
        <w:object>
          <v:shape id="_x0000_i1053" o:spt="75" type="#_x0000_t75" style="height:21pt;width:30pt;" o:ole="t" filled="f" o:preferrelative="t" stroked="f" coordsize="21600,21600">
            <v:path/>
            <v:fill on="f" focussize="0,0"/>
            <v:stroke on="f" joinstyle="miter"/>
            <v:imagedata r:id="rId63" o:title=""/>
            <o:lock v:ext="edit" aspectratio="t"/>
            <w10:wrap type="none"/>
            <w10:anchorlock/>
          </v:shape>
          <o:OLEObject Type="Embed" ProgID="Equation.KSEE3" ShapeID="_x0000_i1053" DrawAspect="Content" ObjectID="_1468075750" r:id="rId62">
            <o:LockedField>false</o:LockedField>
          </o:OLEObject>
        </w:object>
      </w:r>
      <w:r>
        <w:rPr>
          <w:rFonts w:hint="eastAsia"/>
          <w:color w:val="000000"/>
          <w:sz w:val="24"/>
        </w:rPr>
        <w:t>按照公式（D.5）计算：</w:t>
      </w:r>
    </w:p>
    <w:p>
      <w:pPr>
        <w:adjustRightInd w:val="0"/>
        <w:snapToGrid w:val="0"/>
        <w:ind w:firstLine="420"/>
        <w:jc w:val="right"/>
        <w:rPr>
          <w:color w:val="000000"/>
          <w:sz w:val="24"/>
        </w:rPr>
      </w:pPr>
      <w:r>
        <w:rPr>
          <w:rFonts w:hint="eastAsia"/>
          <w:color w:val="000000"/>
          <w:position w:val="-28"/>
          <w:sz w:val="24"/>
        </w:rPr>
        <w:object>
          <v:shape id="_x0000_i1054" o:spt="75" type="#_x0000_t75" style="height:35.25pt;width:110.25pt;" o:ole="t" filled="f" o:preferrelative="t" stroked="f" coordsize="21600,21600">
            <v:path/>
            <v:fill on="f" focussize="0,0"/>
            <v:stroke on="f" joinstyle="miter"/>
            <v:imagedata r:id="rId65" o:title=""/>
            <o:lock v:ext="edit" aspectratio="t"/>
            <w10:wrap type="none"/>
            <w10:anchorlock/>
          </v:shape>
          <o:OLEObject Type="Embed" ProgID="Equation.KSEE3" ShapeID="_x0000_i1054" DrawAspect="Content" ObjectID="_1468075751" r:id="rId64">
            <o:LockedField>false</o:LockedField>
          </o:OLEObject>
        </w:object>
      </w:r>
      <w:r>
        <w:rPr>
          <w:rFonts w:hint="eastAsia"/>
          <w:color w:val="000000"/>
          <w:sz w:val="24"/>
        </w:rPr>
        <w:t xml:space="preserve">                    （D.5）</w:t>
      </w:r>
    </w:p>
    <w:p>
      <w:pPr>
        <w:widowControl/>
        <w:adjustRightInd w:val="0"/>
        <w:snapToGrid w:val="0"/>
        <w:ind w:firstLine="420"/>
        <w:rPr>
          <w:rFonts w:ascii="宋体" w:hAnsi="宋体"/>
          <w:bCs/>
          <w:color w:val="000000"/>
          <w:sz w:val="24"/>
        </w:rPr>
      </w:pPr>
      <w:r>
        <w:rPr>
          <w:rFonts w:hint="eastAsia" w:ascii="宋体" w:hAnsi="宋体"/>
          <w:bCs/>
          <w:color w:val="000000"/>
          <w:sz w:val="24"/>
        </w:rPr>
        <w:t>式中：</w:t>
      </w:r>
    </w:p>
    <w:p>
      <w:pPr>
        <w:widowControl/>
        <w:adjustRightInd w:val="0"/>
        <w:snapToGrid w:val="0"/>
        <w:ind w:firstLine="420"/>
        <w:rPr>
          <w:color w:val="000000"/>
          <w:sz w:val="24"/>
        </w:rPr>
      </w:pPr>
      <w:r>
        <w:rPr>
          <w:bCs/>
          <w:i/>
          <w:color w:val="000000"/>
          <w:sz w:val="24"/>
        </w:rPr>
        <w:t>n</w:t>
      </w:r>
      <w:r>
        <w:rPr>
          <w:rFonts w:hint="eastAsia" w:ascii="宋体" w:hAnsi="宋体"/>
          <w:bCs/>
          <w:color w:val="000000"/>
          <w:sz w:val="24"/>
        </w:rPr>
        <w:t>——重复测量次数；</w:t>
      </w:r>
    </w:p>
    <w:p>
      <w:pPr>
        <w:adjustRightInd w:val="0"/>
        <w:snapToGrid w:val="0"/>
        <w:ind w:firstLine="420"/>
        <w:rPr>
          <w:color w:val="000000"/>
          <w:sz w:val="24"/>
        </w:rPr>
      </w:pPr>
      <w:r>
        <w:rPr>
          <w:rFonts w:hint="eastAsia" w:ascii="宋体" w:hAnsi="宋体"/>
          <w:bCs/>
          <w:color w:val="000000"/>
          <w:position w:val="-10"/>
          <w:sz w:val="24"/>
        </w:rPr>
        <w:object>
          <v:shape id="_x0000_i1055" o:spt="75" type="#_x0000_t75" style="height:18.75pt;width:24pt;" o:ole="t" filled="f" o:preferrelative="t" stroked="f" coordsize="21600,21600">
            <v:path/>
            <v:fill on="f" focussize="0,0"/>
            <v:stroke on="f" joinstyle="miter"/>
            <v:imagedata r:id="rId67" o:title=""/>
            <o:lock v:ext="edit" aspectratio="t"/>
            <w10:wrap type="none"/>
            <w10:anchorlock/>
          </v:shape>
          <o:OLEObject Type="Embed" ProgID="Equation.KSEE3" ShapeID="_x0000_i1055" DrawAspect="Content" ObjectID="_1468075752" r:id="rId66">
            <o:LockedField>false</o:LockedField>
          </o:OLEObject>
        </w:object>
      </w:r>
      <w:r>
        <w:rPr>
          <w:rFonts w:hint="eastAsia"/>
          <w:color w:val="000000"/>
          <w:sz w:val="24"/>
        </w:rPr>
        <w:t>——辐射率重复性标准偏差；</w:t>
      </w:r>
    </w:p>
    <w:p>
      <w:pPr>
        <w:adjustRightInd w:val="0"/>
        <w:snapToGrid w:val="0"/>
        <w:ind w:firstLine="420"/>
        <w:rPr>
          <w:color w:val="000000"/>
          <w:sz w:val="24"/>
        </w:rPr>
      </w:pPr>
      <w:r>
        <w:rPr>
          <w:rFonts w:hint="eastAsia"/>
          <w:color w:val="000000"/>
          <w:position w:val="-10"/>
          <w:sz w:val="24"/>
        </w:rPr>
        <w:object>
          <v:shape id="_x0000_i1056" o:spt="75" type="#_x0000_t75" style="height:18.75pt;width:24.75pt;" o:ole="t" filled="f" o:preferrelative="t" stroked="f" coordsize="21600,21600">
            <v:path/>
            <v:fill on="f" focussize="0,0"/>
            <v:stroke on="f" joinstyle="miter"/>
            <v:imagedata r:id="rId69" o:title=""/>
            <o:lock v:ext="edit" aspectratio="t"/>
            <w10:wrap type="none"/>
            <w10:anchorlock/>
          </v:shape>
          <o:OLEObject Type="Embed" ProgID="Equation.KSEE3" ShapeID="_x0000_i1056" DrawAspect="Content" ObjectID="_1468075753" r:id="rId68">
            <o:LockedField>false</o:LockedField>
          </o:OLEObject>
        </w:object>
      </w:r>
      <w:r>
        <w:rPr>
          <w:rFonts w:hint="eastAsia"/>
          <w:color w:val="000000"/>
          <w:sz w:val="24"/>
        </w:rPr>
        <w:t>——辐射率估计值的标准不确定度。</w:t>
      </w:r>
    </w:p>
    <w:p>
      <w:pPr>
        <w:rPr>
          <w:color w:val="000000"/>
          <w:sz w:val="24"/>
        </w:rPr>
      </w:pPr>
      <w:r>
        <w:rPr>
          <w:rFonts w:hint="eastAsia"/>
          <w:color w:val="000000"/>
          <w:sz w:val="24"/>
        </w:rPr>
        <w:t>D.4.2 由标准样品引入的不确定度</w:t>
      </w:r>
      <w:r>
        <w:rPr>
          <w:rFonts w:hint="eastAsia"/>
          <w:color w:val="000000"/>
          <w:position w:val="-10"/>
          <w:sz w:val="24"/>
        </w:rPr>
        <w:object>
          <v:shape id="_x0000_i1057" o:spt="75" type="#_x0000_t75" style="height:15pt;width:26.25pt;" o:ole="t" filled="f" o:preferrelative="t" stroked="f" coordsize="21600,21600">
            <v:path/>
            <v:fill on="f" focussize="0,0"/>
            <v:stroke on="f" joinstyle="miter"/>
            <v:imagedata r:id="rId71" o:title=""/>
            <o:lock v:ext="edit" aspectratio="t"/>
            <w10:wrap type="none"/>
            <w10:anchorlock/>
          </v:shape>
          <o:OLEObject Type="Embed" ProgID="Equation.KSEE3" ShapeID="_x0000_i1057" DrawAspect="Content" ObjectID="_1468075754" r:id="rId70">
            <o:LockedField>false</o:LockedField>
          </o:OLEObject>
        </w:object>
      </w:r>
    </w:p>
    <w:p>
      <w:pPr>
        <w:adjustRightInd w:val="0"/>
        <w:snapToGrid w:val="0"/>
        <w:ind w:firstLine="420"/>
        <w:rPr>
          <w:color w:val="000000"/>
          <w:sz w:val="24"/>
          <w:highlight w:val="yellow"/>
        </w:rPr>
      </w:pPr>
      <w:r>
        <w:rPr>
          <w:rFonts w:hint="eastAsia"/>
          <w:color w:val="000000"/>
          <w:sz w:val="24"/>
        </w:rPr>
        <w:t>此项为B类不确定度分量，标准样品辐射率标准值的测量不确定度为0.02，</w:t>
      </w:r>
      <w:r>
        <w:rPr>
          <w:rFonts w:hint="eastAsia"/>
          <w:i/>
          <w:iCs/>
          <w:color w:val="000000"/>
          <w:sz w:val="24"/>
        </w:rPr>
        <w:t>k</w:t>
      </w:r>
      <w:r>
        <w:rPr>
          <w:rFonts w:hint="eastAsia"/>
          <w:color w:val="000000"/>
          <w:sz w:val="24"/>
        </w:rPr>
        <w:t xml:space="preserve"> =2，标准不确定度按照公式（D.6）计算：</w:t>
      </w:r>
    </w:p>
    <w:p>
      <w:pPr>
        <w:adjustRightInd w:val="0"/>
        <w:snapToGrid w:val="0"/>
        <w:ind w:firstLine="420"/>
        <w:jc w:val="right"/>
        <w:rPr>
          <w:color w:val="000000"/>
          <w:sz w:val="24"/>
        </w:rPr>
      </w:pPr>
      <w:r>
        <w:rPr>
          <w:rFonts w:hint="eastAsia"/>
          <w:color w:val="000000"/>
          <w:position w:val="-24"/>
          <w:sz w:val="24"/>
        </w:rPr>
        <w:object>
          <v:shape id="_x0000_i1058" o:spt="75" type="#_x0000_t75" style="height:30.75pt;width:104.25pt;" o:ole="t" filled="f" o:preferrelative="t" stroked="f" coordsize="21600,21600">
            <v:path/>
            <v:fill on="f" focussize="0,0"/>
            <v:stroke on="f" joinstyle="miter"/>
            <v:imagedata r:id="rId73" o:title=""/>
            <o:lock v:ext="edit" aspectratio="t"/>
            <w10:wrap type="none"/>
            <w10:anchorlock/>
          </v:shape>
          <o:OLEObject Type="Embed" ProgID="Equation.KSEE3" ShapeID="_x0000_i1058" DrawAspect="Content" ObjectID="_1468075755" r:id="rId72">
            <o:LockedField>false</o:LockedField>
          </o:OLEObject>
        </w:object>
      </w:r>
      <w:r>
        <w:rPr>
          <w:rFonts w:hint="eastAsia"/>
          <w:color w:val="000000"/>
          <w:sz w:val="24"/>
        </w:rPr>
        <w:t xml:space="preserve">                    （D.6）</w:t>
      </w:r>
    </w:p>
    <w:p>
      <w:pPr>
        <w:snapToGrid w:val="0"/>
        <w:ind w:firstLine="480" w:firstLineChars="200"/>
        <w:rPr>
          <w:color w:val="000000"/>
          <w:sz w:val="24"/>
        </w:rPr>
      </w:pPr>
      <w:r>
        <w:rPr>
          <w:rFonts w:hint="eastAsia"/>
          <w:color w:val="000000"/>
          <w:sz w:val="24"/>
        </w:rPr>
        <w:t>式中：</w:t>
      </w:r>
    </w:p>
    <w:p>
      <w:pPr>
        <w:snapToGrid w:val="0"/>
        <w:ind w:firstLine="480" w:firstLineChars="200"/>
        <w:rPr>
          <w:color w:val="000000"/>
          <w:sz w:val="24"/>
        </w:rPr>
      </w:pPr>
      <w:r>
        <w:rPr>
          <w:i/>
          <w:iCs/>
          <w:color w:val="000000"/>
          <w:sz w:val="24"/>
        </w:rPr>
        <w:t>u</w:t>
      </w:r>
      <w:r>
        <w:rPr>
          <w:rFonts w:hint="eastAsia"/>
          <w:i/>
          <w:iCs/>
          <w:color w:val="000000"/>
          <w:sz w:val="24"/>
          <w:vertAlign w:val="subscript"/>
        </w:rPr>
        <w:t>B</w:t>
      </w:r>
      <w:r>
        <w:rPr>
          <w:color w:val="000000"/>
          <w:sz w:val="24"/>
        </w:rPr>
        <w:t>(</w:t>
      </w:r>
      <w:r>
        <w:rPr>
          <w:i/>
          <w:iCs/>
          <w:color w:val="000000"/>
          <w:sz w:val="24"/>
        </w:rPr>
        <w:t>ε</w:t>
      </w:r>
      <w:r>
        <w:rPr>
          <w:color w:val="000000"/>
          <w:sz w:val="24"/>
          <w:vertAlign w:val="subscript"/>
        </w:rPr>
        <w:t>s</w:t>
      </w:r>
      <w:r>
        <w:rPr>
          <w:color w:val="000000"/>
          <w:sz w:val="24"/>
        </w:rPr>
        <w:t>)——</w:t>
      </w:r>
      <w:r>
        <w:rPr>
          <w:rFonts w:hint="eastAsia"/>
          <w:color w:val="000000"/>
          <w:sz w:val="24"/>
        </w:rPr>
        <w:t>标准样品引入</w:t>
      </w:r>
      <w:r>
        <w:rPr>
          <w:color w:val="000000"/>
          <w:sz w:val="24"/>
        </w:rPr>
        <w:t>的标准不确定度。</w:t>
      </w:r>
    </w:p>
    <w:p>
      <w:pPr>
        <w:adjustRightInd w:val="0"/>
        <w:snapToGrid w:val="0"/>
        <w:ind w:firstLine="420"/>
        <w:rPr>
          <w:color w:val="000000"/>
          <w:sz w:val="24"/>
        </w:rPr>
      </w:pPr>
    </w:p>
    <w:p>
      <w:pPr>
        <w:adjustRightInd w:val="0"/>
        <w:snapToGrid w:val="0"/>
        <w:rPr>
          <w:color w:val="000000"/>
          <w:sz w:val="24"/>
        </w:rPr>
      </w:pPr>
      <w:r>
        <w:rPr>
          <w:rFonts w:hint="eastAsia"/>
          <w:color w:val="000000"/>
          <w:sz w:val="24"/>
        </w:rPr>
        <w:t>D.4.3 合成不确定度</w:t>
      </w:r>
    </w:p>
    <w:p>
      <w:pPr>
        <w:adjustRightInd w:val="0"/>
        <w:snapToGrid w:val="0"/>
        <w:ind w:firstLine="420"/>
        <w:rPr>
          <w:color w:val="000000"/>
          <w:sz w:val="24"/>
        </w:rPr>
      </w:pPr>
      <w:r>
        <w:rPr>
          <w:rFonts w:hint="eastAsia"/>
          <w:color w:val="000000"/>
          <w:sz w:val="24"/>
        </w:rPr>
        <w:t>由于各标准不确定度分量相互无关，合成标准不确定度按照公式（C.7）计算：</w:t>
      </w:r>
    </w:p>
    <w:p>
      <w:pPr>
        <w:adjustRightInd w:val="0"/>
        <w:snapToGrid w:val="0"/>
        <w:jc w:val="right"/>
        <w:rPr>
          <w:color w:val="000000"/>
          <w:sz w:val="24"/>
        </w:rPr>
      </w:pPr>
      <w:r>
        <w:rPr>
          <w:rFonts w:hint="eastAsia"/>
          <w:color w:val="000000"/>
          <w:position w:val="-14"/>
          <w:sz w:val="24"/>
        </w:rPr>
        <w:object>
          <v:shape id="_x0000_i1059" o:spt="75" type="#_x0000_t75" style="height:24pt;width:156pt;" o:ole="t" filled="f" o:preferrelative="t" stroked="f" coordsize="21600,21600">
            <v:path/>
            <v:fill on="f" focussize="0,0"/>
            <v:stroke on="f" joinstyle="miter"/>
            <v:imagedata r:id="rId75" o:title=""/>
            <o:lock v:ext="edit" aspectratio="t"/>
            <w10:wrap type="none"/>
            <w10:anchorlock/>
          </v:shape>
          <o:OLEObject Type="Embed" ProgID="Equation.KSEE3" ShapeID="_x0000_i1059" DrawAspect="Content" ObjectID="_1468075756" r:id="rId74">
            <o:LockedField>false</o:LockedField>
          </o:OLEObject>
        </w:object>
      </w:r>
      <w:r>
        <w:rPr>
          <w:rFonts w:hint="eastAsia"/>
          <w:color w:val="000000"/>
          <w:sz w:val="24"/>
        </w:rPr>
        <w:t xml:space="preserve">                （D.7）</w:t>
      </w:r>
    </w:p>
    <w:p>
      <w:pPr>
        <w:adjustRightInd w:val="0"/>
        <w:snapToGrid w:val="0"/>
        <w:ind w:firstLine="420"/>
        <w:rPr>
          <w:color w:val="000000"/>
          <w:sz w:val="24"/>
        </w:rPr>
      </w:pPr>
      <w:r>
        <w:rPr>
          <w:rFonts w:hint="eastAsia"/>
          <w:color w:val="000000"/>
          <w:sz w:val="24"/>
        </w:rPr>
        <w:t>式中：</w:t>
      </w:r>
    </w:p>
    <w:p>
      <w:pPr>
        <w:adjustRightInd w:val="0"/>
        <w:snapToGrid w:val="0"/>
        <w:ind w:firstLine="420"/>
        <w:rPr>
          <w:color w:val="000000"/>
          <w:sz w:val="24"/>
        </w:rPr>
      </w:pPr>
      <w:r>
        <w:rPr>
          <w:rFonts w:hint="eastAsia"/>
          <w:color w:val="000000"/>
          <w:position w:val="-10"/>
          <w:sz w:val="24"/>
        </w:rPr>
        <w:object>
          <v:shape id="_x0000_i1060" o:spt="75" type="#_x0000_t75" style="height:15.75pt;width:26.25pt;" o:ole="t" filled="f" o:preferrelative="t" stroked="f" coordsize="21600,21600">
            <v:path/>
            <v:fill on="f" focussize="0,0"/>
            <v:stroke on="f" joinstyle="miter"/>
            <v:imagedata r:id="rId77" o:title=""/>
            <o:lock v:ext="edit" aspectratio="t"/>
            <w10:wrap type="none"/>
            <w10:anchorlock/>
          </v:shape>
          <o:OLEObject Type="Embed" ProgID="Equation.KSEE3" ShapeID="_x0000_i1060" DrawAspect="Content" ObjectID="_1468075757" r:id="rId76">
            <o:LockedField>false</o:LockedField>
          </o:OLEObject>
        </w:object>
      </w:r>
      <w:r>
        <w:rPr>
          <w:rFonts w:hint="eastAsia"/>
          <w:color w:val="000000"/>
          <w:sz w:val="24"/>
        </w:rPr>
        <w:t>——辐射率仪器示值误差的合成标准不确定度。</w:t>
      </w:r>
    </w:p>
    <w:p>
      <w:pPr>
        <w:adjustRightInd w:val="0"/>
        <w:snapToGrid w:val="0"/>
        <w:spacing w:beforeLines="50" w:afterLines="50"/>
        <w:rPr>
          <w:rFonts w:ascii="黑体" w:hAnsi="黑体" w:eastAsia="黑体" w:cs="黑体"/>
          <w:color w:val="000000"/>
          <w:sz w:val="24"/>
        </w:rPr>
      </w:pPr>
      <w:r>
        <w:rPr>
          <w:rFonts w:hint="eastAsia" w:ascii="黑体" w:hAnsi="黑体" w:eastAsia="黑体" w:cs="黑体"/>
          <w:color w:val="000000"/>
          <w:sz w:val="24"/>
        </w:rPr>
        <w:t>D.5 扩展不确定度</w:t>
      </w:r>
    </w:p>
    <w:p>
      <w:pPr>
        <w:adjustRightInd w:val="0"/>
        <w:snapToGrid w:val="0"/>
        <w:ind w:firstLine="420"/>
        <w:rPr>
          <w:color w:val="000000"/>
          <w:sz w:val="24"/>
        </w:rPr>
      </w:pPr>
      <w:r>
        <w:rPr>
          <w:rFonts w:hint="eastAsia"/>
          <w:color w:val="000000"/>
          <w:sz w:val="24"/>
        </w:rPr>
        <w:t>取</w:t>
      </w:r>
      <w:r>
        <w:rPr>
          <w:rFonts w:hint="eastAsia"/>
          <w:i/>
          <w:iCs/>
          <w:color w:val="000000"/>
          <w:sz w:val="24"/>
        </w:rPr>
        <w:t>k</w:t>
      </w:r>
      <w:r>
        <w:rPr>
          <w:rFonts w:hint="eastAsia"/>
          <w:color w:val="000000"/>
          <w:sz w:val="24"/>
        </w:rPr>
        <w:t>=2，仪器示值误差测量结果的扩展不确定度按照公式（D.8）计算：</w:t>
      </w:r>
    </w:p>
    <w:p>
      <w:pPr>
        <w:adjustRightInd w:val="0"/>
        <w:snapToGrid w:val="0"/>
        <w:ind w:firstLine="420"/>
        <w:jc w:val="right"/>
        <w:rPr>
          <w:color w:val="000000"/>
          <w:sz w:val="24"/>
        </w:rPr>
      </w:pPr>
      <w:r>
        <w:rPr>
          <w:rFonts w:hint="eastAsia"/>
          <w:color w:val="000000"/>
          <w:position w:val="-10"/>
          <w:sz w:val="24"/>
        </w:rPr>
        <w:object>
          <v:shape id="_x0000_i1061" o:spt="75" type="#_x0000_t75" style="height:15.75pt;width:98.25pt;" o:ole="t" filled="f" o:preferrelative="t" stroked="f" coordsize="21600,21600">
            <v:path/>
            <v:fill on="f" focussize="0,0"/>
            <v:stroke on="f" joinstyle="miter"/>
            <v:imagedata r:id="rId79" o:title=""/>
            <o:lock v:ext="edit" aspectratio="t"/>
            <w10:wrap type="none"/>
            <w10:anchorlock/>
          </v:shape>
          <o:OLEObject Type="Embed" ProgID="Equation.KSEE3" ShapeID="_x0000_i1061" DrawAspect="Content" ObjectID="_1468075758" r:id="rId78">
            <o:LockedField>false</o:LockedField>
          </o:OLEObject>
        </w:object>
      </w:r>
      <w:r>
        <w:rPr>
          <w:rFonts w:hint="eastAsia"/>
          <w:color w:val="000000"/>
          <w:sz w:val="24"/>
        </w:rPr>
        <w:t xml:space="preserve">                      （D.8）</w:t>
      </w:r>
    </w:p>
    <w:p>
      <w:pPr>
        <w:adjustRightInd w:val="0"/>
        <w:snapToGrid w:val="0"/>
        <w:ind w:firstLine="420"/>
        <w:rPr>
          <w:color w:val="000000"/>
          <w:sz w:val="24"/>
        </w:rPr>
      </w:pPr>
      <w:r>
        <w:rPr>
          <w:rFonts w:hint="eastAsia"/>
          <w:color w:val="000000"/>
          <w:sz w:val="24"/>
        </w:rPr>
        <w:t>式中：</w:t>
      </w:r>
    </w:p>
    <w:p>
      <w:pPr>
        <w:adjustRightInd w:val="0"/>
        <w:snapToGrid w:val="0"/>
        <w:ind w:firstLine="420"/>
        <w:rPr>
          <w:color w:val="000000"/>
          <w:sz w:val="24"/>
        </w:rPr>
      </w:pPr>
      <w:r>
        <w:rPr>
          <w:rFonts w:hint="eastAsia"/>
          <w:i/>
          <w:iCs/>
          <w:color w:val="000000"/>
          <w:sz w:val="24"/>
        </w:rPr>
        <w:t>U</w:t>
      </w:r>
      <w:r>
        <w:rPr>
          <w:rFonts w:hint="eastAsia"/>
          <w:color w:val="000000"/>
          <w:sz w:val="24"/>
        </w:rPr>
        <w:t>——辐射率仪器示值误差的扩展标准不确定度。</w:t>
      </w:r>
    </w:p>
    <w:p>
      <w:pPr>
        <w:adjustRightInd w:val="0"/>
        <w:snapToGrid w:val="0"/>
        <w:ind w:firstLine="420"/>
        <w:rPr>
          <w:color w:val="000000"/>
          <w:sz w:val="24"/>
        </w:rPr>
      </w:pPr>
    </w:p>
    <w:p>
      <w:pPr>
        <w:adjustRightInd w:val="0"/>
        <w:snapToGrid w:val="0"/>
        <w:ind w:firstLine="420"/>
        <w:rPr>
          <w:color w:val="000000" w:themeColor="text1"/>
          <w:kern w:val="0"/>
          <w:sz w:val="24"/>
        </w:rPr>
      </w:pPr>
      <w:r>
        <w:rPr>
          <w:rFonts w:hint="eastAsia"/>
          <w:color w:val="000000" w:themeColor="text1"/>
          <w:sz w:val="24"/>
        </w:rPr>
        <w:t>评定实例汇总数据见</w:t>
      </w:r>
      <w:r>
        <w:rPr>
          <w:color w:val="000000" w:themeColor="text1"/>
          <w:kern w:val="0"/>
          <w:sz w:val="24"/>
        </w:rPr>
        <w:t>表</w:t>
      </w:r>
      <w:r>
        <w:rPr>
          <w:rFonts w:hint="eastAsia"/>
          <w:color w:val="000000" w:themeColor="text1"/>
          <w:kern w:val="0"/>
          <w:sz w:val="24"/>
        </w:rPr>
        <w:t>D.1。</w:t>
      </w:r>
    </w:p>
    <w:p>
      <w:pPr>
        <w:adjustRightInd w:val="0"/>
        <w:snapToGrid w:val="0"/>
        <w:rPr>
          <w:szCs w:val="21"/>
        </w:rPr>
      </w:pPr>
    </w:p>
    <w:p>
      <w:pPr>
        <w:widowControl/>
        <w:spacing w:line="360" w:lineRule="auto"/>
        <w:ind w:firstLine="420"/>
        <w:jc w:val="center"/>
        <w:rPr>
          <w:bCs/>
          <w:color w:val="000000" w:themeColor="text1"/>
          <w:szCs w:val="21"/>
        </w:rPr>
      </w:pPr>
      <w:r>
        <w:rPr>
          <w:color w:val="000000" w:themeColor="text1"/>
          <w:kern w:val="0"/>
          <w:szCs w:val="21"/>
        </w:rPr>
        <w:t>表</w:t>
      </w:r>
      <w:r>
        <w:rPr>
          <w:rFonts w:hint="eastAsia"/>
          <w:color w:val="000000" w:themeColor="text1"/>
          <w:kern w:val="0"/>
          <w:szCs w:val="21"/>
        </w:rPr>
        <w:t>D.1</w:t>
      </w:r>
      <w:r>
        <w:rPr>
          <w:rFonts w:hint="eastAsia"/>
          <w:color w:val="000000" w:themeColor="text1"/>
          <w:szCs w:val="21"/>
        </w:rPr>
        <w:t>测量不确定度评定实例数据</w:t>
      </w:r>
    </w:p>
    <w:tbl>
      <w:tblPr>
        <w:tblStyle w:val="14"/>
        <w:tblW w:w="7834" w:type="dxa"/>
        <w:jc w:val="center"/>
        <w:tblLayout w:type="fixed"/>
        <w:tblCellMar>
          <w:top w:w="0" w:type="dxa"/>
          <w:left w:w="108" w:type="dxa"/>
          <w:bottom w:w="0" w:type="dxa"/>
          <w:right w:w="108" w:type="dxa"/>
        </w:tblCellMar>
      </w:tblPr>
      <w:tblGrid>
        <w:gridCol w:w="2368"/>
        <w:gridCol w:w="876"/>
        <w:gridCol w:w="934"/>
        <w:gridCol w:w="803"/>
        <w:gridCol w:w="934"/>
        <w:gridCol w:w="934"/>
        <w:gridCol w:w="985"/>
      </w:tblGrid>
      <w:tr>
        <w:tblPrEx>
          <w:tblCellMar>
            <w:top w:w="0" w:type="dxa"/>
            <w:left w:w="108" w:type="dxa"/>
            <w:bottom w:w="0" w:type="dxa"/>
            <w:right w:w="108" w:type="dxa"/>
          </w:tblCellMar>
        </w:tblPrEx>
        <w:trPr>
          <w:trHeight w:val="287" w:hRule="atLeast"/>
          <w:jc w:val="center"/>
        </w:trPr>
        <w:tc>
          <w:tcPr>
            <w:tcW w:w="23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color w:val="000000"/>
                <w:szCs w:val="21"/>
              </w:rPr>
            </w:pPr>
            <w:r>
              <w:rPr>
                <w:color w:val="000000"/>
                <w:kern w:val="0"/>
                <w:szCs w:val="21"/>
              </w:rPr>
              <w:t>计量特性</w:t>
            </w:r>
          </w:p>
        </w:tc>
        <w:tc>
          <w:tcPr>
            <w:tcW w:w="5466" w:type="dxa"/>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辐射率</w:t>
            </w:r>
          </w:p>
        </w:tc>
      </w:tr>
      <w:tr>
        <w:tblPrEx>
          <w:tblCellMar>
            <w:top w:w="0" w:type="dxa"/>
            <w:left w:w="108" w:type="dxa"/>
            <w:bottom w:w="0" w:type="dxa"/>
            <w:right w:w="108" w:type="dxa"/>
          </w:tblCellMar>
        </w:tblPrEx>
        <w:trPr>
          <w:trHeight w:val="287" w:hRule="atLeast"/>
          <w:jc w:val="center"/>
        </w:trPr>
        <w:tc>
          <w:tcPr>
            <w:tcW w:w="23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color w:val="000000"/>
                <w:szCs w:val="21"/>
              </w:rPr>
            </w:pPr>
            <w:r>
              <w:rPr>
                <w:color w:val="000000"/>
                <w:kern w:val="0"/>
                <w:szCs w:val="21"/>
              </w:rPr>
              <w:t>标准样品</w:t>
            </w:r>
          </w:p>
        </w:tc>
        <w:tc>
          <w:tcPr>
            <w:tcW w:w="5466" w:type="dxa"/>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单片在线</w:t>
            </w:r>
            <w:r>
              <w:rPr>
                <w:rFonts w:hint="eastAsia"/>
                <w:color w:val="000000"/>
                <w:szCs w:val="21"/>
              </w:rPr>
              <w:t>Low-E玻璃</w:t>
            </w:r>
          </w:p>
        </w:tc>
      </w:tr>
      <w:tr>
        <w:tblPrEx>
          <w:tblCellMar>
            <w:top w:w="0" w:type="dxa"/>
            <w:left w:w="108" w:type="dxa"/>
            <w:bottom w:w="0" w:type="dxa"/>
            <w:right w:w="108" w:type="dxa"/>
          </w:tblCellMar>
        </w:tblPrEx>
        <w:trPr>
          <w:trHeight w:val="287" w:hRule="atLeast"/>
          <w:jc w:val="center"/>
        </w:trPr>
        <w:tc>
          <w:tcPr>
            <w:tcW w:w="23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color w:val="000000"/>
                <w:szCs w:val="21"/>
              </w:rPr>
            </w:pPr>
            <w:r>
              <w:rPr>
                <w:rStyle w:val="36"/>
                <w:rFonts w:hint="default" w:ascii="Times New Roman" w:hAnsi="Times New Roman" w:cs="Times New Roman"/>
                <w:sz w:val="21"/>
                <w:szCs w:val="21"/>
              </w:rPr>
              <w:t>仪器示值</w:t>
            </w:r>
          </w:p>
        </w:tc>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000000"/>
                <w:szCs w:val="21"/>
              </w:rPr>
            </w:pPr>
            <w:r>
              <w:rPr>
                <w:rFonts w:hint="eastAsia"/>
                <w:color w:val="000000"/>
                <w:kern w:val="0"/>
                <w:szCs w:val="21"/>
              </w:rPr>
              <w:t>0.175</w:t>
            </w:r>
          </w:p>
        </w:tc>
        <w:tc>
          <w:tcPr>
            <w:tcW w:w="9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color w:val="000000"/>
                <w:szCs w:val="21"/>
              </w:rPr>
            </w:pPr>
            <w:r>
              <w:rPr>
                <w:rFonts w:hint="eastAsia"/>
                <w:color w:val="000000"/>
                <w:kern w:val="0"/>
                <w:szCs w:val="21"/>
              </w:rPr>
              <w:t>0.180</w:t>
            </w:r>
          </w:p>
        </w:tc>
        <w:tc>
          <w:tcPr>
            <w:tcW w:w="80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color w:val="000000"/>
                <w:szCs w:val="21"/>
              </w:rPr>
            </w:pPr>
            <w:r>
              <w:rPr>
                <w:rFonts w:hint="eastAsia"/>
                <w:color w:val="000000"/>
                <w:kern w:val="0"/>
                <w:szCs w:val="21"/>
              </w:rPr>
              <w:t>0.178</w:t>
            </w:r>
          </w:p>
        </w:tc>
        <w:tc>
          <w:tcPr>
            <w:tcW w:w="9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color w:val="000000"/>
                <w:szCs w:val="21"/>
              </w:rPr>
            </w:pPr>
            <w:r>
              <w:rPr>
                <w:rFonts w:hint="eastAsia"/>
                <w:color w:val="000000"/>
                <w:kern w:val="0"/>
                <w:szCs w:val="21"/>
              </w:rPr>
              <w:t>0.178</w:t>
            </w:r>
          </w:p>
        </w:tc>
        <w:tc>
          <w:tcPr>
            <w:tcW w:w="9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color w:val="000000"/>
                <w:szCs w:val="21"/>
              </w:rPr>
            </w:pPr>
            <w:r>
              <w:rPr>
                <w:rFonts w:hint="eastAsia"/>
                <w:color w:val="000000"/>
                <w:kern w:val="0"/>
                <w:szCs w:val="21"/>
              </w:rPr>
              <w:t>0.178</w:t>
            </w:r>
          </w:p>
        </w:tc>
        <w:tc>
          <w:tcPr>
            <w:tcW w:w="9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color w:val="000000"/>
                <w:szCs w:val="21"/>
              </w:rPr>
            </w:pPr>
            <w:r>
              <w:rPr>
                <w:rFonts w:hint="eastAsia"/>
                <w:color w:val="000000"/>
                <w:kern w:val="0"/>
                <w:szCs w:val="21"/>
              </w:rPr>
              <w:t>0.178</w:t>
            </w:r>
          </w:p>
        </w:tc>
      </w:tr>
      <w:tr>
        <w:tblPrEx>
          <w:tblCellMar>
            <w:top w:w="0" w:type="dxa"/>
            <w:left w:w="108" w:type="dxa"/>
            <w:bottom w:w="0" w:type="dxa"/>
            <w:right w:w="108" w:type="dxa"/>
          </w:tblCellMar>
        </w:tblPrEx>
        <w:trPr>
          <w:trHeight w:val="287" w:hRule="atLeast"/>
          <w:jc w:val="center"/>
        </w:trPr>
        <w:tc>
          <w:tcPr>
            <w:tcW w:w="23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color w:val="000000"/>
                <w:szCs w:val="21"/>
              </w:rPr>
            </w:pPr>
            <w:r>
              <w:rPr>
                <w:rStyle w:val="36"/>
                <w:rFonts w:hint="default" w:ascii="Times New Roman" w:hAnsi="Times New Roman" w:cs="Times New Roman"/>
                <w:sz w:val="21"/>
                <w:szCs w:val="21"/>
              </w:rPr>
              <w:t>平均值</w:t>
            </w:r>
          </w:p>
        </w:tc>
        <w:tc>
          <w:tcPr>
            <w:tcW w:w="5466" w:type="dxa"/>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color w:val="000000"/>
                <w:szCs w:val="21"/>
              </w:rPr>
            </w:pPr>
            <w:r>
              <w:rPr>
                <w:color w:val="000000"/>
                <w:szCs w:val="21"/>
              </w:rPr>
              <w:t>0.17</w:t>
            </w:r>
            <w:r>
              <w:rPr>
                <w:rFonts w:hint="eastAsia"/>
                <w:color w:val="000000"/>
                <w:szCs w:val="21"/>
              </w:rPr>
              <w:t>77</w:t>
            </w:r>
          </w:p>
        </w:tc>
      </w:tr>
      <w:tr>
        <w:tblPrEx>
          <w:tblCellMar>
            <w:top w:w="0" w:type="dxa"/>
            <w:left w:w="108" w:type="dxa"/>
            <w:bottom w:w="0" w:type="dxa"/>
            <w:right w:w="108" w:type="dxa"/>
          </w:tblCellMar>
        </w:tblPrEx>
        <w:trPr>
          <w:trHeight w:val="287" w:hRule="atLeast"/>
          <w:jc w:val="center"/>
        </w:trPr>
        <w:tc>
          <w:tcPr>
            <w:tcW w:w="23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color w:val="000000"/>
                <w:szCs w:val="21"/>
              </w:rPr>
            </w:pPr>
            <w:r>
              <w:rPr>
                <w:rStyle w:val="36"/>
                <w:rFonts w:hint="default" w:ascii="Times New Roman" w:hAnsi="Times New Roman" w:cs="Times New Roman"/>
                <w:sz w:val="21"/>
                <w:szCs w:val="21"/>
              </w:rPr>
              <w:t>标准值</w:t>
            </w:r>
          </w:p>
        </w:tc>
        <w:tc>
          <w:tcPr>
            <w:tcW w:w="5466" w:type="dxa"/>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color w:val="000000"/>
                <w:szCs w:val="21"/>
              </w:rPr>
            </w:pPr>
            <w:r>
              <w:rPr>
                <w:color w:val="000000"/>
                <w:szCs w:val="21"/>
              </w:rPr>
              <w:t>0.164</w:t>
            </w:r>
          </w:p>
        </w:tc>
      </w:tr>
      <w:tr>
        <w:tblPrEx>
          <w:tblCellMar>
            <w:top w:w="0" w:type="dxa"/>
            <w:left w:w="108" w:type="dxa"/>
            <w:bottom w:w="0" w:type="dxa"/>
            <w:right w:w="108" w:type="dxa"/>
          </w:tblCellMar>
        </w:tblPrEx>
        <w:trPr>
          <w:trHeight w:val="287" w:hRule="atLeast"/>
          <w:jc w:val="center"/>
        </w:trPr>
        <w:tc>
          <w:tcPr>
            <w:tcW w:w="23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color w:val="000000"/>
                <w:szCs w:val="21"/>
              </w:rPr>
            </w:pPr>
            <w:r>
              <w:rPr>
                <w:rStyle w:val="36"/>
                <w:rFonts w:hint="default" w:ascii="Times New Roman" w:hAnsi="Times New Roman" w:cs="Times New Roman"/>
                <w:sz w:val="21"/>
                <w:szCs w:val="21"/>
              </w:rPr>
              <w:t>标准偏差</w:t>
            </w:r>
          </w:p>
        </w:tc>
        <w:tc>
          <w:tcPr>
            <w:tcW w:w="5466" w:type="dxa"/>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color w:val="000000"/>
                <w:szCs w:val="21"/>
              </w:rPr>
            </w:pPr>
            <w:r>
              <w:rPr>
                <w:color w:val="000000"/>
                <w:szCs w:val="21"/>
              </w:rPr>
              <w:t>0.0017</w:t>
            </w:r>
          </w:p>
        </w:tc>
      </w:tr>
      <w:tr>
        <w:tblPrEx>
          <w:tblCellMar>
            <w:top w:w="0" w:type="dxa"/>
            <w:left w:w="108" w:type="dxa"/>
            <w:bottom w:w="0" w:type="dxa"/>
            <w:right w:w="108" w:type="dxa"/>
          </w:tblCellMar>
        </w:tblPrEx>
        <w:trPr>
          <w:trHeight w:val="90" w:hRule="atLeast"/>
          <w:jc w:val="center"/>
        </w:trPr>
        <w:tc>
          <w:tcPr>
            <w:tcW w:w="23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color w:val="000000"/>
                <w:szCs w:val="21"/>
              </w:rPr>
            </w:pPr>
            <w:r>
              <w:rPr>
                <w:rStyle w:val="36"/>
                <w:rFonts w:cs="Times New Roman"/>
                <w:sz w:val="21"/>
                <w:szCs w:val="21"/>
              </w:rPr>
              <w:t>仪器</w:t>
            </w:r>
            <w:r>
              <w:rPr>
                <w:rStyle w:val="36"/>
                <w:rFonts w:hint="default" w:ascii="Times New Roman" w:hAnsi="Times New Roman" w:cs="Times New Roman"/>
                <w:sz w:val="21"/>
                <w:szCs w:val="21"/>
              </w:rPr>
              <w:t>示值误差</w:t>
            </w:r>
          </w:p>
        </w:tc>
        <w:tc>
          <w:tcPr>
            <w:tcW w:w="5466" w:type="dxa"/>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color w:val="000000"/>
                <w:szCs w:val="21"/>
              </w:rPr>
            </w:pPr>
            <w:r>
              <w:rPr>
                <w:color w:val="000000"/>
                <w:szCs w:val="21"/>
              </w:rPr>
              <w:t>0.014</w:t>
            </w:r>
          </w:p>
        </w:tc>
      </w:tr>
      <w:tr>
        <w:tblPrEx>
          <w:tblCellMar>
            <w:top w:w="0" w:type="dxa"/>
            <w:left w:w="108" w:type="dxa"/>
            <w:bottom w:w="0" w:type="dxa"/>
            <w:right w:w="108" w:type="dxa"/>
          </w:tblCellMar>
        </w:tblPrEx>
        <w:trPr>
          <w:trHeight w:val="287" w:hRule="atLeast"/>
          <w:jc w:val="center"/>
        </w:trPr>
        <w:tc>
          <w:tcPr>
            <w:tcW w:w="23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adjustRightInd w:val="0"/>
              <w:snapToGrid w:val="0"/>
              <w:jc w:val="center"/>
              <w:textAlignment w:val="center"/>
              <w:rPr>
                <w:color w:val="000000"/>
                <w:szCs w:val="21"/>
              </w:rPr>
            </w:pPr>
            <w:r>
              <w:rPr>
                <w:rFonts w:hint="eastAsia"/>
                <w:color w:val="000000"/>
                <w:position w:val="-10"/>
                <w:sz w:val="24"/>
              </w:rPr>
              <w:object>
                <v:shape id="_x0000_i1062" o:spt="75" type="#_x0000_t75" style="height:16.8pt;width:22.15pt;" o:ole="t" filled="f" o:preferrelative="t" stroked="f" coordsize="21600,21600">
                  <v:path/>
                  <v:fill on="f" focussize="0,0"/>
                  <v:stroke on="f"/>
                  <v:imagedata r:id="rId69" o:title=""/>
                  <o:lock v:ext="edit" aspectratio="t"/>
                  <w10:wrap type="none"/>
                  <w10:anchorlock/>
                </v:shape>
                <o:OLEObject Type="Embed" ProgID="Equation.KSEE3" ShapeID="_x0000_i1062" DrawAspect="Content" ObjectID="_1468075759" r:id="rId80">
                  <o:LockedField>false</o:LockedField>
                </o:OLEObject>
              </w:object>
            </w:r>
          </w:p>
        </w:tc>
        <w:tc>
          <w:tcPr>
            <w:tcW w:w="5466" w:type="dxa"/>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color w:val="000000"/>
                <w:szCs w:val="21"/>
              </w:rPr>
            </w:pPr>
            <w:r>
              <w:rPr>
                <w:color w:val="000000"/>
                <w:szCs w:val="21"/>
              </w:rPr>
              <w:t>0.0007</w:t>
            </w:r>
          </w:p>
        </w:tc>
      </w:tr>
      <w:tr>
        <w:tblPrEx>
          <w:tblCellMar>
            <w:top w:w="0" w:type="dxa"/>
            <w:left w:w="108" w:type="dxa"/>
            <w:bottom w:w="0" w:type="dxa"/>
            <w:right w:w="108" w:type="dxa"/>
          </w:tblCellMar>
        </w:tblPrEx>
        <w:trPr>
          <w:trHeight w:val="313" w:hRule="atLeast"/>
          <w:jc w:val="center"/>
        </w:trPr>
        <w:tc>
          <w:tcPr>
            <w:tcW w:w="23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color w:val="000000"/>
                <w:szCs w:val="21"/>
              </w:rPr>
            </w:pPr>
            <w:r>
              <w:rPr>
                <w:i/>
                <w:iCs/>
                <w:color w:val="000000"/>
                <w:sz w:val="24"/>
              </w:rPr>
              <w:t>u</w:t>
            </w:r>
            <w:r>
              <w:rPr>
                <w:rFonts w:hint="eastAsia"/>
                <w:i/>
                <w:iCs/>
                <w:color w:val="000000"/>
                <w:sz w:val="24"/>
                <w:vertAlign w:val="subscript"/>
              </w:rPr>
              <w:t>B</w:t>
            </w:r>
            <w:r>
              <w:rPr>
                <w:color w:val="000000"/>
                <w:sz w:val="24"/>
              </w:rPr>
              <w:t>(</w:t>
            </w:r>
            <w:r>
              <w:rPr>
                <w:i/>
                <w:iCs/>
                <w:color w:val="000000"/>
                <w:sz w:val="24"/>
              </w:rPr>
              <w:t>ε</w:t>
            </w:r>
            <w:r>
              <w:rPr>
                <w:color w:val="000000"/>
                <w:sz w:val="24"/>
                <w:vertAlign w:val="subscript"/>
              </w:rPr>
              <w:t>s</w:t>
            </w:r>
            <w:r>
              <w:rPr>
                <w:color w:val="000000"/>
                <w:sz w:val="24"/>
              </w:rPr>
              <w:t>)</w:t>
            </w:r>
          </w:p>
        </w:tc>
        <w:tc>
          <w:tcPr>
            <w:tcW w:w="5466" w:type="dxa"/>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color w:val="000000"/>
                <w:szCs w:val="21"/>
              </w:rPr>
            </w:pPr>
            <w:r>
              <w:rPr>
                <w:color w:val="000000"/>
                <w:szCs w:val="21"/>
              </w:rPr>
              <w:t>0.01</w:t>
            </w:r>
          </w:p>
        </w:tc>
      </w:tr>
      <w:tr>
        <w:tblPrEx>
          <w:tblCellMar>
            <w:top w:w="0" w:type="dxa"/>
            <w:left w:w="108" w:type="dxa"/>
            <w:bottom w:w="0" w:type="dxa"/>
            <w:right w:w="108" w:type="dxa"/>
          </w:tblCellMar>
        </w:tblPrEx>
        <w:trPr>
          <w:trHeight w:val="287" w:hRule="atLeast"/>
          <w:jc w:val="center"/>
        </w:trPr>
        <w:tc>
          <w:tcPr>
            <w:tcW w:w="23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adjustRightInd w:val="0"/>
              <w:snapToGrid w:val="0"/>
              <w:jc w:val="center"/>
              <w:textAlignment w:val="center"/>
              <w:rPr>
                <w:color w:val="000000"/>
                <w:szCs w:val="21"/>
              </w:rPr>
            </w:pPr>
            <w:r>
              <w:rPr>
                <w:rFonts w:hint="default"/>
                <w:color w:val="000000"/>
                <w:position w:val="0"/>
                <w:sz w:val="21"/>
                <w:szCs w:val="21"/>
              </w:rPr>
              <w:object>
                <v:shape id="_x0000_i1063" o:spt="75" type="#_x0000_t75" style="height:15.75pt;width:26.25pt;" o:ole="t" filled="f" o:preferrelative="t" stroked="f" coordsize="21600,21600">
                  <v:path/>
                  <v:fill on="f" focussize="0,0"/>
                  <v:stroke on="f" joinstyle="miter"/>
                  <v:imagedata r:id="rId77" o:title=""/>
                  <o:lock v:ext="edit" aspectratio="t"/>
                  <w10:wrap type="none"/>
                  <w10:anchorlock/>
                </v:shape>
                <o:OLEObject Type="Embed" ProgID="Equation.KSEE3" ShapeID="_x0000_i1063" DrawAspect="Content" ObjectID="_1468075760" r:id="rId81">
                  <o:LockedField>false</o:LockedField>
                </o:OLEObject>
              </w:object>
            </w:r>
          </w:p>
        </w:tc>
        <w:tc>
          <w:tcPr>
            <w:tcW w:w="5466" w:type="dxa"/>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color w:val="000000"/>
                <w:szCs w:val="21"/>
              </w:rPr>
            </w:pPr>
            <w:r>
              <w:rPr>
                <w:color w:val="000000"/>
                <w:szCs w:val="21"/>
              </w:rPr>
              <w:t>0.01</w:t>
            </w:r>
          </w:p>
        </w:tc>
      </w:tr>
      <w:tr>
        <w:tblPrEx>
          <w:tblCellMar>
            <w:top w:w="0" w:type="dxa"/>
            <w:left w:w="108" w:type="dxa"/>
            <w:bottom w:w="0" w:type="dxa"/>
            <w:right w:w="108" w:type="dxa"/>
          </w:tblCellMar>
        </w:tblPrEx>
        <w:trPr>
          <w:trHeight w:val="287" w:hRule="atLeast"/>
          <w:jc w:val="center"/>
        </w:trPr>
        <w:tc>
          <w:tcPr>
            <w:tcW w:w="23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color w:val="000000"/>
                <w:szCs w:val="21"/>
              </w:rPr>
            </w:pPr>
            <w:r>
              <w:rPr>
                <w:i/>
                <w:iCs/>
                <w:color w:val="000000"/>
                <w:kern w:val="0"/>
                <w:szCs w:val="21"/>
              </w:rPr>
              <w:t>k</w:t>
            </w:r>
          </w:p>
        </w:tc>
        <w:tc>
          <w:tcPr>
            <w:tcW w:w="5466" w:type="dxa"/>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color w:val="000000"/>
                <w:szCs w:val="21"/>
              </w:rPr>
            </w:pPr>
            <w:r>
              <w:rPr>
                <w:color w:val="000000"/>
                <w:szCs w:val="21"/>
              </w:rPr>
              <w:t>2</w:t>
            </w:r>
          </w:p>
        </w:tc>
      </w:tr>
      <w:tr>
        <w:tblPrEx>
          <w:tblCellMar>
            <w:top w:w="0" w:type="dxa"/>
            <w:left w:w="108" w:type="dxa"/>
            <w:bottom w:w="0" w:type="dxa"/>
            <w:right w:w="108" w:type="dxa"/>
          </w:tblCellMar>
        </w:tblPrEx>
        <w:trPr>
          <w:trHeight w:val="295" w:hRule="atLeast"/>
          <w:jc w:val="center"/>
        </w:trPr>
        <w:tc>
          <w:tcPr>
            <w:tcW w:w="23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i/>
                <w:iCs/>
                <w:color w:val="000000"/>
                <w:szCs w:val="21"/>
              </w:rPr>
            </w:pPr>
            <w:r>
              <w:rPr>
                <w:i/>
                <w:iCs/>
                <w:color w:val="000000"/>
                <w:kern w:val="0"/>
                <w:szCs w:val="21"/>
              </w:rPr>
              <w:t>U</w:t>
            </w:r>
          </w:p>
        </w:tc>
        <w:tc>
          <w:tcPr>
            <w:tcW w:w="5466" w:type="dxa"/>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color w:val="000000"/>
                <w:szCs w:val="21"/>
              </w:rPr>
            </w:pPr>
            <w:r>
              <w:rPr>
                <w:color w:val="000000"/>
                <w:szCs w:val="21"/>
              </w:rPr>
              <w:t>0.02</w:t>
            </w:r>
          </w:p>
        </w:tc>
      </w:tr>
    </w:tbl>
    <w:p>
      <w:pPr>
        <w:adjustRightInd w:val="0"/>
        <w:snapToGrid w:val="0"/>
        <w:ind w:firstLine="420"/>
        <w:rPr>
          <w:color w:val="000000" w:themeColor="text1"/>
          <w:kern w:val="0"/>
          <w:szCs w:val="21"/>
        </w:rPr>
      </w:pPr>
    </w:p>
    <w:p>
      <w:pPr>
        <w:spacing w:beforeLines="50" w:afterLines="50"/>
        <w:rPr>
          <w:color w:val="000000"/>
          <w:sz w:val="24"/>
        </w:rPr>
      </w:pPr>
      <w:r>
        <w:rPr>
          <w:rFonts w:hint="eastAsia" w:ascii="黑体" w:hAnsi="黑体" w:eastAsia="黑体" w:cs="黑体"/>
          <w:color w:val="000000"/>
          <w:sz w:val="24"/>
        </w:rPr>
        <w:t>D.6 校准结果</w:t>
      </w:r>
    </w:p>
    <w:p>
      <w:pPr>
        <w:adjustRightInd w:val="0"/>
        <w:snapToGrid w:val="0"/>
        <w:ind w:firstLine="480" w:firstLineChars="200"/>
        <w:rPr>
          <w:color w:val="000000"/>
          <w:szCs w:val="21"/>
        </w:rPr>
      </w:pPr>
      <w:r>
        <w:rPr>
          <w:rFonts w:hint="eastAsia"/>
          <w:bCs/>
          <w:color w:val="000000"/>
          <w:sz w:val="24"/>
        </w:rPr>
        <w:t>辐射率仪器示值误差</w:t>
      </w:r>
      <w:r>
        <w:rPr>
          <w:bCs/>
          <w:color w:val="000000"/>
          <w:sz w:val="24"/>
        </w:rPr>
        <w:t>Δ</w:t>
      </w:r>
      <w:r>
        <w:rPr>
          <w:rFonts w:hint="eastAsia"/>
          <w:bCs/>
          <w:color w:val="000000"/>
          <w:sz w:val="24"/>
        </w:rPr>
        <w:t>=0.014，扩展不确定度</w:t>
      </w:r>
      <w:r>
        <w:rPr>
          <w:rFonts w:hint="eastAsia"/>
          <w:bCs/>
          <w:i/>
          <w:iCs/>
          <w:color w:val="000000"/>
          <w:sz w:val="24"/>
        </w:rPr>
        <w:t>U</w:t>
      </w:r>
      <w:r>
        <w:rPr>
          <w:rFonts w:hint="eastAsia"/>
          <w:bCs/>
          <w:color w:val="000000"/>
          <w:sz w:val="24"/>
        </w:rPr>
        <w:t>=0.02（</w:t>
      </w:r>
      <w:r>
        <w:rPr>
          <w:rFonts w:hint="eastAsia"/>
          <w:bCs/>
          <w:i/>
          <w:iCs/>
          <w:color w:val="000000"/>
          <w:sz w:val="24"/>
        </w:rPr>
        <w:t>k</w:t>
      </w:r>
      <w:r>
        <w:rPr>
          <w:rFonts w:hint="eastAsia"/>
          <w:bCs/>
          <w:color w:val="000000"/>
          <w:sz w:val="24"/>
        </w:rPr>
        <w:t>=2）。</w:t>
      </w:r>
    </w:p>
    <w:p>
      <w:pPr>
        <w:autoSpaceDE w:val="0"/>
        <w:autoSpaceDN w:val="0"/>
        <w:adjustRightInd w:val="0"/>
        <w:rPr>
          <w:sz w:val="24"/>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BatangChe">
    <w:panose1 w:val="02030609000101010101"/>
    <w:charset w:val="81"/>
    <w:family w:val="modern"/>
    <w:pitch w:val="default"/>
    <w:sig w:usb0="B00002AF" w:usb1="69D77CFB" w:usb2="00000030" w:usb3="00000000" w:csb0="4008009F" w:csb1="DFD7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pict>
        <v:shape id="文本框 1042" o:spid="_x0000_s2053" o:spt="202" type="#_x0000_t202" style="position:absolute;left:0pt;margin-top:0pt;height:144pt;width:144pt;mso-position-horizontal:right;mso-position-horizontal-relative:margin;mso-wrap-style:none;z-index:251659264;mso-width-relative:page;mso-height-relative:page;" filled="f" stroked="f" coordsize="21600,21600">
          <v:path/>
          <v:fill on="f" focussize="0,0"/>
          <v:stroke on="f" joinstyle="miter"/>
          <v:imagedata o:title=""/>
          <o:lock v:ext="edit"/>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I</w:t>
                </w:r>
                <w:r>
                  <w:rPr>
                    <w:rFonts w:hint="eastAsia"/>
                    <w:sz w:val="18"/>
                  </w:rPr>
                  <w:fldChar w:fldCharType="end"/>
                </w:r>
              </w:p>
            </w:txbxContent>
          </v:textbox>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right="360"/>
    </w:pPr>
    <w:r>
      <w:pict>
        <v:shape id="文本框 1043" o:spid="_x0000_s2054" o:spt="202" type="#_x0000_t202" style="position:absolute;left:0pt;margin-top:0pt;height:144pt;width:144pt;mso-position-horizontal:right;mso-position-horizontal-relative:margin;mso-wrap-style:none;z-index:251659264;mso-width-relative:page;mso-height-relative:page;" filled="f" stroked="f" coordsize="21600,21600">
          <v:path/>
          <v:fill on="f" focussize="0,0"/>
          <v:stroke on="f" joinstyle="miter"/>
          <v:imagedata o:title=""/>
          <o:lock v:ext="edit"/>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II</w:t>
                </w:r>
                <w:r>
                  <w:rPr>
                    <w:rFonts w:hint="eastAsia"/>
                    <w:sz w:val="18"/>
                  </w:rPr>
                  <w:fldChar w:fldCharType="end"/>
                </w:r>
              </w:p>
            </w:txbxContent>
          </v:textbox>
        </v:shape>
      </w:pic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right="360"/>
    </w:pPr>
    <w:r>
      <w:pict>
        <v:shape id="文本框 1048" o:spid="_x0000_s2055" o:spt="202" type="#_x0000_t202" style="position:absolute;left:0pt;margin-top:0pt;height:144pt;width:144pt;mso-position-horizontal:right;mso-position-horizontal-relative:margin;mso-wrap-style:none;z-index:251659264;mso-width-relative:page;mso-height-relative:page;" filled="f" stroked="f" coordsize="21600,21600">
          <v:path/>
          <v:fill on="f" focussize="0,0"/>
          <v:stroke on="f" joinstyle="miter"/>
          <v:imagedata o:title=""/>
          <o:lock v:ext="edit"/>
          <v:textbox inset="0mm,0mm,0mm,0mm" style="mso-fit-shape-to-text:t;">
            <w:txbxContent>
              <w:p>
                <w:pPr>
                  <w:pStyle w:val="9"/>
                </w:pPr>
                <w:r>
                  <w:fldChar w:fldCharType="begin"/>
                </w:r>
                <w:r>
                  <w:instrText xml:space="preserve">PAGE  </w:instrText>
                </w:r>
                <w:r>
                  <w:fldChar w:fldCharType="separate"/>
                </w:r>
                <w:r>
                  <w:t>10</w:t>
                </w:r>
                <w: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0"/>
      </w:pBdr>
      <w:jc w:val="both"/>
      <w:rPr>
        <w:rFonts w:ascii="黑体" w:eastAsia="黑体"/>
        <w:sz w:val="21"/>
        <w:szCs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single" w:color="auto" w:sz="4" w:space="0"/>
      </w:pBdr>
      <w:rPr>
        <w:rFonts w:ascii="黑体" w:eastAsia="黑体"/>
        <w:sz w:val="21"/>
        <w:szCs w:val="21"/>
      </w:rPr>
    </w:pPr>
    <w:r>
      <w:rPr>
        <w:rFonts w:hint="eastAsia" w:ascii="黑体" w:eastAsia="黑体"/>
        <w:sz w:val="21"/>
        <w:szCs w:val="21"/>
      </w:rPr>
      <w:t>JJF（建材）××—××××</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91E9CCB"/>
    <w:multiLevelType w:val="singleLevel"/>
    <w:tmpl w:val="591E9CCB"/>
    <w:lvl w:ilvl="0" w:tentative="0">
      <w:start w:val="1"/>
      <w:numFmt w:val="lowerLetter"/>
      <w:suff w:val="space"/>
      <w:lvlText w:val="%1)"/>
      <w:lvlJc w:val="left"/>
    </w:lvl>
  </w:abstractNum>
  <w:abstractNum w:abstractNumId="1">
    <w:nsid w:val="59A2EEA1"/>
    <w:multiLevelType w:val="singleLevel"/>
    <w:tmpl w:val="59A2EEA1"/>
    <w:lvl w:ilvl="0" w:tentative="0">
      <w:start w:val="1"/>
      <w:numFmt w:val="decimal"/>
      <w:suff w:val="nothing"/>
      <w:lvlText w:val="%1."/>
      <w:lvlJc w:val="left"/>
    </w:lvl>
  </w:abstractNum>
  <w:abstractNum w:abstractNumId="2">
    <w:nsid w:val="646260FA"/>
    <w:multiLevelType w:val="multilevel"/>
    <w:tmpl w:val="646260FA"/>
    <w:lvl w:ilvl="0" w:tentative="0">
      <w:start w:val="1"/>
      <w:numFmt w:val="decimal"/>
      <w:pStyle w:val="28"/>
      <w:suff w:val="nothing"/>
      <w:lvlText w:val="表%1　"/>
      <w:lvlJc w:val="left"/>
      <w:pPr>
        <w:ind w:left="0" w:firstLine="0"/>
      </w:pPr>
      <w:rPr>
        <w:rFonts w:hint="eastAsia" w:ascii="黑体" w:hAnsi="Times New Roman" w:eastAsia="黑体"/>
        <w:b w:val="0"/>
        <w:i w:val="0"/>
        <w:sz w:val="21"/>
      </w:rPr>
    </w:lvl>
    <w:lvl w:ilvl="1" w:tentative="0">
      <w:start w:val="1"/>
      <w:numFmt w:val="decimal"/>
      <w:lvlText w:val="%1.%2"/>
      <w:lvlJc w:val="left"/>
      <w:pPr>
        <w:tabs>
          <w:tab w:val="left" w:pos="992"/>
        </w:tabs>
        <w:ind w:left="992" w:hanging="567"/>
      </w:pPr>
      <w:rPr>
        <w:rFonts w:hint="eastAsia"/>
      </w:rPr>
    </w:lvl>
    <w:lvl w:ilvl="2" w:tentative="0">
      <w:start w:val="1"/>
      <w:numFmt w:val="decimal"/>
      <w:lvlText w:val="%1.%2.%3"/>
      <w:lvlJc w:val="left"/>
      <w:pPr>
        <w:tabs>
          <w:tab w:val="left" w:pos="1418"/>
        </w:tabs>
        <w:ind w:left="1418" w:hanging="567"/>
      </w:pPr>
      <w:rPr>
        <w:rFonts w:hint="eastAsia"/>
      </w:rPr>
    </w:lvl>
    <w:lvl w:ilvl="3" w:tentative="0">
      <w:start w:val="1"/>
      <w:numFmt w:val="decimal"/>
      <w:lvlText w:val="%1.%2.%3.%4"/>
      <w:lvlJc w:val="left"/>
      <w:pPr>
        <w:tabs>
          <w:tab w:val="left" w:pos="1984"/>
        </w:tabs>
        <w:ind w:left="1984" w:hanging="708"/>
      </w:pPr>
      <w:rPr>
        <w:rFonts w:hint="eastAsia"/>
      </w:rPr>
    </w:lvl>
    <w:lvl w:ilvl="4" w:tentative="0">
      <w:start w:val="1"/>
      <w:numFmt w:val="decimal"/>
      <w:lvlText w:val="%1.%2.%3.%4.%5"/>
      <w:lvlJc w:val="left"/>
      <w:pPr>
        <w:tabs>
          <w:tab w:val="left" w:pos="2551"/>
        </w:tabs>
        <w:ind w:left="2551" w:hanging="850"/>
      </w:pPr>
      <w:rPr>
        <w:rFonts w:hint="eastAsia"/>
      </w:rPr>
    </w:lvl>
    <w:lvl w:ilvl="5" w:tentative="0">
      <w:start w:val="1"/>
      <w:numFmt w:val="decimal"/>
      <w:lvlText w:val="%1.%2.%3.%4.%5.%6"/>
      <w:lvlJc w:val="left"/>
      <w:pPr>
        <w:tabs>
          <w:tab w:val="left" w:pos="3260"/>
        </w:tabs>
        <w:ind w:left="3260" w:hanging="1134"/>
      </w:pPr>
      <w:rPr>
        <w:rFonts w:hint="eastAsia"/>
      </w:rPr>
    </w:lvl>
    <w:lvl w:ilvl="6" w:tentative="0">
      <w:start w:val="1"/>
      <w:numFmt w:val="decimal"/>
      <w:lvlText w:val="%1.%2.%3.%4.%5.%6.%7"/>
      <w:lvlJc w:val="left"/>
      <w:pPr>
        <w:tabs>
          <w:tab w:val="left" w:pos="3827"/>
        </w:tabs>
        <w:ind w:left="3827" w:hanging="1276"/>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doNotTrackMoves/>
  <w:doNotTrackFormatting/>
  <w:trackRevisions w:val="1"/>
  <w:documentProtection w:enforcement="0"/>
  <w:defaultTabStop w:val="420"/>
  <w:drawingGridHorizontalSpacing w:val="105"/>
  <w:drawingGridVerticalSpacing w:val="159"/>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65F05"/>
    <w:rsid w:val="00003572"/>
    <w:rsid w:val="00006F29"/>
    <w:rsid w:val="000137E0"/>
    <w:rsid w:val="00016F9D"/>
    <w:rsid w:val="00021E33"/>
    <w:rsid w:val="000303CB"/>
    <w:rsid w:val="00030777"/>
    <w:rsid w:val="00032A7C"/>
    <w:rsid w:val="0003463F"/>
    <w:rsid w:val="00035004"/>
    <w:rsid w:val="00051DC9"/>
    <w:rsid w:val="00052FE6"/>
    <w:rsid w:val="00055676"/>
    <w:rsid w:val="00055B28"/>
    <w:rsid w:val="000571DC"/>
    <w:rsid w:val="0005776A"/>
    <w:rsid w:val="000619F9"/>
    <w:rsid w:val="0006592A"/>
    <w:rsid w:val="000776ED"/>
    <w:rsid w:val="00081A99"/>
    <w:rsid w:val="00081B55"/>
    <w:rsid w:val="00082521"/>
    <w:rsid w:val="00083F0F"/>
    <w:rsid w:val="0008593C"/>
    <w:rsid w:val="000955E5"/>
    <w:rsid w:val="00097022"/>
    <w:rsid w:val="000A0129"/>
    <w:rsid w:val="000A1084"/>
    <w:rsid w:val="000A3C6D"/>
    <w:rsid w:val="000A7BE3"/>
    <w:rsid w:val="000B170A"/>
    <w:rsid w:val="000B4EA9"/>
    <w:rsid w:val="000C2485"/>
    <w:rsid w:val="000C28E9"/>
    <w:rsid w:val="000C3E7C"/>
    <w:rsid w:val="000C4FD5"/>
    <w:rsid w:val="000C7FB4"/>
    <w:rsid w:val="000D4AC2"/>
    <w:rsid w:val="000D5CD5"/>
    <w:rsid w:val="000D6ED3"/>
    <w:rsid w:val="000D6F30"/>
    <w:rsid w:val="000E5D7F"/>
    <w:rsid w:val="000F08A3"/>
    <w:rsid w:val="000F09A0"/>
    <w:rsid w:val="000F0A11"/>
    <w:rsid w:val="000F25EE"/>
    <w:rsid w:val="000F721D"/>
    <w:rsid w:val="000F7C2D"/>
    <w:rsid w:val="00101714"/>
    <w:rsid w:val="001057A9"/>
    <w:rsid w:val="00105D52"/>
    <w:rsid w:val="00107180"/>
    <w:rsid w:val="00110939"/>
    <w:rsid w:val="00113E9D"/>
    <w:rsid w:val="00115857"/>
    <w:rsid w:val="00117BDB"/>
    <w:rsid w:val="00122FA4"/>
    <w:rsid w:val="00126D16"/>
    <w:rsid w:val="00137864"/>
    <w:rsid w:val="001400C5"/>
    <w:rsid w:val="001404EB"/>
    <w:rsid w:val="00141C4D"/>
    <w:rsid w:val="001444FD"/>
    <w:rsid w:val="0014525A"/>
    <w:rsid w:val="00146EDE"/>
    <w:rsid w:val="0015033E"/>
    <w:rsid w:val="00156E23"/>
    <w:rsid w:val="00160AE2"/>
    <w:rsid w:val="00162B5A"/>
    <w:rsid w:val="00165447"/>
    <w:rsid w:val="00165F05"/>
    <w:rsid w:val="00167F5D"/>
    <w:rsid w:val="001704D3"/>
    <w:rsid w:val="001751CC"/>
    <w:rsid w:val="00175615"/>
    <w:rsid w:val="00186D7C"/>
    <w:rsid w:val="001909A4"/>
    <w:rsid w:val="00191A3B"/>
    <w:rsid w:val="00193726"/>
    <w:rsid w:val="001972CE"/>
    <w:rsid w:val="001A7876"/>
    <w:rsid w:val="001B42F4"/>
    <w:rsid w:val="001B45D0"/>
    <w:rsid w:val="001D0250"/>
    <w:rsid w:val="001E022C"/>
    <w:rsid w:val="001E175C"/>
    <w:rsid w:val="001E1F6D"/>
    <w:rsid w:val="001F00D8"/>
    <w:rsid w:val="001F0FFC"/>
    <w:rsid w:val="001F1951"/>
    <w:rsid w:val="001F3FB5"/>
    <w:rsid w:val="001F4DDF"/>
    <w:rsid w:val="001F5AEB"/>
    <w:rsid w:val="00200AFC"/>
    <w:rsid w:val="002128ED"/>
    <w:rsid w:val="00230ED3"/>
    <w:rsid w:val="002327B8"/>
    <w:rsid w:val="0023549E"/>
    <w:rsid w:val="00236019"/>
    <w:rsid w:val="0024527F"/>
    <w:rsid w:val="00256242"/>
    <w:rsid w:val="00261B33"/>
    <w:rsid w:val="002638D2"/>
    <w:rsid w:val="00264F7B"/>
    <w:rsid w:val="002667EF"/>
    <w:rsid w:val="00267110"/>
    <w:rsid w:val="00267961"/>
    <w:rsid w:val="00270882"/>
    <w:rsid w:val="00272155"/>
    <w:rsid w:val="00284824"/>
    <w:rsid w:val="00287BB4"/>
    <w:rsid w:val="00291F1F"/>
    <w:rsid w:val="00292414"/>
    <w:rsid w:val="00292EAA"/>
    <w:rsid w:val="00296C0E"/>
    <w:rsid w:val="002A119A"/>
    <w:rsid w:val="002A76B3"/>
    <w:rsid w:val="002B286E"/>
    <w:rsid w:val="002B4D6E"/>
    <w:rsid w:val="002B684D"/>
    <w:rsid w:val="002C0766"/>
    <w:rsid w:val="002C0BC0"/>
    <w:rsid w:val="002C6770"/>
    <w:rsid w:val="002C69B7"/>
    <w:rsid w:val="002E4521"/>
    <w:rsid w:val="002E4A20"/>
    <w:rsid w:val="002F1894"/>
    <w:rsid w:val="002F3665"/>
    <w:rsid w:val="002F5DEB"/>
    <w:rsid w:val="002F7BDB"/>
    <w:rsid w:val="00301911"/>
    <w:rsid w:val="003054E8"/>
    <w:rsid w:val="003138D8"/>
    <w:rsid w:val="003162F5"/>
    <w:rsid w:val="00321450"/>
    <w:rsid w:val="00326636"/>
    <w:rsid w:val="00327FD2"/>
    <w:rsid w:val="00330A34"/>
    <w:rsid w:val="003320A4"/>
    <w:rsid w:val="00332E4B"/>
    <w:rsid w:val="00335BAA"/>
    <w:rsid w:val="00336AA8"/>
    <w:rsid w:val="00350017"/>
    <w:rsid w:val="003541A7"/>
    <w:rsid w:val="00360DD3"/>
    <w:rsid w:val="00362BDA"/>
    <w:rsid w:val="003630CA"/>
    <w:rsid w:val="003669F4"/>
    <w:rsid w:val="00373F14"/>
    <w:rsid w:val="00374E09"/>
    <w:rsid w:val="00384FB4"/>
    <w:rsid w:val="00391C4B"/>
    <w:rsid w:val="00395368"/>
    <w:rsid w:val="003977DE"/>
    <w:rsid w:val="003B4FF5"/>
    <w:rsid w:val="003B50FD"/>
    <w:rsid w:val="003C30A7"/>
    <w:rsid w:val="003C357B"/>
    <w:rsid w:val="003C4771"/>
    <w:rsid w:val="003C6E5A"/>
    <w:rsid w:val="003D2283"/>
    <w:rsid w:val="003D6890"/>
    <w:rsid w:val="003E0ADB"/>
    <w:rsid w:val="003E2DE4"/>
    <w:rsid w:val="003E7B3B"/>
    <w:rsid w:val="003F0CBD"/>
    <w:rsid w:val="003F146D"/>
    <w:rsid w:val="003F3006"/>
    <w:rsid w:val="00412865"/>
    <w:rsid w:val="00412D83"/>
    <w:rsid w:val="00416F98"/>
    <w:rsid w:val="00427D88"/>
    <w:rsid w:val="004301E1"/>
    <w:rsid w:val="00432807"/>
    <w:rsid w:val="00434375"/>
    <w:rsid w:val="00437A11"/>
    <w:rsid w:val="00455DDD"/>
    <w:rsid w:val="004632D9"/>
    <w:rsid w:val="004637A2"/>
    <w:rsid w:val="0046410B"/>
    <w:rsid w:val="00465F07"/>
    <w:rsid w:val="00470968"/>
    <w:rsid w:val="00472D69"/>
    <w:rsid w:val="004757F4"/>
    <w:rsid w:val="00482808"/>
    <w:rsid w:val="0048569A"/>
    <w:rsid w:val="004936A1"/>
    <w:rsid w:val="00494B42"/>
    <w:rsid w:val="00497C86"/>
    <w:rsid w:val="004A073C"/>
    <w:rsid w:val="004A0AE4"/>
    <w:rsid w:val="004A2E53"/>
    <w:rsid w:val="004A43CA"/>
    <w:rsid w:val="004A4AF3"/>
    <w:rsid w:val="004B4C49"/>
    <w:rsid w:val="004B6C22"/>
    <w:rsid w:val="004C4559"/>
    <w:rsid w:val="004C5171"/>
    <w:rsid w:val="004C68FC"/>
    <w:rsid w:val="004D55D6"/>
    <w:rsid w:val="004D5955"/>
    <w:rsid w:val="004D6582"/>
    <w:rsid w:val="004D7409"/>
    <w:rsid w:val="004D7866"/>
    <w:rsid w:val="004E1770"/>
    <w:rsid w:val="004E63D8"/>
    <w:rsid w:val="00513F89"/>
    <w:rsid w:val="00514A51"/>
    <w:rsid w:val="0052285F"/>
    <w:rsid w:val="00527D44"/>
    <w:rsid w:val="00530CBC"/>
    <w:rsid w:val="00531749"/>
    <w:rsid w:val="005364FE"/>
    <w:rsid w:val="005406A3"/>
    <w:rsid w:val="00550305"/>
    <w:rsid w:val="00550435"/>
    <w:rsid w:val="00551CAB"/>
    <w:rsid w:val="00552AEF"/>
    <w:rsid w:val="00555574"/>
    <w:rsid w:val="00561325"/>
    <w:rsid w:val="005655A7"/>
    <w:rsid w:val="00565ACC"/>
    <w:rsid w:val="0057087D"/>
    <w:rsid w:val="00570A81"/>
    <w:rsid w:val="005723AE"/>
    <w:rsid w:val="00591504"/>
    <w:rsid w:val="0059344D"/>
    <w:rsid w:val="005A304F"/>
    <w:rsid w:val="005A47B4"/>
    <w:rsid w:val="005A53FC"/>
    <w:rsid w:val="005A78DE"/>
    <w:rsid w:val="005B1AEB"/>
    <w:rsid w:val="005B2D6D"/>
    <w:rsid w:val="005C4A96"/>
    <w:rsid w:val="005C7D5B"/>
    <w:rsid w:val="005D332A"/>
    <w:rsid w:val="005D5C2D"/>
    <w:rsid w:val="005D7FBC"/>
    <w:rsid w:val="005E1A79"/>
    <w:rsid w:val="005F1584"/>
    <w:rsid w:val="00621A47"/>
    <w:rsid w:val="00623155"/>
    <w:rsid w:val="00623E6B"/>
    <w:rsid w:val="00625856"/>
    <w:rsid w:val="0063160D"/>
    <w:rsid w:val="006348CE"/>
    <w:rsid w:val="0065615B"/>
    <w:rsid w:val="00657E08"/>
    <w:rsid w:val="00664A17"/>
    <w:rsid w:val="0067157E"/>
    <w:rsid w:val="00671FBE"/>
    <w:rsid w:val="00680999"/>
    <w:rsid w:val="00681D03"/>
    <w:rsid w:val="00683FD1"/>
    <w:rsid w:val="00686898"/>
    <w:rsid w:val="00690590"/>
    <w:rsid w:val="00692821"/>
    <w:rsid w:val="00693D60"/>
    <w:rsid w:val="006967FF"/>
    <w:rsid w:val="006A05D3"/>
    <w:rsid w:val="006A0B72"/>
    <w:rsid w:val="006B7CBB"/>
    <w:rsid w:val="006C0F9A"/>
    <w:rsid w:val="006C190D"/>
    <w:rsid w:val="006C2C87"/>
    <w:rsid w:val="006C60D8"/>
    <w:rsid w:val="006D04D8"/>
    <w:rsid w:val="006D2462"/>
    <w:rsid w:val="006D637D"/>
    <w:rsid w:val="006E1FF4"/>
    <w:rsid w:val="006E5FCD"/>
    <w:rsid w:val="006E783C"/>
    <w:rsid w:val="006F0C11"/>
    <w:rsid w:val="007022CD"/>
    <w:rsid w:val="0070405C"/>
    <w:rsid w:val="007074B9"/>
    <w:rsid w:val="00714D82"/>
    <w:rsid w:val="00720275"/>
    <w:rsid w:val="007209F1"/>
    <w:rsid w:val="0072628B"/>
    <w:rsid w:val="007273B2"/>
    <w:rsid w:val="007278CC"/>
    <w:rsid w:val="00735B07"/>
    <w:rsid w:val="0073680C"/>
    <w:rsid w:val="00750318"/>
    <w:rsid w:val="00751149"/>
    <w:rsid w:val="00757210"/>
    <w:rsid w:val="007574EF"/>
    <w:rsid w:val="00764654"/>
    <w:rsid w:val="007673D5"/>
    <w:rsid w:val="00774D87"/>
    <w:rsid w:val="00777EDB"/>
    <w:rsid w:val="00783529"/>
    <w:rsid w:val="007852FA"/>
    <w:rsid w:val="00787678"/>
    <w:rsid w:val="007903B8"/>
    <w:rsid w:val="007B0591"/>
    <w:rsid w:val="007B1907"/>
    <w:rsid w:val="007B2C53"/>
    <w:rsid w:val="007B2C87"/>
    <w:rsid w:val="007B692F"/>
    <w:rsid w:val="007B6E0C"/>
    <w:rsid w:val="007C2B32"/>
    <w:rsid w:val="007C301A"/>
    <w:rsid w:val="007C61BC"/>
    <w:rsid w:val="007D08F8"/>
    <w:rsid w:val="007D3EAB"/>
    <w:rsid w:val="007E48D5"/>
    <w:rsid w:val="007F1473"/>
    <w:rsid w:val="007F27F3"/>
    <w:rsid w:val="007F2E55"/>
    <w:rsid w:val="00802824"/>
    <w:rsid w:val="00802DA0"/>
    <w:rsid w:val="008033EB"/>
    <w:rsid w:val="00803BD9"/>
    <w:rsid w:val="00806847"/>
    <w:rsid w:val="00807880"/>
    <w:rsid w:val="00812E29"/>
    <w:rsid w:val="00812FE1"/>
    <w:rsid w:val="00816CE5"/>
    <w:rsid w:val="00820F5F"/>
    <w:rsid w:val="008238C0"/>
    <w:rsid w:val="0082395D"/>
    <w:rsid w:val="0082651E"/>
    <w:rsid w:val="008272AA"/>
    <w:rsid w:val="00827AF9"/>
    <w:rsid w:val="00830974"/>
    <w:rsid w:val="00835D5F"/>
    <w:rsid w:val="0083605B"/>
    <w:rsid w:val="00840C43"/>
    <w:rsid w:val="0084110D"/>
    <w:rsid w:val="008448CF"/>
    <w:rsid w:val="008462D6"/>
    <w:rsid w:val="0085720B"/>
    <w:rsid w:val="008572BD"/>
    <w:rsid w:val="008576DE"/>
    <w:rsid w:val="008608FF"/>
    <w:rsid w:val="00861D83"/>
    <w:rsid w:val="008622A9"/>
    <w:rsid w:val="00862540"/>
    <w:rsid w:val="008629B4"/>
    <w:rsid w:val="0086521C"/>
    <w:rsid w:val="00865950"/>
    <w:rsid w:val="0087030E"/>
    <w:rsid w:val="0087331A"/>
    <w:rsid w:val="00876436"/>
    <w:rsid w:val="00882D3A"/>
    <w:rsid w:val="00894A3D"/>
    <w:rsid w:val="0089577C"/>
    <w:rsid w:val="00895BFC"/>
    <w:rsid w:val="00895F30"/>
    <w:rsid w:val="0089629C"/>
    <w:rsid w:val="008B404C"/>
    <w:rsid w:val="008C0208"/>
    <w:rsid w:val="008C2844"/>
    <w:rsid w:val="008C47CD"/>
    <w:rsid w:val="008D0BB1"/>
    <w:rsid w:val="008D12CC"/>
    <w:rsid w:val="008D5C4B"/>
    <w:rsid w:val="008E75E7"/>
    <w:rsid w:val="00902474"/>
    <w:rsid w:val="00902995"/>
    <w:rsid w:val="009064D8"/>
    <w:rsid w:val="009131B8"/>
    <w:rsid w:val="009150C8"/>
    <w:rsid w:val="009171EA"/>
    <w:rsid w:val="00917357"/>
    <w:rsid w:val="0092129F"/>
    <w:rsid w:val="0092729E"/>
    <w:rsid w:val="00930876"/>
    <w:rsid w:val="00934962"/>
    <w:rsid w:val="009350DB"/>
    <w:rsid w:val="00941A76"/>
    <w:rsid w:val="00942CE6"/>
    <w:rsid w:val="00944EA3"/>
    <w:rsid w:val="0095694D"/>
    <w:rsid w:val="0096333B"/>
    <w:rsid w:val="0096358C"/>
    <w:rsid w:val="00964DB5"/>
    <w:rsid w:val="00980351"/>
    <w:rsid w:val="00992BE8"/>
    <w:rsid w:val="0099686E"/>
    <w:rsid w:val="00996DDA"/>
    <w:rsid w:val="009A1E30"/>
    <w:rsid w:val="009A30A1"/>
    <w:rsid w:val="009B0D5D"/>
    <w:rsid w:val="009C3A69"/>
    <w:rsid w:val="009C4C09"/>
    <w:rsid w:val="009C6F91"/>
    <w:rsid w:val="009C7B8A"/>
    <w:rsid w:val="009D58F6"/>
    <w:rsid w:val="009E1129"/>
    <w:rsid w:val="009E1555"/>
    <w:rsid w:val="009E2F1E"/>
    <w:rsid w:val="009F7B49"/>
    <w:rsid w:val="00A01BA2"/>
    <w:rsid w:val="00A03193"/>
    <w:rsid w:val="00A0479D"/>
    <w:rsid w:val="00A11547"/>
    <w:rsid w:val="00A1351C"/>
    <w:rsid w:val="00A147E8"/>
    <w:rsid w:val="00A15767"/>
    <w:rsid w:val="00A16D11"/>
    <w:rsid w:val="00A172D9"/>
    <w:rsid w:val="00A17BD5"/>
    <w:rsid w:val="00A2031C"/>
    <w:rsid w:val="00A23FCC"/>
    <w:rsid w:val="00A244D8"/>
    <w:rsid w:val="00A30CBF"/>
    <w:rsid w:val="00A30E51"/>
    <w:rsid w:val="00A34266"/>
    <w:rsid w:val="00A415DF"/>
    <w:rsid w:val="00A41EEF"/>
    <w:rsid w:val="00A428E8"/>
    <w:rsid w:val="00A43B75"/>
    <w:rsid w:val="00A503B6"/>
    <w:rsid w:val="00A503BB"/>
    <w:rsid w:val="00A516AC"/>
    <w:rsid w:val="00A535F5"/>
    <w:rsid w:val="00A56180"/>
    <w:rsid w:val="00A6072A"/>
    <w:rsid w:val="00A62FC7"/>
    <w:rsid w:val="00A71093"/>
    <w:rsid w:val="00A72C84"/>
    <w:rsid w:val="00A740C2"/>
    <w:rsid w:val="00A774AF"/>
    <w:rsid w:val="00A833AC"/>
    <w:rsid w:val="00A83A14"/>
    <w:rsid w:val="00AA3852"/>
    <w:rsid w:val="00AA43A1"/>
    <w:rsid w:val="00AA730F"/>
    <w:rsid w:val="00AB4037"/>
    <w:rsid w:val="00AC1FD1"/>
    <w:rsid w:val="00AC79E7"/>
    <w:rsid w:val="00AD3DBF"/>
    <w:rsid w:val="00AD5F83"/>
    <w:rsid w:val="00AF22E8"/>
    <w:rsid w:val="00AF7ECA"/>
    <w:rsid w:val="00B02336"/>
    <w:rsid w:val="00B025B3"/>
    <w:rsid w:val="00B03A34"/>
    <w:rsid w:val="00B05B2E"/>
    <w:rsid w:val="00B1160C"/>
    <w:rsid w:val="00B13712"/>
    <w:rsid w:val="00B166A4"/>
    <w:rsid w:val="00B175A5"/>
    <w:rsid w:val="00B2166B"/>
    <w:rsid w:val="00B31F48"/>
    <w:rsid w:val="00B32566"/>
    <w:rsid w:val="00B463E6"/>
    <w:rsid w:val="00B46F3B"/>
    <w:rsid w:val="00B4758A"/>
    <w:rsid w:val="00B47E1A"/>
    <w:rsid w:val="00B62937"/>
    <w:rsid w:val="00B640D9"/>
    <w:rsid w:val="00B66DD2"/>
    <w:rsid w:val="00B80BD0"/>
    <w:rsid w:val="00B80F5A"/>
    <w:rsid w:val="00B82CF3"/>
    <w:rsid w:val="00B84F18"/>
    <w:rsid w:val="00B8737B"/>
    <w:rsid w:val="00B87ED5"/>
    <w:rsid w:val="00B906E8"/>
    <w:rsid w:val="00B90A12"/>
    <w:rsid w:val="00B971A2"/>
    <w:rsid w:val="00BA0DFC"/>
    <w:rsid w:val="00BA118F"/>
    <w:rsid w:val="00BA1D8F"/>
    <w:rsid w:val="00BA6B5F"/>
    <w:rsid w:val="00BB3778"/>
    <w:rsid w:val="00BB682A"/>
    <w:rsid w:val="00BB7C2E"/>
    <w:rsid w:val="00BC4207"/>
    <w:rsid w:val="00BC76D3"/>
    <w:rsid w:val="00BD2A9A"/>
    <w:rsid w:val="00BD5B63"/>
    <w:rsid w:val="00BE1C89"/>
    <w:rsid w:val="00BE2C4E"/>
    <w:rsid w:val="00BE42F3"/>
    <w:rsid w:val="00BF2DE2"/>
    <w:rsid w:val="00BF4255"/>
    <w:rsid w:val="00BF56D2"/>
    <w:rsid w:val="00BF70DC"/>
    <w:rsid w:val="00C05F28"/>
    <w:rsid w:val="00C163BA"/>
    <w:rsid w:val="00C269DE"/>
    <w:rsid w:val="00C34280"/>
    <w:rsid w:val="00C4280F"/>
    <w:rsid w:val="00C44487"/>
    <w:rsid w:val="00C50E77"/>
    <w:rsid w:val="00C51999"/>
    <w:rsid w:val="00C551CB"/>
    <w:rsid w:val="00C56F56"/>
    <w:rsid w:val="00C57402"/>
    <w:rsid w:val="00C6209D"/>
    <w:rsid w:val="00C638C6"/>
    <w:rsid w:val="00C66001"/>
    <w:rsid w:val="00C929A7"/>
    <w:rsid w:val="00C966D6"/>
    <w:rsid w:val="00CA6598"/>
    <w:rsid w:val="00CB508A"/>
    <w:rsid w:val="00CC14B3"/>
    <w:rsid w:val="00CD06E6"/>
    <w:rsid w:val="00CD2D27"/>
    <w:rsid w:val="00CE1399"/>
    <w:rsid w:val="00CE4BF2"/>
    <w:rsid w:val="00CE5E49"/>
    <w:rsid w:val="00CF3BF8"/>
    <w:rsid w:val="00D0119F"/>
    <w:rsid w:val="00D028BA"/>
    <w:rsid w:val="00D0309E"/>
    <w:rsid w:val="00D03289"/>
    <w:rsid w:val="00D03D88"/>
    <w:rsid w:val="00D042E5"/>
    <w:rsid w:val="00D0533D"/>
    <w:rsid w:val="00D053CC"/>
    <w:rsid w:val="00D07C01"/>
    <w:rsid w:val="00D11BED"/>
    <w:rsid w:val="00D1277B"/>
    <w:rsid w:val="00D12E6E"/>
    <w:rsid w:val="00D1319C"/>
    <w:rsid w:val="00D15925"/>
    <w:rsid w:val="00D2351A"/>
    <w:rsid w:val="00D26710"/>
    <w:rsid w:val="00D30070"/>
    <w:rsid w:val="00D367B9"/>
    <w:rsid w:val="00D36F1C"/>
    <w:rsid w:val="00D4296D"/>
    <w:rsid w:val="00D450C4"/>
    <w:rsid w:val="00D46E8D"/>
    <w:rsid w:val="00D46EEA"/>
    <w:rsid w:val="00D51945"/>
    <w:rsid w:val="00D5240B"/>
    <w:rsid w:val="00D5566C"/>
    <w:rsid w:val="00D60090"/>
    <w:rsid w:val="00D61591"/>
    <w:rsid w:val="00D61AD5"/>
    <w:rsid w:val="00D670DC"/>
    <w:rsid w:val="00D7107D"/>
    <w:rsid w:val="00D7162D"/>
    <w:rsid w:val="00D929F0"/>
    <w:rsid w:val="00DA3847"/>
    <w:rsid w:val="00DA4D62"/>
    <w:rsid w:val="00DB07A6"/>
    <w:rsid w:val="00DB1EC1"/>
    <w:rsid w:val="00DB2CD1"/>
    <w:rsid w:val="00DB53CD"/>
    <w:rsid w:val="00DC31BB"/>
    <w:rsid w:val="00DC64A0"/>
    <w:rsid w:val="00DC754B"/>
    <w:rsid w:val="00DC76FD"/>
    <w:rsid w:val="00DC793E"/>
    <w:rsid w:val="00DD06EE"/>
    <w:rsid w:val="00DD2368"/>
    <w:rsid w:val="00DD34C8"/>
    <w:rsid w:val="00DE2E53"/>
    <w:rsid w:val="00DE31F8"/>
    <w:rsid w:val="00DE3FCD"/>
    <w:rsid w:val="00DE49F2"/>
    <w:rsid w:val="00DE535E"/>
    <w:rsid w:val="00DE71B0"/>
    <w:rsid w:val="00DF32D0"/>
    <w:rsid w:val="00DF4148"/>
    <w:rsid w:val="00E043A3"/>
    <w:rsid w:val="00E07B8D"/>
    <w:rsid w:val="00E10635"/>
    <w:rsid w:val="00E221E2"/>
    <w:rsid w:val="00E324D8"/>
    <w:rsid w:val="00E33112"/>
    <w:rsid w:val="00E33E3D"/>
    <w:rsid w:val="00E35452"/>
    <w:rsid w:val="00E364D4"/>
    <w:rsid w:val="00E366F6"/>
    <w:rsid w:val="00E411A6"/>
    <w:rsid w:val="00E42A31"/>
    <w:rsid w:val="00E42C27"/>
    <w:rsid w:val="00E45624"/>
    <w:rsid w:val="00E53082"/>
    <w:rsid w:val="00E5691E"/>
    <w:rsid w:val="00E56AF3"/>
    <w:rsid w:val="00E57BD7"/>
    <w:rsid w:val="00E60C83"/>
    <w:rsid w:val="00E6144D"/>
    <w:rsid w:val="00E6396A"/>
    <w:rsid w:val="00E66947"/>
    <w:rsid w:val="00E72A54"/>
    <w:rsid w:val="00E7559D"/>
    <w:rsid w:val="00E75633"/>
    <w:rsid w:val="00E7586C"/>
    <w:rsid w:val="00E76073"/>
    <w:rsid w:val="00E857A2"/>
    <w:rsid w:val="00E90E65"/>
    <w:rsid w:val="00E92675"/>
    <w:rsid w:val="00E9341A"/>
    <w:rsid w:val="00E94D75"/>
    <w:rsid w:val="00EA517F"/>
    <w:rsid w:val="00EA5ECA"/>
    <w:rsid w:val="00EB28D6"/>
    <w:rsid w:val="00EB4CD5"/>
    <w:rsid w:val="00EB6C1E"/>
    <w:rsid w:val="00EC45F9"/>
    <w:rsid w:val="00EC5B8D"/>
    <w:rsid w:val="00EC7DF0"/>
    <w:rsid w:val="00ED22E5"/>
    <w:rsid w:val="00ED7FAA"/>
    <w:rsid w:val="00EE6729"/>
    <w:rsid w:val="00EF2DF0"/>
    <w:rsid w:val="00EF30EA"/>
    <w:rsid w:val="00EF70C3"/>
    <w:rsid w:val="00F038F5"/>
    <w:rsid w:val="00F1270B"/>
    <w:rsid w:val="00F14A52"/>
    <w:rsid w:val="00F15B24"/>
    <w:rsid w:val="00F17E75"/>
    <w:rsid w:val="00F24433"/>
    <w:rsid w:val="00F41565"/>
    <w:rsid w:val="00F4295E"/>
    <w:rsid w:val="00F44293"/>
    <w:rsid w:val="00F5378A"/>
    <w:rsid w:val="00F56D12"/>
    <w:rsid w:val="00F577CC"/>
    <w:rsid w:val="00F6476E"/>
    <w:rsid w:val="00F6623D"/>
    <w:rsid w:val="00F80714"/>
    <w:rsid w:val="00F80BD9"/>
    <w:rsid w:val="00F81063"/>
    <w:rsid w:val="00F85927"/>
    <w:rsid w:val="00F87E31"/>
    <w:rsid w:val="00FA7FCE"/>
    <w:rsid w:val="00FB5792"/>
    <w:rsid w:val="00FC1923"/>
    <w:rsid w:val="00FC2341"/>
    <w:rsid w:val="00FC5DBF"/>
    <w:rsid w:val="00FC64BA"/>
    <w:rsid w:val="00FD436F"/>
    <w:rsid w:val="00FD4476"/>
    <w:rsid w:val="00FE33D1"/>
    <w:rsid w:val="00FF0D05"/>
    <w:rsid w:val="00FF2672"/>
    <w:rsid w:val="00FF4604"/>
    <w:rsid w:val="012C0C92"/>
    <w:rsid w:val="01C77443"/>
    <w:rsid w:val="028E3199"/>
    <w:rsid w:val="02C07F16"/>
    <w:rsid w:val="033B569D"/>
    <w:rsid w:val="03A4733D"/>
    <w:rsid w:val="03AA1316"/>
    <w:rsid w:val="03F45342"/>
    <w:rsid w:val="045B1037"/>
    <w:rsid w:val="046D280B"/>
    <w:rsid w:val="04752373"/>
    <w:rsid w:val="04C4490C"/>
    <w:rsid w:val="04F97320"/>
    <w:rsid w:val="051404F5"/>
    <w:rsid w:val="0518716A"/>
    <w:rsid w:val="052A040B"/>
    <w:rsid w:val="0577158D"/>
    <w:rsid w:val="05FC459C"/>
    <w:rsid w:val="06EE4D05"/>
    <w:rsid w:val="07CD1602"/>
    <w:rsid w:val="089F0232"/>
    <w:rsid w:val="08D5567F"/>
    <w:rsid w:val="091B0728"/>
    <w:rsid w:val="096D70F3"/>
    <w:rsid w:val="09C35F57"/>
    <w:rsid w:val="0A39036B"/>
    <w:rsid w:val="0A421424"/>
    <w:rsid w:val="0A7B6709"/>
    <w:rsid w:val="0ACD3D85"/>
    <w:rsid w:val="0B575186"/>
    <w:rsid w:val="0B915C62"/>
    <w:rsid w:val="0BD90A06"/>
    <w:rsid w:val="0C1013C4"/>
    <w:rsid w:val="0C2515F7"/>
    <w:rsid w:val="0C290B02"/>
    <w:rsid w:val="0C503B8C"/>
    <w:rsid w:val="0CC54C43"/>
    <w:rsid w:val="0CDB285D"/>
    <w:rsid w:val="0D97495B"/>
    <w:rsid w:val="0DFB4A81"/>
    <w:rsid w:val="0E142534"/>
    <w:rsid w:val="0E275007"/>
    <w:rsid w:val="0E764663"/>
    <w:rsid w:val="0E773239"/>
    <w:rsid w:val="0EB64754"/>
    <w:rsid w:val="0EC24FF2"/>
    <w:rsid w:val="0F044531"/>
    <w:rsid w:val="0F50742D"/>
    <w:rsid w:val="0F53692D"/>
    <w:rsid w:val="0FDC48BF"/>
    <w:rsid w:val="0FEC09AC"/>
    <w:rsid w:val="104F7743"/>
    <w:rsid w:val="1090714B"/>
    <w:rsid w:val="11332C4C"/>
    <w:rsid w:val="11507607"/>
    <w:rsid w:val="1155490A"/>
    <w:rsid w:val="12A35231"/>
    <w:rsid w:val="12EF4D11"/>
    <w:rsid w:val="12F0495D"/>
    <w:rsid w:val="131B66D2"/>
    <w:rsid w:val="132C0997"/>
    <w:rsid w:val="13FD2FD7"/>
    <w:rsid w:val="14603052"/>
    <w:rsid w:val="14997756"/>
    <w:rsid w:val="14DB0A62"/>
    <w:rsid w:val="150F370E"/>
    <w:rsid w:val="152E3240"/>
    <w:rsid w:val="153034E1"/>
    <w:rsid w:val="1551443E"/>
    <w:rsid w:val="16023AEA"/>
    <w:rsid w:val="162E62BF"/>
    <w:rsid w:val="163D2ADD"/>
    <w:rsid w:val="16930905"/>
    <w:rsid w:val="16D72B3B"/>
    <w:rsid w:val="16EE0F5F"/>
    <w:rsid w:val="17525053"/>
    <w:rsid w:val="178472FC"/>
    <w:rsid w:val="17F579EE"/>
    <w:rsid w:val="18054C4C"/>
    <w:rsid w:val="180E1240"/>
    <w:rsid w:val="184B1321"/>
    <w:rsid w:val="187F0C01"/>
    <w:rsid w:val="18810531"/>
    <w:rsid w:val="194E34DC"/>
    <w:rsid w:val="19574F91"/>
    <w:rsid w:val="196B2FCE"/>
    <w:rsid w:val="198278C3"/>
    <w:rsid w:val="19884DB6"/>
    <w:rsid w:val="1A9F295E"/>
    <w:rsid w:val="1B35464C"/>
    <w:rsid w:val="1C705F35"/>
    <w:rsid w:val="1C78457A"/>
    <w:rsid w:val="1C8676B5"/>
    <w:rsid w:val="1CB64FE4"/>
    <w:rsid w:val="1CCA6058"/>
    <w:rsid w:val="1DA171E8"/>
    <w:rsid w:val="1E2934C3"/>
    <w:rsid w:val="1E524150"/>
    <w:rsid w:val="1ED143A0"/>
    <w:rsid w:val="1FE41953"/>
    <w:rsid w:val="1FF712F7"/>
    <w:rsid w:val="20072D88"/>
    <w:rsid w:val="205C74DA"/>
    <w:rsid w:val="206B089A"/>
    <w:rsid w:val="21457834"/>
    <w:rsid w:val="2154339B"/>
    <w:rsid w:val="2158390B"/>
    <w:rsid w:val="21A41A0B"/>
    <w:rsid w:val="221E015D"/>
    <w:rsid w:val="223C4508"/>
    <w:rsid w:val="226A53E9"/>
    <w:rsid w:val="23020DC6"/>
    <w:rsid w:val="237B5832"/>
    <w:rsid w:val="23835529"/>
    <w:rsid w:val="23F1333B"/>
    <w:rsid w:val="244746CA"/>
    <w:rsid w:val="24FC6CDA"/>
    <w:rsid w:val="2511672E"/>
    <w:rsid w:val="25317174"/>
    <w:rsid w:val="259B021F"/>
    <w:rsid w:val="25C933D1"/>
    <w:rsid w:val="269E1329"/>
    <w:rsid w:val="26E5544D"/>
    <w:rsid w:val="26E67FD6"/>
    <w:rsid w:val="270672A2"/>
    <w:rsid w:val="282B13AC"/>
    <w:rsid w:val="29866509"/>
    <w:rsid w:val="299309F4"/>
    <w:rsid w:val="2A0774CB"/>
    <w:rsid w:val="2B0A7722"/>
    <w:rsid w:val="2B1043E6"/>
    <w:rsid w:val="2B92472F"/>
    <w:rsid w:val="2BA80768"/>
    <w:rsid w:val="2BFF5E8B"/>
    <w:rsid w:val="2C542ECB"/>
    <w:rsid w:val="2C793790"/>
    <w:rsid w:val="2CB34173"/>
    <w:rsid w:val="2CB40663"/>
    <w:rsid w:val="2CBE45A0"/>
    <w:rsid w:val="2CDD1CB8"/>
    <w:rsid w:val="2CEE5EE8"/>
    <w:rsid w:val="2CF678C8"/>
    <w:rsid w:val="2D4E6396"/>
    <w:rsid w:val="2D7C4BCA"/>
    <w:rsid w:val="2DD747C2"/>
    <w:rsid w:val="2DD961FB"/>
    <w:rsid w:val="2E5F5FAC"/>
    <w:rsid w:val="2E917FFA"/>
    <w:rsid w:val="2F4311CC"/>
    <w:rsid w:val="2F7A1B4D"/>
    <w:rsid w:val="2FA35F32"/>
    <w:rsid w:val="30357018"/>
    <w:rsid w:val="30FC27AC"/>
    <w:rsid w:val="30FE3917"/>
    <w:rsid w:val="311F7A4A"/>
    <w:rsid w:val="31333620"/>
    <w:rsid w:val="31442759"/>
    <w:rsid w:val="32082B7F"/>
    <w:rsid w:val="32FC787A"/>
    <w:rsid w:val="330E74A4"/>
    <w:rsid w:val="33766081"/>
    <w:rsid w:val="3395026B"/>
    <w:rsid w:val="33C318DC"/>
    <w:rsid w:val="33F66616"/>
    <w:rsid w:val="349100F8"/>
    <w:rsid w:val="34E432A1"/>
    <w:rsid w:val="35391DF0"/>
    <w:rsid w:val="35423FAB"/>
    <w:rsid w:val="35B66A35"/>
    <w:rsid w:val="35E70D19"/>
    <w:rsid w:val="366064FE"/>
    <w:rsid w:val="366736E4"/>
    <w:rsid w:val="36BF116F"/>
    <w:rsid w:val="37104D8B"/>
    <w:rsid w:val="373406B9"/>
    <w:rsid w:val="37777F1C"/>
    <w:rsid w:val="377B16ED"/>
    <w:rsid w:val="37924FAE"/>
    <w:rsid w:val="37EA1723"/>
    <w:rsid w:val="38077C89"/>
    <w:rsid w:val="38831A4C"/>
    <w:rsid w:val="38B114DA"/>
    <w:rsid w:val="38D02488"/>
    <w:rsid w:val="392E3D25"/>
    <w:rsid w:val="39403001"/>
    <w:rsid w:val="39B1293B"/>
    <w:rsid w:val="39CD60C8"/>
    <w:rsid w:val="39EB25D5"/>
    <w:rsid w:val="3A997C87"/>
    <w:rsid w:val="3AA033C7"/>
    <w:rsid w:val="3ADB0083"/>
    <w:rsid w:val="3AF413DC"/>
    <w:rsid w:val="3B895C24"/>
    <w:rsid w:val="3BF019B2"/>
    <w:rsid w:val="3C8E2082"/>
    <w:rsid w:val="3CA41F8D"/>
    <w:rsid w:val="3D6543B0"/>
    <w:rsid w:val="3D883A04"/>
    <w:rsid w:val="3DC3150A"/>
    <w:rsid w:val="3E4D7C71"/>
    <w:rsid w:val="3F1403F3"/>
    <w:rsid w:val="3F687820"/>
    <w:rsid w:val="3F942471"/>
    <w:rsid w:val="3FBC76C0"/>
    <w:rsid w:val="3FD21546"/>
    <w:rsid w:val="3FE3604D"/>
    <w:rsid w:val="40606DB1"/>
    <w:rsid w:val="41B17F9B"/>
    <w:rsid w:val="42056322"/>
    <w:rsid w:val="42847BCF"/>
    <w:rsid w:val="42D94DF1"/>
    <w:rsid w:val="430C0E6C"/>
    <w:rsid w:val="445253F6"/>
    <w:rsid w:val="44CE7375"/>
    <w:rsid w:val="450C5DA8"/>
    <w:rsid w:val="453D651A"/>
    <w:rsid w:val="45521E12"/>
    <w:rsid w:val="4585476F"/>
    <w:rsid w:val="459E143C"/>
    <w:rsid w:val="46704888"/>
    <w:rsid w:val="468C24E1"/>
    <w:rsid w:val="469F730B"/>
    <w:rsid w:val="47104386"/>
    <w:rsid w:val="474466AC"/>
    <w:rsid w:val="47B03F68"/>
    <w:rsid w:val="47C25BC6"/>
    <w:rsid w:val="480F55D4"/>
    <w:rsid w:val="482C4549"/>
    <w:rsid w:val="487136D7"/>
    <w:rsid w:val="48F04D2C"/>
    <w:rsid w:val="48F5281C"/>
    <w:rsid w:val="49283410"/>
    <w:rsid w:val="4950377B"/>
    <w:rsid w:val="49771C33"/>
    <w:rsid w:val="49846CA1"/>
    <w:rsid w:val="49EB6BF1"/>
    <w:rsid w:val="4A394673"/>
    <w:rsid w:val="4A903B3C"/>
    <w:rsid w:val="4ACA4C36"/>
    <w:rsid w:val="4AD9133F"/>
    <w:rsid w:val="4B0E055A"/>
    <w:rsid w:val="4B295194"/>
    <w:rsid w:val="4C2B4C09"/>
    <w:rsid w:val="4C3819BC"/>
    <w:rsid w:val="4CD76882"/>
    <w:rsid w:val="4CF00300"/>
    <w:rsid w:val="4D1E194A"/>
    <w:rsid w:val="4DB642E9"/>
    <w:rsid w:val="4E1A191E"/>
    <w:rsid w:val="4E697E73"/>
    <w:rsid w:val="4EBB3155"/>
    <w:rsid w:val="4ECD769A"/>
    <w:rsid w:val="4F477597"/>
    <w:rsid w:val="4FA12693"/>
    <w:rsid w:val="4FB979E6"/>
    <w:rsid w:val="4FE30641"/>
    <w:rsid w:val="50030E60"/>
    <w:rsid w:val="50CE5B37"/>
    <w:rsid w:val="510064EF"/>
    <w:rsid w:val="515A71A7"/>
    <w:rsid w:val="51805191"/>
    <w:rsid w:val="51CC5967"/>
    <w:rsid w:val="51FF34E3"/>
    <w:rsid w:val="52646CE4"/>
    <w:rsid w:val="52B36027"/>
    <w:rsid w:val="54472F50"/>
    <w:rsid w:val="54FE0B7C"/>
    <w:rsid w:val="559E5B65"/>
    <w:rsid w:val="55C452CA"/>
    <w:rsid w:val="55F836DD"/>
    <w:rsid w:val="563A05FD"/>
    <w:rsid w:val="568B5DAB"/>
    <w:rsid w:val="56C14F01"/>
    <w:rsid w:val="56E54C9B"/>
    <w:rsid w:val="57236A60"/>
    <w:rsid w:val="57C46C6D"/>
    <w:rsid w:val="57E161D3"/>
    <w:rsid w:val="5991276F"/>
    <w:rsid w:val="59DE16CE"/>
    <w:rsid w:val="5A0D14A9"/>
    <w:rsid w:val="5A154922"/>
    <w:rsid w:val="5B8B29A9"/>
    <w:rsid w:val="5BE00A6F"/>
    <w:rsid w:val="5BFA0388"/>
    <w:rsid w:val="5C1B5188"/>
    <w:rsid w:val="5C325BDA"/>
    <w:rsid w:val="5C332EF2"/>
    <w:rsid w:val="5C3703C3"/>
    <w:rsid w:val="5C5E1789"/>
    <w:rsid w:val="5C6345DC"/>
    <w:rsid w:val="5D294100"/>
    <w:rsid w:val="5D294AF8"/>
    <w:rsid w:val="5E463FFD"/>
    <w:rsid w:val="5E6625B2"/>
    <w:rsid w:val="5E8D6FB1"/>
    <w:rsid w:val="5E945D43"/>
    <w:rsid w:val="5EA6488C"/>
    <w:rsid w:val="5F444BA4"/>
    <w:rsid w:val="5F5B3338"/>
    <w:rsid w:val="5FB204E3"/>
    <w:rsid w:val="5FE22BED"/>
    <w:rsid w:val="602B5A45"/>
    <w:rsid w:val="60F07F60"/>
    <w:rsid w:val="612C5420"/>
    <w:rsid w:val="613B1715"/>
    <w:rsid w:val="616D5B94"/>
    <w:rsid w:val="61727E48"/>
    <w:rsid w:val="61924072"/>
    <w:rsid w:val="61BE523F"/>
    <w:rsid w:val="61CC19B8"/>
    <w:rsid w:val="61DF0F78"/>
    <w:rsid w:val="61F43F30"/>
    <w:rsid w:val="623D71B4"/>
    <w:rsid w:val="625011DA"/>
    <w:rsid w:val="627773E3"/>
    <w:rsid w:val="628C2B3B"/>
    <w:rsid w:val="62902A9A"/>
    <w:rsid w:val="62975CB2"/>
    <w:rsid w:val="63582502"/>
    <w:rsid w:val="63BC7423"/>
    <w:rsid w:val="642254BD"/>
    <w:rsid w:val="642575E8"/>
    <w:rsid w:val="643624F4"/>
    <w:rsid w:val="64951F69"/>
    <w:rsid w:val="64EC2FD0"/>
    <w:rsid w:val="65A47A42"/>
    <w:rsid w:val="65FF12D9"/>
    <w:rsid w:val="663D1451"/>
    <w:rsid w:val="66516249"/>
    <w:rsid w:val="666C0555"/>
    <w:rsid w:val="669B4ABF"/>
    <w:rsid w:val="66A24231"/>
    <w:rsid w:val="676E498D"/>
    <w:rsid w:val="677115FB"/>
    <w:rsid w:val="67723A5B"/>
    <w:rsid w:val="681611A1"/>
    <w:rsid w:val="68AB49F3"/>
    <w:rsid w:val="68CB7994"/>
    <w:rsid w:val="69170E88"/>
    <w:rsid w:val="6929697E"/>
    <w:rsid w:val="696C0E73"/>
    <w:rsid w:val="69762CD2"/>
    <w:rsid w:val="69763EAA"/>
    <w:rsid w:val="699A77A0"/>
    <w:rsid w:val="69B33108"/>
    <w:rsid w:val="6A313CB3"/>
    <w:rsid w:val="6A4F3739"/>
    <w:rsid w:val="6A74114D"/>
    <w:rsid w:val="6C516121"/>
    <w:rsid w:val="6D2D3BD3"/>
    <w:rsid w:val="6DFC5A5B"/>
    <w:rsid w:val="6E50687F"/>
    <w:rsid w:val="6EBC2680"/>
    <w:rsid w:val="6EC502B3"/>
    <w:rsid w:val="6F21671C"/>
    <w:rsid w:val="6FC8581B"/>
    <w:rsid w:val="6FF42E09"/>
    <w:rsid w:val="70212BA9"/>
    <w:rsid w:val="70750DEB"/>
    <w:rsid w:val="708A36F9"/>
    <w:rsid w:val="709A3AA3"/>
    <w:rsid w:val="71262B15"/>
    <w:rsid w:val="712E2BDB"/>
    <w:rsid w:val="71640CF6"/>
    <w:rsid w:val="71CD11FB"/>
    <w:rsid w:val="72181695"/>
    <w:rsid w:val="72371DBC"/>
    <w:rsid w:val="7278495B"/>
    <w:rsid w:val="732D136A"/>
    <w:rsid w:val="734954C3"/>
    <w:rsid w:val="74102000"/>
    <w:rsid w:val="74DC7DA3"/>
    <w:rsid w:val="750610AF"/>
    <w:rsid w:val="751E506C"/>
    <w:rsid w:val="760B5703"/>
    <w:rsid w:val="76CC2D91"/>
    <w:rsid w:val="773A1A69"/>
    <w:rsid w:val="77593C12"/>
    <w:rsid w:val="777D7032"/>
    <w:rsid w:val="77D03B38"/>
    <w:rsid w:val="783342DA"/>
    <w:rsid w:val="786F0266"/>
    <w:rsid w:val="789E7877"/>
    <w:rsid w:val="78E94D16"/>
    <w:rsid w:val="79347DEB"/>
    <w:rsid w:val="79A9326C"/>
    <w:rsid w:val="79B6351E"/>
    <w:rsid w:val="7A721983"/>
    <w:rsid w:val="7AAC1691"/>
    <w:rsid w:val="7AEF0FF6"/>
    <w:rsid w:val="7AF47188"/>
    <w:rsid w:val="7B9C3BAD"/>
    <w:rsid w:val="7BC1304F"/>
    <w:rsid w:val="7BD01FDC"/>
    <w:rsid w:val="7BE033CB"/>
    <w:rsid w:val="7C001B5E"/>
    <w:rsid w:val="7CC80E57"/>
    <w:rsid w:val="7CE83F5D"/>
    <w:rsid w:val="7D1118EB"/>
    <w:rsid w:val="7D642985"/>
    <w:rsid w:val="7D9915F8"/>
    <w:rsid w:val="7F0052E3"/>
    <w:rsid w:val="7F5315FA"/>
    <w:rsid w:val="7FB22506"/>
    <w:rsid w:val="7FBB50F9"/>
    <w:rsid w:val="7FEE7B91"/>
    <w:rsid w:val="7FF440BA"/>
  </w:rsids>
  <m:mathPr>
    <m:mathFont m:val="Cambria Math"/>
    <m:brkBin m:val="before"/>
    <m:brkBinSub m:val="--"/>
    <m:smallFrac m:val="1"/>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spacing w:line="440" w:lineRule="exact"/>
      <w:jc w:val="center"/>
      <w:outlineLvl w:val="0"/>
    </w:pPr>
    <w:rPr>
      <w:sz w:val="28"/>
      <w:szCs w:val="20"/>
    </w:rPr>
  </w:style>
  <w:style w:type="paragraph" w:styleId="3">
    <w:name w:val="heading 2"/>
    <w:basedOn w:val="1"/>
    <w:next w:val="1"/>
    <w:link w:val="25"/>
    <w:qFormat/>
    <w:uiPriority w:val="0"/>
    <w:pPr>
      <w:keepNext/>
      <w:outlineLvl w:val="1"/>
    </w:pPr>
    <w:rPr>
      <w:kern w:val="0"/>
      <w:sz w:val="30"/>
      <w:szCs w:val="20"/>
    </w:rPr>
  </w:style>
  <w:style w:type="paragraph" w:styleId="4">
    <w:name w:val="heading 3"/>
    <w:basedOn w:val="1"/>
    <w:next w:val="1"/>
    <w:link w:val="30"/>
    <w:unhideWhenUsed/>
    <w:qFormat/>
    <w:uiPriority w:val="0"/>
    <w:pPr>
      <w:keepNext/>
      <w:keepLines/>
      <w:outlineLvl w:val="2"/>
    </w:pPr>
    <w:rPr>
      <w:kern w:val="0"/>
      <w:sz w:val="24"/>
      <w:szCs w:val="20"/>
    </w:rPr>
  </w:style>
  <w:style w:type="character" w:default="1" w:styleId="16">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5">
    <w:name w:val="Document Map"/>
    <w:basedOn w:val="1"/>
    <w:semiHidden/>
    <w:qFormat/>
    <w:uiPriority w:val="0"/>
    <w:pPr>
      <w:shd w:val="clear" w:color="auto" w:fill="000080"/>
    </w:pPr>
  </w:style>
  <w:style w:type="paragraph" w:styleId="6">
    <w:name w:val="annotation text"/>
    <w:basedOn w:val="1"/>
    <w:link w:val="23"/>
    <w:qFormat/>
    <w:uiPriority w:val="0"/>
    <w:pPr>
      <w:jc w:val="left"/>
    </w:pPr>
  </w:style>
  <w:style w:type="paragraph" w:styleId="7">
    <w:name w:val="Body Text"/>
    <w:basedOn w:val="1"/>
    <w:qFormat/>
    <w:uiPriority w:val="0"/>
    <w:pPr>
      <w:spacing w:after="120"/>
    </w:pPr>
  </w:style>
  <w:style w:type="paragraph" w:styleId="8">
    <w:name w:val="Balloon Text"/>
    <w:basedOn w:val="1"/>
    <w:semiHidden/>
    <w:qFormat/>
    <w:uiPriority w:val="0"/>
    <w:rPr>
      <w:sz w:val="18"/>
      <w:szCs w:val="18"/>
    </w:rPr>
  </w:style>
  <w:style w:type="paragraph" w:styleId="9">
    <w:name w:val="footer"/>
    <w:basedOn w:val="1"/>
    <w:qFormat/>
    <w:uiPriority w:val="0"/>
    <w:pPr>
      <w:tabs>
        <w:tab w:val="center" w:pos="4153"/>
        <w:tab w:val="right" w:pos="8306"/>
      </w:tabs>
      <w:snapToGrid w:val="0"/>
      <w:jc w:val="left"/>
    </w:pPr>
    <w:rPr>
      <w:sz w:val="18"/>
      <w:szCs w:val="18"/>
    </w:rPr>
  </w:style>
  <w:style w:type="paragraph" w:styleId="10">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1">
    <w:name w:val="toc 1"/>
    <w:basedOn w:val="1"/>
    <w:next w:val="1"/>
    <w:semiHidden/>
    <w:qFormat/>
    <w:uiPriority w:val="0"/>
    <w:pPr>
      <w:tabs>
        <w:tab w:val="right" w:leader="dot" w:pos="8296"/>
      </w:tabs>
      <w:spacing w:line="360" w:lineRule="auto"/>
    </w:pPr>
    <w:rPr>
      <w:sz w:val="24"/>
    </w:rPr>
  </w:style>
  <w:style w:type="paragraph" w:styleId="12">
    <w:name w:val="annotation subject"/>
    <w:basedOn w:val="6"/>
    <w:next w:val="6"/>
    <w:link w:val="21"/>
    <w:qFormat/>
    <w:uiPriority w:val="0"/>
    <w:rPr>
      <w:b/>
      <w:bCs/>
    </w:rPr>
  </w:style>
  <w:style w:type="paragraph" w:styleId="13">
    <w:name w:val="Body Text First Indent"/>
    <w:basedOn w:val="1"/>
    <w:link w:val="22"/>
    <w:qFormat/>
    <w:uiPriority w:val="0"/>
    <w:pPr>
      <w:adjustRightInd w:val="0"/>
      <w:snapToGrid w:val="0"/>
      <w:spacing w:line="300" w:lineRule="auto"/>
      <w:ind w:firstLine="200" w:firstLineChars="200"/>
      <w:jc w:val="left"/>
    </w:pPr>
    <w:rPr>
      <w:kern w:val="0"/>
      <w:sz w:val="24"/>
    </w:rPr>
  </w:style>
  <w:style w:type="table" w:styleId="15">
    <w:name w:val="Table Grid"/>
    <w:basedOn w:val="1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7">
    <w:name w:val="page number"/>
    <w:basedOn w:val="16"/>
    <w:qFormat/>
    <w:uiPriority w:val="0"/>
  </w:style>
  <w:style w:type="character" w:styleId="18">
    <w:name w:val="FollowedHyperlink"/>
    <w:qFormat/>
    <w:uiPriority w:val="0"/>
    <w:rPr>
      <w:color w:val="800080"/>
      <w:u w:val="single"/>
    </w:rPr>
  </w:style>
  <w:style w:type="character" w:styleId="19">
    <w:name w:val="Hyperlink"/>
    <w:qFormat/>
    <w:uiPriority w:val="0"/>
    <w:rPr>
      <w:color w:val="0000FF"/>
      <w:u w:val="single"/>
    </w:rPr>
  </w:style>
  <w:style w:type="character" w:styleId="20">
    <w:name w:val="annotation reference"/>
    <w:qFormat/>
    <w:uiPriority w:val="0"/>
    <w:rPr>
      <w:sz w:val="21"/>
      <w:szCs w:val="21"/>
    </w:rPr>
  </w:style>
  <w:style w:type="character" w:customStyle="1" w:styleId="21">
    <w:name w:val="批注主题 Char"/>
    <w:link w:val="12"/>
    <w:qFormat/>
    <w:uiPriority w:val="0"/>
    <w:rPr>
      <w:b/>
      <w:bCs/>
      <w:kern w:val="2"/>
      <w:sz w:val="21"/>
      <w:szCs w:val="24"/>
    </w:rPr>
  </w:style>
  <w:style w:type="character" w:customStyle="1" w:styleId="22">
    <w:name w:val="正文首行缩进 Char"/>
    <w:link w:val="13"/>
    <w:qFormat/>
    <w:locked/>
    <w:uiPriority w:val="0"/>
    <w:rPr>
      <w:rFonts w:eastAsia="宋体"/>
      <w:sz w:val="24"/>
      <w:szCs w:val="24"/>
      <w:lang w:val="en-US" w:eastAsia="zh-CN" w:bidi="ar-SA"/>
    </w:rPr>
  </w:style>
  <w:style w:type="character" w:customStyle="1" w:styleId="23">
    <w:name w:val="批注文字 Char"/>
    <w:link w:val="6"/>
    <w:qFormat/>
    <w:uiPriority w:val="0"/>
    <w:rPr>
      <w:kern w:val="2"/>
      <w:sz w:val="21"/>
      <w:szCs w:val="24"/>
    </w:rPr>
  </w:style>
  <w:style w:type="paragraph" w:styleId="24">
    <w:name w:val="List Paragraph"/>
    <w:basedOn w:val="1"/>
    <w:qFormat/>
    <w:uiPriority w:val="34"/>
    <w:pPr>
      <w:widowControl/>
      <w:ind w:firstLine="420" w:firstLineChars="200"/>
      <w:jc w:val="left"/>
    </w:pPr>
    <w:rPr>
      <w:rFonts w:ascii="宋体" w:hAnsi="宋体" w:cs="宋体"/>
      <w:kern w:val="0"/>
      <w:sz w:val="24"/>
    </w:rPr>
  </w:style>
  <w:style w:type="character" w:customStyle="1" w:styleId="25">
    <w:name w:val="标题 2 Char"/>
    <w:link w:val="3"/>
    <w:qFormat/>
    <w:uiPriority w:val="0"/>
    <w:rPr>
      <w:sz w:val="30"/>
    </w:rPr>
  </w:style>
  <w:style w:type="character" w:customStyle="1" w:styleId="26">
    <w:name w:val="标题 3 Char"/>
    <w:qFormat/>
    <w:uiPriority w:val="0"/>
    <w:rPr>
      <w:sz w:val="24"/>
    </w:rPr>
  </w:style>
  <w:style w:type="paragraph" w:customStyle="1" w:styleId="27">
    <w:name w:val="样式1"/>
    <w:basedOn w:val="1"/>
    <w:qFormat/>
    <w:uiPriority w:val="0"/>
    <w:pPr>
      <w:jc w:val="center"/>
    </w:pPr>
    <w:rPr>
      <w:rFonts w:eastAsia="黑体"/>
      <w:sz w:val="28"/>
    </w:rPr>
  </w:style>
  <w:style w:type="paragraph" w:customStyle="1" w:styleId="28">
    <w:name w:val="正文表标题"/>
    <w:next w:val="29"/>
    <w:qFormat/>
    <w:uiPriority w:val="0"/>
    <w:pPr>
      <w:numPr>
        <w:ilvl w:val="0"/>
        <w:numId w:val="1"/>
      </w:numPr>
      <w:tabs>
        <w:tab w:val="left" w:pos="360"/>
      </w:tabs>
      <w:spacing w:beforeLines="50" w:afterLines="50"/>
      <w:jc w:val="center"/>
    </w:pPr>
    <w:rPr>
      <w:rFonts w:ascii="黑体" w:hAnsi="Times New Roman" w:eastAsia="黑体" w:cs="Times New Roman"/>
      <w:sz w:val="21"/>
      <w:lang w:val="en-US" w:eastAsia="zh-CN" w:bidi="ar-SA"/>
    </w:rPr>
  </w:style>
  <w:style w:type="paragraph" w:customStyle="1" w:styleId="29">
    <w:name w:val="段"/>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szCs w:val="22"/>
      <w:lang w:val="en-US" w:eastAsia="zh-CN" w:bidi="ar-SA"/>
    </w:rPr>
  </w:style>
  <w:style w:type="character" w:customStyle="1" w:styleId="30">
    <w:name w:val="标题 3 Char1"/>
    <w:link w:val="4"/>
    <w:qFormat/>
    <w:uiPriority w:val="0"/>
    <w:rPr>
      <w:sz w:val="24"/>
    </w:rPr>
  </w:style>
  <w:style w:type="character" w:customStyle="1" w:styleId="31">
    <w:name w:val="font21"/>
    <w:basedOn w:val="16"/>
    <w:qFormat/>
    <w:uiPriority w:val="0"/>
    <w:rPr>
      <w:rFonts w:hint="default" w:ascii="Times New Roman" w:hAnsi="Times New Roman" w:cs="Times New Roman"/>
      <w:color w:val="000000"/>
      <w:sz w:val="18"/>
      <w:szCs w:val="18"/>
      <w:u w:val="none"/>
    </w:rPr>
  </w:style>
  <w:style w:type="character" w:customStyle="1" w:styleId="32">
    <w:name w:val="font51"/>
    <w:basedOn w:val="16"/>
    <w:qFormat/>
    <w:uiPriority w:val="0"/>
    <w:rPr>
      <w:rFonts w:hint="default" w:ascii="Times New Roman" w:hAnsi="Times New Roman" w:cs="Times New Roman"/>
      <w:i/>
      <w:color w:val="000000"/>
      <w:sz w:val="18"/>
      <w:szCs w:val="18"/>
      <w:u w:val="none"/>
    </w:rPr>
  </w:style>
  <w:style w:type="character" w:customStyle="1" w:styleId="33">
    <w:name w:val="font41"/>
    <w:basedOn w:val="16"/>
    <w:qFormat/>
    <w:uiPriority w:val="0"/>
    <w:rPr>
      <w:rFonts w:hint="eastAsia" w:ascii="宋体" w:hAnsi="宋体" w:eastAsia="宋体" w:cs="宋体"/>
      <w:color w:val="000000"/>
      <w:sz w:val="18"/>
      <w:szCs w:val="18"/>
      <w:u w:val="none"/>
      <w:vertAlign w:val="subscript"/>
    </w:rPr>
  </w:style>
  <w:style w:type="character" w:customStyle="1" w:styleId="34">
    <w:name w:val="font31"/>
    <w:basedOn w:val="16"/>
    <w:qFormat/>
    <w:uiPriority w:val="0"/>
    <w:rPr>
      <w:rFonts w:hint="default" w:ascii="Times New Roman" w:hAnsi="Times New Roman" w:cs="Times New Roman"/>
      <w:color w:val="000000"/>
      <w:sz w:val="18"/>
      <w:szCs w:val="18"/>
      <w:u w:val="none"/>
      <w:vertAlign w:val="subscript"/>
    </w:rPr>
  </w:style>
  <w:style w:type="character" w:customStyle="1" w:styleId="35">
    <w:name w:val="font11"/>
    <w:basedOn w:val="16"/>
    <w:qFormat/>
    <w:uiPriority w:val="0"/>
    <w:rPr>
      <w:rFonts w:hint="default" w:ascii="Times New Roman" w:hAnsi="Times New Roman" w:cs="Times New Roman"/>
      <w:color w:val="000000"/>
      <w:sz w:val="24"/>
      <w:szCs w:val="24"/>
      <w:u w:val="none"/>
    </w:rPr>
  </w:style>
  <w:style w:type="character" w:customStyle="1" w:styleId="36">
    <w:name w:val="font01"/>
    <w:basedOn w:val="16"/>
    <w:qFormat/>
    <w:uiPriority w:val="0"/>
    <w:rPr>
      <w:rFonts w:hint="eastAsia" w:ascii="宋体" w:hAnsi="宋体" w:eastAsia="宋体" w:cs="宋体"/>
      <w:color w:val="000000"/>
      <w:sz w:val="24"/>
      <w:szCs w:val="24"/>
      <w:u w:val="none"/>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4" Type="http://schemas.openxmlformats.org/officeDocument/2006/relationships/fontTable" Target="fontTable.xml"/><Relationship Id="rId83" Type="http://schemas.openxmlformats.org/officeDocument/2006/relationships/numbering" Target="numbering.xml"/><Relationship Id="rId82" Type="http://schemas.openxmlformats.org/officeDocument/2006/relationships/customXml" Target="../customXml/item1.xml"/><Relationship Id="rId81" Type="http://schemas.openxmlformats.org/officeDocument/2006/relationships/oleObject" Target="embeddings/oleObject36.bin"/><Relationship Id="rId80" Type="http://schemas.openxmlformats.org/officeDocument/2006/relationships/oleObject" Target="embeddings/oleObject35.bin"/><Relationship Id="rId8" Type="http://schemas.openxmlformats.org/officeDocument/2006/relationships/footer" Target="footer4.xml"/><Relationship Id="rId79" Type="http://schemas.openxmlformats.org/officeDocument/2006/relationships/image" Target="media/image35.wmf"/><Relationship Id="rId78" Type="http://schemas.openxmlformats.org/officeDocument/2006/relationships/oleObject" Target="embeddings/oleObject34.bin"/><Relationship Id="rId77" Type="http://schemas.openxmlformats.org/officeDocument/2006/relationships/image" Target="media/image34.wmf"/><Relationship Id="rId76" Type="http://schemas.openxmlformats.org/officeDocument/2006/relationships/oleObject" Target="embeddings/oleObject33.bin"/><Relationship Id="rId75" Type="http://schemas.openxmlformats.org/officeDocument/2006/relationships/image" Target="media/image33.wmf"/><Relationship Id="rId74" Type="http://schemas.openxmlformats.org/officeDocument/2006/relationships/oleObject" Target="embeddings/oleObject32.bin"/><Relationship Id="rId73" Type="http://schemas.openxmlformats.org/officeDocument/2006/relationships/image" Target="media/image32.wmf"/><Relationship Id="rId72" Type="http://schemas.openxmlformats.org/officeDocument/2006/relationships/oleObject" Target="embeddings/oleObject31.bin"/><Relationship Id="rId71" Type="http://schemas.openxmlformats.org/officeDocument/2006/relationships/image" Target="media/image31.wmf"/><Relationship Id="rId70" Type="http://schemas.openxmlformats.org/officeDocument/2006/relationships/oleObject" Target="embeddings/oleObject30.bin"/><Relationship Id="rId7" Type="http://schemas.openxmlformats.org/officeDocument/2006/relationships/footer" Target="footer3.xml"/><Relationship Id="rId69" Type="http://schemas.openxmlformats.org/officeDocument/2006/relationships/image" Target="media/image30.wmf"/><Relationship Id="rId68" Type="http://schemas.openxmlformats.org/officeDocument/2006/relationships/oleObject" Target="embeddings/oleObject29.bin"/><Relationship Id="rId67" Type="http://schemas.openxmlformats.org/officeDocument/2006/relationships/image" Target="media/image29.wmf"/><Relationship Id="rId66" Type="http://schemas.openxmlformats.org/officeDocument/2006/relationships/oleObject" Target="embeddings/oleObject28.bin"/><Relationship Id="rId65" Type="http://schemas.openxmlformats.org/officeDocument/2006/relationships/image" Target="media/image28.wmf"/><Relationship Id="rId64" Type="http://schemas.openxmlformats.org/officeDocument/2006/relationships/oleObject" Target="embeddings/oleObject27.bin"/><Relationship Id="rId63" Type="http://schemas.openxmlformats.org/officeDocument/2006/relationships/image" Target="media/image27.wmf"/><Relationship Id="rId62" Type="http://schemas.openxmlformats.org/officeDocument/2006/relationships/oleObject" Target="embeddings/oleObject26.bin"/><Relationship Id="rId61" Type="http://schemas.openxmlformats.org/officeDocument/2006/relationships/image" Target="media/image26.wmf"/><Relationship Id="rId60" Type="http://schemas.openxmlformats.org/officeDocument/2006/relationships/oleObject" Target="embeddings/oleObject25.bin"/><Relationship Id="rId6" Type="http://schemas.openxmlformats.org/officeDocument/2006/relationships/footer" Target="footer2.xml"/><Relationship Id="rId59" Type="http://schemas.openxmlformats.org/officeDocument/2006/relationships/image" Target="media/image25.wmf"/><Relationship Id="rId58" Type="http://schemas.openxmlformats.org/officeDocument/2006/relationships/oleObject" Target="embeddings/oleObject24.bin"/><Relationship Id="rId57" Type="http://schemas.openxmlformats.org/officeDocument/2006/relationships/image" Target="media/image24.wmf"/><Relationship Id="rId56" Type="http://schemas.openxmlformats.org/officeDocument/2006/relationships/oleObject" Target="embeddings/oleObject23.bin"/><Relationship Id="rId55" Type="http://schemas.openxmlformats.org/officeDocument/2006/relationships/image" Target="media/image23.wmf"/><Relationship Id="rId54" Type="http://schemas.openxmlformats.org/officeDocument/2006/relationships/oleObject" Target="embeddings/oleObject22.bin"/><Relationship Id="rId53" Type="http://schemas.openxmlformats.org/officeDocument/2006/relationships/image" Target="media/image22.wmf"/><Relationship Id="rId52" Type="http://schemas.openxmlformats.org/officeDocument/2006/relationships/oleObject" Target="embeddings/oleObject21.bin"/><Relationship Id="rId51" Type="http://schemas.openxmlformats.org/officeDocument/2006/relationships/image" Target="media/image21.wmf"/><Relationship Id="rId50" Type="http://schemas.openxmlformats.org/officeDocument/2006/relationships/oleObject" Target="embeddings/oleObject20.bin"/><Relationship Id="rId5" Type="http://schemas.openxmlformats.org/officeDocument/2006/relationships/footer" Target="footer1.xml"/><Relationship Id="rId49" Type="http://schemas.openxmlformats.org/officeDocument/2006/relationships/image" Target="media/image20.wmf"/><Relationship Id="rId48" Type="http://schemas.openxmlformats.org/officeDocument/2006/relationships/oleObject" Target="embeddings/oleObject19.bin"/><Relationship Id="rId47" Type="http://schemas.openxmlformats.org/officeDocument/2006/relationships/image" Target="media/image19.wmf"/><Relationship Id="rId46" Type="http://schemas.openxmlformats.org/officeDocument/2006/relationships/oleObject" Target="embeddings/oleObject18.bin"/><Relationship Id="rId45" Type="http://schemas.openxmlformats.org/officeDocument/2006/relationships/image" Target="media/image18.wmf"/><Relationship Id="rId44" Type="http://schemas.openxmlformats.org/officeDocument/2006/relationships/oleObject" Target="embeddings/oleObject17.bin"/><Relationship Id="rId43" Type="http://schemas.openxmlformats.org/officeDocument/2006/relationships/image" Target="media/image17.wmf"/><Relationship Id="rId42" Type="http://schemas.openxmlformats.org/officeDocument/2006/relationships/oleObject" Target="embeddings/oleObject16.bin"/><Relationship Id="rId41" Type="http://schemas.openxmlformats.org/officeDocument/2006/relationships/image" Target="media/image16.wmf"/><Relationship Id="rId40" Type="http://schemas.openxmlformats.org/officeDocument/2006/relationships/oleObject" Target="embeddings/oleObject15.bin"/><Relationship Id="rId4" Type="http://schemas.openxmlformats.org/officeDocument/2006/relationships/header" Target="header2.xml"/><Relationship Id="rId39" Type="http://schemas.openxmlformats.org/officeDocument/2006/relationships/image" Target="media/image15.wmf"/><Relationship Id="rId38" Type="http://schemas.openxmlformats.org/officeDocument/2006/relationships/oleObject" Target="embeddings/oleObject14.bin"/><Relationship Id="rId37" Type="http://schemas.openxmlformats.org/officeDocument/2006/relationships/image" Target="media/image14.wmf"/><Relationship Id="rId36" Type="http://schemas.openxmlformats.org/officeDocument/2006/relationships/oleObject" Target="embeddings/oleObject13.bin"/><Relationship Id="rId35" Type="http://schemas.openxmlformats.org/officeDocument/2006/relationships/image" Target="media/image13.wmf"/><Relationship Id="rId34" Type="http://schemas.openxmlformats.org/officeDocument/2006/relationships/oleObject" Target="embeddings/oleObject12.bin"/><Relationship Id="rId33" Type="http://schemas.openxmlformats.org/officeDocument/2006/relationships/image" Target="media/image12.wmf"/><Relationship Id="rId32" Type="http://schemas.openxmlformats.org/officeDocument/2006/relationships/oleObject" Target="embeddings/oleObject11.bin"/><Relationship Id="rId31" Type="http://schemas.openxmlformats.org/officeDocument/2006/relationships/image" Target="media/image11.wmf"/><Relationship Id="rId30" Type="http://schemas.openxmlformats.org/officeDocument/2006/relationships/oleObject" Target="embeddings/oleObject10.bin"/><Relationship Id="rId3" Type="http://schemas.openxmlformats.org/officeDocument/2006/relationships/header" Target="header1.xml"/><Relationship Id="rId29" Type="http://schemas.openxmlformats.org/officeDocument/2006/relationships/image" Target="media/image10.wmf"/><Relationship Id="rId28" Type="http://schemas.openxmlformats.org/officeDocument/2006/relationships/oleObject" Target="embeddings/oleObject9.bin"/><Relationship Id="rId27" Type="http://schemas.openxmlformats.org/officeDocument/2006/relationships/image" Target="media/image9.wmf"/><Relationship Id="rId26" Type="http://schemas.openxmlformats.org/officeDocument/2006/relationships/oleObject" Target="embeddings/oleObject8.bin"/><Relationship Id="rId25" Type="http://schemas.openxmlformats.org/officeDocument/2006/relationships/image" Target="media/image8.wmf"/><Relationship Id="rId24" Type="http://schemas.openxmlformats.org/officeDocument/2006/relationships/oleObject" Target="embeddings/oleObject7.bin"/><Relationship Id="rId23" Type="http://schemas.openxmlformats.org/officeDocument/2006/relationships/image" Target="media/image7.wmf"/><Relationship Id="rId22" Type="http://schemas.openxmlformats.org/officeDocument/2006/relationships/oleObject" Target="embeddings/oleObject6.bin"/><Relationship Id="rId21" Type="http://schemas.openxmlformats.org/officeDocument/2006/relationships/image" Target="media/image6.wmf"/><Relationship Id="rId20" Type="http://schemas.openxmlformats.org/officeDocument/2006/relationships/oleObject" Target="embeddings/oleObject5.bin"/><Relationship Id="rId2" Type="http://schemas.openxmlformats.org/officeDocument/2006/relationships/settings" Target="settings.xml"/><Relationship Id="rId19" Type="http://schemas.openxmlformats.org/officeDocument/2006/relationships/image" Target="media/image5.wmf"/><Relationship Id="rId18" Type="http://schemas.openxmlformats.org/officeDocument/2006/relationships/oleObject" Target="embeddings/oleObject4.bin"/><Relationship Id="rId17" Type="http://schemas.openxmlformats.org/officeDocument/2006/relationships/image" Target="media/image4.wmf"/><Relationship Id="rId16" Type="http://schemas.openxmlformats.org/officeDocument/2006/relationships/oleObject" Target="embeddings/oleObject3.bin"/><Relationship Id="rId15" Type="http://schemas.openxmlformats.org/officeDocument/2006/relationships/image" Target="media/image3.wmf"/><Relationship Id="rId14" Type="http://schemas.openxmlformats.org/officeDocument/2006/relationships/oleObject" Target="embeddings/oleObject2.bin"/><Relationship Id="rId13" Type="http://schemas.openxmlformats.org/officeDocument/2006/relationships/image" Target="media/image2.wmf"/><Relationship Id="rId12" Type="http://schemas.openxmlformats.org/officeDocument/2006/relationships/oleObject" Target="embeddings/oleObject1.bin"/><Relationship Id="rId11" Type="http://schemas.openxmlformats.org/officeDocument/2006/relationships/image" Target="media/image1.png"/><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customShpExts>
    <customShpInfo spid="_x0000_s2053"/>
    <customShpInfo spid="_x0000_s2054"/>
    <customShpInfo spid="_x0000_s2055"/>
    <customShpInfo spid="_x0000_s1032"/>
    <customShpInfo spid="_x0000_s1034"/>
    <customShpInfo spid="_x0000_s1033"/>
    <customShpInfo spid="_x0000_s1087"/>
    <customShpInfo spid="_x0000_s1079"/>
    <customShpInfo spid="_x0000_s1077"/>
    <customShpInfo spid="_x0000_s108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simt</Company>
  <Pages>15</Pages>
  <Words>1177</Words>
  <Characters>6715</Characters>
  <Lines>55</Lines>
  <Paragraphs>15</Paragraphs>
  <TotalTime>3</TotalTime>
  <ScaleCrop>false</ScaleCrop>
  <LinksUpToDate>false</LinksUpToDate>
  <CharactersWithSpaces>7877</CharactersWithSpaces>
  <Application>WPS Office_11.1.0.10578_F1E327BC-269C-435d-A152-05C5408002CA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2018-08-03T10:53:00Z</dcterms:created>
  <dc:creator>蔡青</dc:creator>
  <cp:lastModifiedBy>尘</cp:lastModifiedBy>
  <cp:lastPrinted>2018-08-03T13:55:00Z</cp:lastPrinted>
  <dcterms:modified xsi:type="dcterms:W3CDTF">2021-06-24T03:10:42Z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8EDCE88A7CD142108C8D9AE524B703AA</vt:lpwstr>
  </property>
  <property fmtid="{D5CDD505-2E9C-101B-9397-08002B2CF9AE}" pid="4" name="KSOSaveFontToCloudKey">
    <vt:lpwstr>435861622_btnclosed</vt:lpwstr>
  </property>
</Properties>
</file>