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附件3：</w:t>
      </w:r>
    </w:p>
    <w:p>
      <w:pPr>
        <w:jc w:val="center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行业计量技术规范项目建议书</w:t>
      </w:r>
    </w:p>
    <w:tbl>
      <w:tblPr>
        <w:tblStyle w:val="5"/>
        <w:tblW w:w="90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134"/>
        <w:gridCol w:w="850"/>
        <w:gridCol w:w="851"/>
        <w:gridCol w:w="1559"/>
        <w:gridCol w:w="709"/>
        <w:gridCol w:w="1134"/>
        <w:gridCol w:w="2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建议项目名称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支辊式弯曲试验机校准规范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制定或修订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■制定    □修订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被修订计量技术规范号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计量技术规范性质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□检定规程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■校准规范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计量技术规范类别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□重点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■基础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主要起草单位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西南铝业（集团）有限责任公司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谭本清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13883825800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2022年-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参加单位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西安汉唐分析检测有限公司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具备的特点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□安全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节能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环保 </w:t>
            </w:r>
            <w:r>
              <w:rPr>
                <w:rFonts w:hint="eastAsia" w:ascii="宋体" w:hAnsi="宋体" w:eastAsia="宋体" w:cs="宋体"/>
              </w:rPr>
              <w:t>█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自主创新 □其它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7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目的、意义和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必要性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360" w:firstLineChars="15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铝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质量轻、强度高、耐腐蚀、可着色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、可循环使用、环保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等优势，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广泛用作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现代装饰装修材料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以铝代木，是绿色低碳的主要途径之一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。</w:t>
            </w:r>
          </w:p>
          <w:p>
            <w:pPr>
              <w:spacing w:line="240" w:lineRule="auto"/>
              <w:ind w:firstLine="360" w:firstLineChars="15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支辊式弯曲试验机是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金属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材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料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弯曲试验的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试验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设备。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装饰装修用铝材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弯曲成形性能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需用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弯曲试验机进行测试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和验收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。</w:t>
            </w:r>
          </w:p>
          <w:p>
            <w:pPr>
              <w:spacing w:line="240" w:lineRule="auto"/>
              <w:ind w:firstLine="360" w:firstLineChars="15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弯曲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性能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试验是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将金属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试样在支辊式弯曲试验机上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按给定弯曲角度选择压头、跨距、下压位移进行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弯曲变形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试验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通过观察金属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试样弯曲表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面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eastAsia="zh-CN"/>
              </w:rPr>
              <w:t>变形和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裂纹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eastAsia="zh-CN"/>
              </w:rPr>
              <w:t>有无来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判断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eastAsia="zh-CN"/>
              </w:rPr>
              <w:t>金属抗弯曲性能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。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eastAsia="zh-CN"/>
              </w:rPr>
              <w:t>所以需要对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支辊式弯曲试验机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eastAsia="zh-CN"/>
              </w:rPr>
              <w:t>的跨距、位移、压头等的计量特性进行校准与控制。</w:t>
            </w:r>
          </w:p>
          <w:p>
            <w:pPr>
              <w:spacing w:line="240" w:lineRule="auto"/>
              <w:ind w:firstLine="360" w:firstLineChars="15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 xml:space="preserve"> 目前，国家、地方或行业没有支辊式弯曲试验机检定规程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校准规范，校准工作无执行标准，不能有效对支辊式弯曲试验机开展校准，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试样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弯曲试验结果的准确性无法得到保证。</w:t>
            </w:r>
          </w:p>
          <w:p>
            <w:pPr>
              <w:spacing w:line="240" w:lineRule="auto"/>
              <w:ind w:firstLine="360" w:firstLineChars="15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因此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为指导、有效开展支辊式铝板弯曲试验机校准工作，编制《支辊式弯曲试验机校准规范》十分必要。</w:t>
            </w:r>
          </w:p>
          <w:p>
            <w:pPr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6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范围和主要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计量特性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1、本规范适用于支辊式弯曲试验机的校准。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2、计量技术规范主要计量特性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）试验机支承辊水平跨距示值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误差±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0.1mm。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</w:rPr>
              <w:t>）试验机压头下弯位移示值误差±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0.1mm。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（3）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试验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机压头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半径最大允许误差±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0.05mm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、表面粗糙度≤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0.8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μm。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水平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 xml:space="preserve">       □国际先进        ■国内先进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6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国内外情况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简要说明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支辊式弯曲试验机其结构、形式等多种多样，作为弯曲试验的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试验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设备，运用十分广泛。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弯曲试验方法分为支辊式弯曲试验法、V型模具式弯曲试验法、虎钳式弯曲试验法。支辊式弯曲试验法具有测量范围大、操作灵活简便、准确度高等特点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在国内外得到广泛使用。</w:t>
            </w:r>
          </w:p>
          <w:p>
            <w:pPr>
              <w:spacing w:line="360" w:lineRule="auto"/>
              <w:ind w:firstLine="360" w:firstLineChars="150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目前，弯曲试验机还没有国家、地方或行业相应的检定规程或校准规范，无法依据检定规程或校准规范对弯曲试验机开展校准，不能确定弯曲试验机是否准确，弯曲试验结果的准确性无法得到保证。因此，编制《支辊式弯曲试验机校准规范》具有重要现实意义。</w:t>
            </w:r>
          </w:p>
          <w:p>
            <w:pPr>
              <w:spacing w:line="500" w:lineRule="exact"/>
              <w:ind w:firstLine="420" w:firstLineChars="150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  <w:jc w:val="center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主要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起草单位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</w:rPr>
              <w:t>1月1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</w:rPr>
              <w:t>日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技术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委员会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月  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部委托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支撑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单位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月  日</w:t>
            </w:r>
          </w:p>
        </w:tc>
      </w:tr>
    </w:tbl>
    <w:p>
      <w:r>
        <w:rPr>
          <w:rFonts w:hint="eastAsia"/>
        </w:rPr>
        <w:t>填写说明：1.表中第</w:t>
      </w:r>
      <w:r>
        <w:t>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，8行，请在选定的内容上填写 “</w:t>
      </w:r>
      <w:r>
        <w:rPr>
          <w:rFonts w:hint="eastAsia" w:ascii="宋体" w:hAnsi="宋体"/>
        </w:rPr>
        <w:t>█</w:t>
      </w:r>
      <w:r>
        <w:rPr>
          <w:rFonts w:hint="eastAsia"/>
        </w:rPr>
        <w:t>”的符号。</w:t>
      </w:r>
    </w:p>
    <w:p>
      <w:pPr>
        <w:rPr>
          <w:szCs w:val="21"/>
        </w:rPr>
      </w:pPr>
      <w:r>
        <w:rPr>
          <w:rFonts w:hint="eastAsia"/>
        </w:rPr>
        <w:t xml:space="preserve">          </w:t>
      </w:r>
      <w:r>
        <w:rPr>
          <w:rFonts w:hint="eastAsia"/>
          <w:szCs w:val="21"/>
        </w:rPr>
        <w:t>2.填写制定或修订项目中，若选择修订则必须填写被修订计量技术规范号。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82A"/>
    <w:rsid w:val="00001BDC"/>
    <w:rsid w:val="00002675"/>
    <w:rsid w:val="00061EF9"/>
    <w:rsid w:val="0006791C"/>
    <w:rsid w:val="000778C7"/>
    <w:rsid w:val="000826E7"/>
    <w:rsid w:val="000A601B"/>
    <w:rsid w:val="000A7065"/>
    <w:rsid w:val="000B2C87"/>
    <w:rsid w:val="000B5F6B"/>
    <w:rsid w:val="000B64E6"/>
    <w:rsid w:val="000B76A7"/>
    <w:rsid w:val="000D6A98"/>
    <w:rsid w:val="00100E1F"/>
    <w:rsid w:val="00105D12"/>
    <w:rsid w:val="00107040"/>
    <w:rsid w:val="0012141D"/>
    <w:rsid w:val="0012435E"/>
    <w:rsid w:val="001327BF"/>
    <w:rsid w:val="00137D53"/>
    <w:rsid w:val="00142941"/>
    <w:rsid w:val="00142C97"/>
    <w:rsid w:val="00165CF4"/>
    <w:rsid w:val="001737C3"/>
    <w:rsid w:val="00191A23"/>
    <w:rsid w:val="001A6319"/>
    <w:rsid w:val="001A7323"/>
    <w:rsid w:val="001B1109"/>
    <w:rsid w:val="001C7479"/>
    <w:rsid w:val="001D6492"/>
    <w:rsid w:val="001F0266"/>
    <w:rsid w:val="001F1E15"/>
    <w:rsid w:val="002056CB"/>
    <w:rsid w:val="0020763F"/>
    <w:rsid w:val="00216BBA"/>
    <w:rsid w:val="00220765"/>
    <w:rsid w:val="00224E9C"/>
    <w:rsid w:val="002339AA"/>
    <w:rsid w:val="002361A8"/>
    <w:rsid w:val="002363D3"/>
    <w:rsid w:val="00236D77"/>
    <w:rsid w:val="0024351E"/>
    <w:rsid w:val="00277B6F"/>
    <w:rsid w:val="00295909"/>
    <w:rsid w:val="002A52DC"/>
    <w:rsid w:val="002B409A"/>
    <w:rsid w:val="002B6E18"/>
    <w:rsid w:val="002C2E4A"/>
    <w:rsid w:val="002C5AE4"/>
    <w:rsid w:val="002D0B8E"/>
    <w:rsid w:val="002D3B63"/>
    <w:rsid w:val="002E2E3A"/>
    <w:rsid w:val="002E4286"/>
    <w:rsid w:val="002E7316"/>
    <w:rsid w:val="002F3111"/>
    <w:rsid w:val="002F57A2"/>
    <w:rsid w:val="0030632F"/>
    <w:rsid w:val="00315C3A"/>
    <w:rsid w:val="00320121"/>
    <w:rsid w:val="0033763C"/>
    <w:rsid w:val="00342313"/>
    <w:rsid w:val="00363B46"/>
    <w:rsid w:val="00377513"/>
    <w:rsid w:val="003813B1"/>
    <w:rsid w:val="00392077"/>
    <w:rsid w:val="00397A98"/>
    <w:rsid w:val="003B0179"/>
    <w:rsid w:val="003C52C1"/>
    <w:rsid w:val="003C5E0E"/>
    <w:rsid w:val="003C7438"/>
    <w:rsid w:val="003F7066"/>
    <w:rsid w:val="00401558"/>
    <w:rsid w:val="004171B4"/>
    <w:rsid w:val="0045334C"/>
    <w:rsid w:val="00466916"/>
    <w:rsid w:val="00473281"/>
    <w:rsid w:val="004A1107"/>
    <w:rsid w:val="004A5613"/>
    <w:rsid w:val="004C6A1E"/>
    <w:rsid w:val="004F0D03"/>
    <w:rsid w:val="004F2F0A"/>
    <w:rsid w:val="00512015"/>
    <w:rsid w:val="0051301B"/>
    <w:rsid w:val="00516D40"/>
    <w:rsid w:val="005269AC"/>
    <w:rsid w:val="005429FE"/>
    <w:rsid w:val="005436F9"/>
    <w:rsid w:val="0054439E"/>
    <w:rsid w:val="00566ADB"/>
    <w:rsid w:val="005774D1"/>
    <w:rsid w:val="00581AE6"/>
    <w:rsid w:val="005971F0"/>
    <w:rsid w:val="005A58CF"/>
    <w:rsid w:val="005B43B7"/>
    <w:rsid w:val="005B622B"/>
    <w:rsid w:val="005F72CB"/>
    <w:rsid w:val="00605E3D"/>
    <w:rsid w:val="0062293F"/>
    <w:rsid w:val="00641058"/>
    <w:rsid w:val="00643672"/>
    <w:rsid w:val="00647228"/>
    <w:rsid w:val="006509F8"/>
    <w:rsid w:val="00656B14"/>
    <w:rsid w:val="006574E4"/>
    <w:rsid w:val="00675F64"/>
    <w:rsid w:val="00681DE2"/>
    <w:rsid w:val="00683E3B"/>
    <w:rsid w:val="006B274A"/>
    <w:rsid w:val="006C24DA"/>
    <w:rsid w:val="006D35FD"/>
    <w:rsid w:val="0071199D"/>
    <w:rsid w:val="0075669B"/>
    <w:rsid w:val="0077270B"/>
    <w:rsid w:val="00772DB3"/>
    <w:rsid w:val="00785343"/>
    <w:rsid w:val="007D6363"/>
    <w:rsid w:val="007D68CC"/>
    <w:rsid w:val="007E7A66"/>
    <w:rsid w:val="007F4C71"/>
    <w:rsid w:val="0081283B"/>
    <w:rsid w:val="00823986"/>
    <w:rsid w:val="00825329"/>
    <w:rsid w:val="00831BB8"/>
    <w:rsid w:val="00846835"/>
    <w:rsid w:val="00881EDD"/>
    <w:rsid w:val="00896F1B"/>
    <w:rsid w:val="008C6D89"/>
    <w:rsid w:val="008D665F"/>
    <w:rsid w:val="008E14B4"/>
    <w:rsid w:val="008E4086"/>
    <w:rsid w:val="008F1309"/>
    <w:rsid w:val="00906A81"/>
    <w:rsid w:val="00927B91"/>
    <w:rsid w:val="00951DB8"/>
    <w:rsid w:val="00963450"/>
    <w:rsid w:val="0097533E"/>
    <w:rsid w:val="009773E1"/>
    <w:rsid w:val="00980C76"/>
    <w:rsid w:val="009936F4"/>
    <w:rsid w:val="00993D04"/>
    <w:rsid w:val="009A4CEA"/>
    <w:rsid w:val="009B27A5"/>
    <w:rsid w:val="009B5BEA"/>
    <w:rsid w:val="009D1A2F"/>
    <w:rsid w:val="009D7AFC"/>
    <w:rsid w:val="009F1DF3"/>
    <w:rsid w:val="009F65BB"/>
    <w:rsid w:val="009F679B"/>
    <w:rsid w:val="00A00120"/>
    <w:rsid w:val="00A029F9"/>
    <w:rsid w:val="00A26A8F"/>
    <w:rsid w:val="00A41329"/>
    <w:rsid w:val="00A515A1"/>
    <w:rsid w:val="00A6443D"/>
    <w:rsid w:val="00A7441F"/>
    <w:rsid w:val="00A76EE4"/>
    <w:rsid w:val="00AB2D0B"/>
    <w:rsid w:val="00AB5876"/>
    <w:rsid w:val="00AB637C"/>
    <w:rsid w:val="00AC4CD2"/>
    <w:rsid w:val="00AF6B42"/>
    <w:rsid w:val="00AF6CE9"/>
    <w:rsid w:val="00AF6F02"/>
    <w:rsid w:val="00B078EB"/>
    <w:rsid w:val="00B17841"/>
    <w:rsid w:val="00B24859"/>
    <w:rsid w:val="00B36306"/>
    <w:rsid w:val="00B47AAE"/>
    <w:rsid w:val="00B51008"/>
    <w:rsid w:val="00B62EE9"/>
    <w:rsid w:val="00B73443"/>
    <w:rsid w:val="00BA6B22"/>
    <w:rsid w:val="00BB04B5"/>
    <w:rsid w:val="00BB3BAA"/>
    <w:rsid w:val="00BD1B86"/>
    <w:rsid w:val="00BD1D8A"/>
    <w:rsid w:val="00BD4ABD"/>
    <w:rsid w:val="00BD57A3"/>
    <w:rsid w:val="00BD59EB"/>
    <w:rsid w:val="00BE0A57"/>
    <w:rsid w:val="00BE4A82"/>
    <w:rsid w:val="00C30EBB"/>
    <w:rsid w:val="00C42997"/>
    <w:rsid w:val="00C4561D"/>
    <w:rsid w:val="00C500B4"/>
    <w:rsid w:val="00C529CE"/>
    <w:rsid w:val="00C6562D"/>
    <w:rsid w:val="00C73A6F"/>
    <w:rsid w:val="00C73D0F"/>
    <w:rsid w:val="00C91BE8"/>
    <w:rsid w:val="00C93E7D"/>
    <w:rsid w:val="00CA5291"/>
    <w:rsid w:val="00CB4656"/>
    <w:rsid w:val="00CC044D"/>
    <w:rsid w:val="00CC7518"/>
    <w:rsid w:val="00CD0CA1"/>
    <w:rsid w:val="00CF770F"/>
    <w:rsid w:val="00D10ADF"/>
    <w:rsid w:val="00D311E0"/>
    <w:rsid w:val="00D37236"/>
    <w:rsid w:val="00D40D04"/>
    <w:rsid w:val="00D87CD6"/>
    <w:rsid w:val="00DA4C2A"/>
    <w:rsid w:val="00DF2236"/>
    <w:rsid w:val="00DF45BB"/>
    <w:rsid w:val="00E061A0"/>
    <w:rsid w:val="00E35450"/>
    <w:rsid w:val="00E64E76"/>
    <w:rsid w:val="00EA0510"/>
    <w:rsid w:val="00EB192E"/>
    <w:rsid w:val="00EB250E"/>
    <w:rsid w:val="00EC05E9"/>
    <w:rsid w:val="00EF3B5D"/>
    <w:rsid w:val="00F07384"/>
    <w:rsid w:val="00F21E52"/>
    <w:rsid w:val="00F23DCA"/>
    <w:rsid w:val="00F27F87"/>
    <w:rsid w:val="00F411A4"/>
    <w:rsid w:val="00F5647E"/>
    <w:rsid w:val="00F6682A"/>
    <w:rsid w:val="00F76E51"/>
    <w:rsid w:val="00F80AC1"/>
    <w:rsid w:val="00F937B3"/>
    <w:rsid w:val="00F940EC"/>
    <w:rsid w:val="00F964EC"/>
    <w:rsid w:val="00FB452A"/>
    <w:rsid w:val="00FB5C0E"/>
    <w:rsid w:val="00FD3968"/>
    <w:rsid w:val="00FD680B"/>
    <w:rsid w:val="00FF1C29"/>
    <w:rsid w:val="00FF5504"/>
    <w:rsid w:val="0AFD5758"/>
    <w:rsid w:val="0CFC6DB3"/>
    <w:rsid w:val="12380493"/>
    <w:rsid w:val="13EF56C2"/>
    <w:rsid w:val="147A54F3"/>
    <w:rsid w:val="1EE64B24"/>
    <w:rsid w:val="20E02432"/>
    <w:rsid w:val="22C30C70"/>
    <w:rsid w:val="243A3AB5"/>
    <w:rsid w:val="248D026B"/>
    <w:rsid w:val="30BF5371"/>
    <w:rsid w:val="32D03D66"/>
    <w:rsid w:val="39122736"/>
    <w:rsid w:val="392B6AFF"/>
    <w:rsid w:val="3A073CC1"/>
    <w:rsid w:val="3C6118A6"/>
    <w:rsid w:val="3FAD5018"/>
    <w:rsid w:val="40AF6339"/>
    <w:rsid w:val="46460EFD"/>
    <w:rsid w:val="4DC201F6"/>
    <w:rsid w:val="4E8952CC"/>
    <w:rsid w:val="519B0055"/>
    <w:rsid w:val="52D21EFE"/>
    <w:rsid w:val="547856DC"/>
    <w:rsid w:val="57645548"/>
    <w:rsid w:val="60442370"/>
    <w:rsid w:val="618E553F"/>
    <w:rsid w:val="62BB6FB1"/>
    <w:rsid w:val="63DA2F57"/>
    <w:rsid w:val="69F834A3"/>
    <w:rsid w:val="6CD40841"/>
    <w:rsid w:val="719F2E2C"/>
    <w:rsid w:val="71DC373A"/>
    <w:rsid w:val="75B43460"/>
    <w:rsid w:val="7D484F3D"/>
    <w:rsid w:val="7D8D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Times New Roman" w:hAnsi="Times New Roman" w:eastAsia="宋体"/>
      <w:kern w:val="0"/>
      <w:sz w:val="24"/>
      <w:szCs w:val="24"/>
    </w:rPr>
  </w:style>
  <w:style w:type="table" w:styleId="6">
    <w:name w:val="Table Grid"/>
    <w:basedOn w:val="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178</Words>
  <Characters>1015</Characters>
  <Lines>8</Lines>
  <Paragraphs>2</Paragraphs>
  <TotalTime>4</TotalTime>
  <ScaleCrop>false</ScaleCrop>
  <LinksUpToDate>false</LinksUpToDate>
  <CharactersWithSpaces>1191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2020-11-04T07:24:00Z</dcterms:created>
  <dc:creator>wayne and tracy</dc:creator>
  <cp:lastModifiedBy>张国栋</cp:lastModifiedBy>
  <cp:lastPrinted>2018-01-31T02:52:00Z</cp:lastPrinted>
  <dcterms:modified xsi:type="dcterms:W3CDTF">2022-01-11T02:13:42Z</dcterms:modified>
  <cp:revision>163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372650596D234B2D8AF6E9E54EC62C9B</vt:lpwstr>
  </property>
</Properties>
</file>