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tag w:val="NEW_STAND_NAME"/>
        <w:id w:val="595910757"/>
        <w:lock w:val="sdtLocked"/>
        <w:placeholder>
          <w:docPart w:val="57DAF2DDBB73415AB37FFF57087DF4F3"/>
        </w:placeholder>
      </w:sdtPr>
      <w:sdtContent>
        <w:p>
          <w:pPr>
            <w:pStyle w:val="180"/>
            <w:spacing w:beforeLines="100" w:afterLines="220"/>
          </w:pPr>
          <w:bookmarkStart w:id="0" w:name="NEW_STAND_NAME"/>
          <w:bookmarkStart w:id="1" w:name="BookMark4"/>
          <w:r>
            <w:rPr>
              <w:rFonts w:hint="eastAsia" w:eastAsia="方正小标宋简体"/>
              <w:sz w:val="44"/>
              <w:szCs w:val="44"/>
              <w:lang w:eastAsia="zh-CN"/>
            </w:rPr>
            <w:t>《</w:t>
          </w:r>
          <w:r>
            <w:rPr>
              <w:rFonts w:hint="eastAsia" w:eastAsia="方正小标宋简体"/>
              <w:sz w:val="44"/>
              <w:szCs w:val="44"/>
            </w:rPr>
            <w:t>车载卫星定位系统技术规范</w:t>
          </w:r>
          <w:r>
            <w:rPr>
              <w:rFonts w:hint="eastAsia" w:eastAsia="方正小标宋简体"/>
              <w:sz w:val="44"/>
              <w:szCs w:val="44"/>
              <w:lang w:eastAsia="zh-CN"/>
            </w:rPr>
            <w:t>》</w:t>
          </w:r>
          <w:r>
            <w:rPr>
              <w:rFonts w:hint="eastAsia" w:eastAsia="方正小标宋简体"/>
              <w:sz w:val="44"/>
              <w:szCs w:val="44"/>
            </w:rPr>
            <w:t>（征求</w:t>
          </w:r>
          <w:bookmarkStart w:id="46" w:name="_GoBack"/>
          <w:bookmarkEnd w:id="46"/>
          <w:r>
            <w:rPr>
              <w:rFonts w:hint="eastAsia" w:eastAsia="方正小标宋简体"/>
              <w:sz w:val="44"/>
              <w:szCs w:val="44"/>
            </w:rPr>
            <w:t>意见稿）</w:t>
          </w:r>
        </w:p>
      </w:sdtContent>
    </w:sdt>
    <w:bookmarkEnd w:id="0"/>
    <w:p>
      <w:pPr>
        <w:pStyle w:val="107"/>
        <w:spacing w:before="312" w:after="312"/>
      </w:pPr>
      <w:bookmarkStart w:id="2" w:name="_Toc26648465"/>
      <w:bookmarkStart w:id="3" w:name="_Toc24884218"/>
      <w:bookmarkStart w:id="4" w:name="_Toc26986530"/>
      <w:bookmarkStart w:id="5" w:name="_Toc17233333"/>
      <w:bookmarkStart w:id="6" w:name="_Toc26986771"/>
      <w:bookmarkStart w:id="7" w:name="_Toc17233325"/>
      <w:bookmarkStart w:id="8" w:name="_Toc24884211"/>
      <w:bookmarkStart w:id="9" w:name="_Toc26718930"/>
      <w:r>
        <w:rPr>
          <w:rFonts w:hint="eastAsia"/>
        </w:rPr>
        <w:t>范围</w:t>
      </w:r>
      <w:bookmarkEnd w:id="2"/>
      <w:bookmarkEnd w:id="3"/>
      <w:bookmarkEnd w:id="4"/>
      <w:bookmarkEnd w:id="5"/>
      <w:bookmarkEnd w:id="6"/>
      <w:bookmarkEnd w:id="7"/>
      <w:bookmarkEnd w:id="8"/>
      <w:bookmarkEnd w:id="9"/>
    </w:p>
    <w:p>
      <w:pPr>
        <w:pStyle w:val="59"/>
        <w:ind w:firstLine="420"/>
      </w:pPr>
      <w:bookmarkStart w:id="10" w:name="_Toc24884212"/>
      <w:bookmarkStart w:id="11" w:name="_Toc17233326"/>
      <w:bookmarkStart w:id="12" w:name="_Toc26648466"/>
      <w:bookmarkStart w:id="13" w:name="_Toc24884219"/>
      <w:bookmarkStart w:id="14" w:name="_Toc17233334"/>
      <w:r>
        <w:rPr>
          <w:rFonts w:hint="eastAsia"/>
        </w:rPr>
        <w:t>本文件规定了车载卫星定位系统的技术要求和试验方法。</w:t>
      </w:r>
    </w:p>
    <w:p>
      <w:pPr>
        <w:pStyle w:val="59"/>
        <w:ind w:firstLine="420"/>
      </w:pPr>
      <w:r>
        <w:rPr>
          <w:rFonts w:hint="eastAsia"/>
        </w:rPr>
        <w:t>本文件适用于车载卫星定位系统。</w:t>
      </w:r>
    </w:p>
    <w:p>
      <w:pPr>
        <w:pStyle w:val="107"/>
        <w:spacing w:before="312" w:after="312"/>
      </w:pPr>
      <w:bookmarkStart w:id="15" w:name="_Toc26718931"/>
      <w:bookmarkStart w:id="16" w:name="_Toc26986531"/>
      <w:bookmarkStart w:id="17" w:name="_Toc26986772"/>
      <w:r>
        <w:rPr>
          <w:rFonts w:hint="eastAsia"/>
        </w:rPr>
        <w:t>规范性引用文件</w:t>
      </w:r>
      <w:bookmarkEnd w:id="10"/>
      <w:bookmarkEnd w:id="11"/>
      <w:bookmarkEnd w:id="12"/>
      <w:bookmarkEnd w:id="13"/>
      <w:bookmarkEnd w:id="14"/>
      <w:bookmarkEnd w:id="15"/>
      <w:bookmarkEnd w:id="16"/>
      <w:bookmarkEnd w:id="17"/>
    </w:p>
    <w:sdt>
      <w:sdtPr>
        <w:rPr>
          <w:rFonts w:hint="eastAsia"/>
        </w:rPr>
        <w:id w:val="715848253"/>
        <w:placeholder>
          <w:docPart w:val="FC3E7CDDF51D4DED941C17631BC3637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2"/>
        <w:rPr>
          <w:rFonts w:ascii="Times New Roman"/>
        </w:rPr>
      </w:pPr>
      <w:r>
        <w:rPr>
          <w:rFonts w:hint="eastAsia" w:ascii="Times New Roman"/>
        </w:rPr>
        <w:t>GB/T 18655-2018 车辆、船和内燃机无线电骚扰特性用于保护车载接收机的限值和测量方法</w:t>
      </w:r>
    </w:p>
    <w:p>
      <w:pPr>
        <w:pStyle w:val="232"/>
        <w:rPr>
          <w:rFonts w:ascii="Times New Roman"/>
        </w:rPr>
      </w:pPr>
      <w:r>
        <w:rPr>
          <w:rFonts w:hint="eastAsia" w:ascii="Times New Roman"/>
        </w:rPr>
        <w:t>GB/T 19951-2019 道路车辆电气/电子部件对静电放电抗扰性的试验方法</w:t>
      </w:r>
    </w:p>
    <w:p>
      <w:pPr>
        <w:pStyle w:val="232"/>
        <w:rPr>
          <w:rFonts w:ascii="Times New Roman"/>
        </w:rPr>
      </w:pPr>
      <w:r>
        <w:rPr>
          <w:rFonts w:hint="eastAsia" w:ascii="Times New Roman"/>
        </w:rPr>
        <w:t>GB/T 21437.2-</w:t>
      </w:r>
      <w:r>
        <w:rPr>
          <w:rFonts w:ascii="Times New Roman"/>
        </w:rPr>
        <w:t>2008</w:t>
      </w:r>
      <w:r>
        <w:rPr>
          <w:rFonts w:hint="eastAsia" w:ascii="Times New Roman"/>
        </w:rPr>
        <w:t>道路车辆</w:t>
      </w:r>
      <w:bookmarkStart w:id="18" w:name="_Hlk83889276"/>
      <w:r>
        <w:rPr>
          <w:rFonts w:hint="eastAsia" w:ascii="Times New Roman"/>
        </w:rPr>
        <w:t>由传导和耦合引起的电骚扰</w:t>
      </w:r>
      <w:bookmarkEnd w:id="18"/>
      <w:r>
        <w:rPr>
          <w:rFonts w:hint="eastAsia" w:ascii="Times New Roman"/>
        </w:rPr>
        <w:t>第2部分：沿电源线的电瞬态传导</w:t>
      </w:r>
    </w:p>
    <w:p>
      <w:pPr>
        <w:pStyle w:val="232"/>
        <w:rPr>
          <w:rFonts w:ascii="Times New Roman"/>
        </w:rPr>
      </w:pPr>
      <w:r>
        <w:rPr>
          <w:rFonts w:hint="eastAsia" w:ascii="Times New Roman"/>
        </w:rPr>
        <w:t>GB/T 21437.3-</w:t>
      </w:r>
      <w:r>
        <w:rPr>
          <w:rFonts w:ascii="Times New Roman"/>
        </w:rPr>
        <w:t>2012</w:t>
      </w:r>
      <w:r>
        <w:rPr>
          <w:rFonts w:hint="eastAsia" w:ascii="Times New Roman"/>
        </w:rPr>
        <w:t>道路车辆由传导和耦合引起的电骚扰第3部分：除电源线外的导线通过容性和感性耦合的电瞬态发射</w:t>
      </w:r>
    </w:p>
    <w:p>
      <w:pPr>
        <w:pStyle w:val="232"/>
        <w:rPr>
          <w:rFonts w:ascii="Times New Roman"/>
        </w:rPr>
      </w:pPr>
      <w:r>
        <w:rPr>
          <w:rFonts w:hint="eastAsia" w:ascii="Times New Roman"/>
        </w:rPr>
        <w:t>GB/T 28046.1-2011 道路车辆电气及电子设备的环境条件和试验第1部分：一般规定</w:t>
      </w:r>
    </w:p>
    <w:p>
      <w:pPr>
        <w:pStyle w:val="232"/>
        <w:rPr>
          <w:rFonts w:ascii="Times New Roman"/>
        </w:rPr>
      </w:pPr>
      <w:r>
        <w:rPr>
          <w:rFonts w:hint="eastAsia" w:ascii="Times New Roman"/>
        </w:rPr>
        <w:t>GB/T 28046.2-2019 道路车辆电气及电子设备的环境条件和试验第2部分：电气负荷</w:t>
      </w:r>
    </w:p>
    <w:p>
      <w:pPr>
        <w:pStyle w:val="232"/>
        <w:rPr>
          <w:rFonts w:ascii="Times New Roman"/>
        </w:rPr>
      </w:pPr>
      <w:r>
        <w:rPr>
          <w:rFonts w:hint="eastAsia" w:ascii="Times New Roman"/>
        </w:rPr>
        <w:t>GB/T 28046.3-2011 道路车辆电气及电子设备的环境条件和试验第3部分：机械负荷</w:t>
      </w:r>
    </w:p>
    <w:p>
      <w:pPr>
        <w:pStyle w:val="232"/>
        <w:rPr>
          <w:rFonts w:ascii="Times New Roman"/>
        </w:rPr>
      </w:pPr>
      <w:r>
        <w:rPr>
          <w:rFonts w:hint="eastAsia" w:ascii="Times New Roman"/>
        </w:rPr>
        <w:t>GB/T 28046.4-2011 道路车辆电气及电子设备的环境条件和试验第4部分：气候负荷</w:t>
      </w:r>
    </w:p>
    <w:p>
      <w:pPr>
        <w:pStyle w:val="232"/>
        <w:rPr>
          <w:rFonts w:ascii="Times New Roman"/>
        </w:rPr>
      </w:pPr>
      <w:r>
        <w:rPr>
          <w:rFonts w:hint="eastAsia" w:ascii="Times New Roman"/>
        </w:rPr>
        <w:t>GB/T 28046.5-2013 道路车辆电气及电子设备的环境条件和试验第5部分：化学负荷</w:t>
      </w:r>
    </w:p>
    <w:p>
      <w:pPr>
        <w:pStyle w:val="59"/>
        <w:ind w:firstLine="420"/>
      </w:pPr>
      <w:r>
        <w:rPr>
          <w:rFonts w:hint="eastAsia" w:ascii="Times New Roman"/>
        </w:rPr>
        <w:t>GB 34660-2017 道路车辆电磁兼容性要求和试验方法</w:t>
      </w:r>
    </w:p>
    <w:p>
      <w:pPr>
        <w:pStyle w:val="107"/>
        <w:spacing w:before="312" w:after="312"/>
      </w:pPr>
      <w:r>
        <w:rPr>
          <w:rFonts w:hint="eastAsia"/>
          <w:szCs w:val="21"/>
        </w:rPr>
        <w:t>术语和定义</w:t>
      </w:r>
    </w:p>
    <w:sdt>
      <w:sdtPr>
        <w:id w:val="-1909835108"/>
        <w:placeholder>
          <w:docPart w:val="FC3E7CDDF51D4DED941C17631BC3637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9"/>
            <w:ind w:firstLine="420"/>
          </w:pPr>
          <w:bookmarkStart w:id="19" w:name="_Toc26986532"/>
          <w:bookmarkEnd w:id="19"/>
          <w:r>
            <w:t>下列术语和定义适用于本文件。</w:t>
          </w:r>
        </w:p>
      </w:sdtContent>
    </w:sdt>
    <w:p>
      <w:pPr>
        <w:pStyle w:val="226"/>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ascii="黑体" w:hAnsi="黑体" w:eastAsia="黑体"/>
        </w:rPr>
      </w:pPr>
      <w:r>
        <w:rPr>
          <w:rFonts w:hint="eastAsia" w:ascii="黑体" w:hAnsi="黑体" w:eastAsia="黑体"/>
        </w:rPr>
        <w:t xml:space="preserve">车载卫星定位系统 </w:t>
      </w:r>
      <w:r>
        <w:rPr>
          <w:rFonts w:hint="eastAsia" w:ascii="黑体" w:hAnsi="黑体" w:eastAsia="黑体"/>
          <w:kern w:val="2"/>
          <w:szCs w:val="21"/>
        </w:rPr>
        <w:t>on</w:t>
      </w:r>
      <w:r>
        <w:rPr>
          <w:rFonts w:ascii="黑体" w:hAnsi="黑体" w:eastAsia="黑体"/>
          <w:kern w:val="2"/>
          <w:szCs w:val="21"/>
        </w:rPr>
        <w:t>-board satellite positioning system</w:t>
      </w:r>
    </w:p>
    <w:p>
      <w:pPr>
        <w:pStyle w:val="59"/>
        <w:ind w:firstLine="420"/>
      </w:pPr>
      <w:r>
        <w:rPr>
          <w:rFonts w:hint="eastAsia"/>
        </w:rPr>
        <w:t>安装在车辆上，利用人造地球卫星发射的无线电信号进行定位和授时的系统。</w:t>
      </w:r>
    </w:p>
    <w:p>
      <w:pPr>
        <w:pStyle w:val="226"/>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hint="eastAsia" w:ascii="黑体" w:hAnsi="黑体" w:eastAsia="黑体"/>
        </w:rPr>
      </w:pPr>
      <w:r>
        <w:rPr>
          <w:rFonts w:hint="eastAsia" w:ascii="黑体" w:hAnsi="黑体" w:eastAsia="黑体"/>
        </w:rPr>
        <w:t>定位精度 positioningaccuracy</w:t>
      </w:r>
    </w:p>
    <w:p>
      <w:pPr>
        <w:pStyle w:val="59"/>
        <w:ind w:firstLine="420"/>
      </w:pPr>
      <w:r>
        <w:rPr>
          <w:rFonts w:hint="eastAsia"/>
        </w:rPr>
        <w:t>车载卫星定位系统输出的位置与真实位置之差的统计值。</w:t>
      </w:r>
    </w:p>
    <w:p>
      <w:pPr>
        <w:pStyle w:val="226"/>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hint="eastAsia" w:ascii="黑体" w:hAnsi="黑体" w:eastAsia="黑体"/>
        </w:rPr>
      </w:pPr>
      <w:r>
        <w:rPr>
          <w:rFonts w:hint="eastAsia" w:ascii="黑体" w:hAnsi="黑体" w:eastAsia="黑体"/>
        </w:rPr>
        <w:t>测速精度 velocity accuracy</w:t>
      </w:r>
    </w:p>
    <w:p>
      <w:pPr>
        <w:pStyle w:val="59"/>
        <w:ind w:firstLine="420"/>
      </w:pPr>
      <w:r>
        <w:rPr>
          <w:rFonts w:hint="eastAsia"/>
        </w:rPr>
        <w:t>车载卫星定位系统输出的速度与真实速度之差的统计值。</w:t>
      </w:r>
    </w:p>
    <w:p>
      <w:pPr>
        <w:pStyle w:val="226"/>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hint="eastAsia" w:ascii="黑体" w:hAnsi="黑体" w:eastAsia="黑体"/>
        </w:rPr>
      </w:pPr>
      <w:r>
        <w:rPr>
          <w:rFonts w:hint="eastAsia" w:ascii="黑体" w:hAnsi="黑体" w:eastAsia="黑体"/>
        </w:rPr>
        <w:t>授时精度 timing accuracy</w:t>
      </w:r>
    </w:p>
    <w:p>
      <w:pPr>
        <w:pStyle w:val="59"/>
        <w:ind w:firstLine="420"/>
      </w:pPr>
      <w:r>
        <w:rPr>
          <w:rFonts w:hint="eastAsia"/>
        </w:rPr>
        <w:t>车载卫星定位系统输出的时间与协调世界时（U</w:t>
      </w:r>
      <w:r>
        <w:t>TC</w:t>
      </w:r>
      <w:r>
        <w:rPr>
          <w:rFonts w:hint="eastAsia"/>
        </w:rPr>
        <w:t>）之差的统计值。</w:t>
      </w:r>
    </w:p>
    <w:p>
      <w:pPr>
        <w:pStyle w:val="226"/>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hint="eastAsia" w:ascii="黑体" w:hAnsi="黑体" w:eastAsia="黑体"/>
        </w:rPr>
      </w:pPr>
      <w:r>
        <w:rPr>
          <w:rFonts w:hint="eastAsia" w:ascii="黑体" w:hAnsi="黑体" w:eastAsia="黑体"/>
        </w:rPr>
        <w:t>冷启动首次定位时间 cold start time to first fix</w:t>
      </w:r>
    </w:p>
    <w:p>
      <w:pPr>
        <w:pStyle w:val="59"/>
        <w:ind w:firstLine="420"/>
      </w:pPr>
      <w:r>
        <w:rPr>
          <w:rFonts w:hint="eastAsia"/>
        </w:rPr>
        <w:t>车载卫星定位系统在星历、历书、概略时间和概略位置未知的状态下，从开始接收卫星信号到首次正常定位所需的时间。</w:t>
      </w:r>
    </w:p>
    <w:p>
      <w:pPr>
        <w:pStyle w:val="226"/>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hint="eastAsia" w:ascii="黑体" w:hAnsi="黑体" w:eastAsia="黑体"/>
        </w:rPr>
      </w:pPr>
      <w:r>
        <w:rPr>
          <w:rFonts w:hint="eastAsia" w:ascii="黑体" w:hAnsi="黑体" w:eastAsia="黑体"/>
        </w:rPr>
        <w:t>热启动首次定位时间 hot start time to first fix</w:t>
      </w:r>
    </w:p>
    <w:p>
      <w:pPr>
        <w:pStyle w:val="59"/>
        <w:ind w:firstLine="420"/>
      </w:pPr>
      <w:r>
        <w:rPr>
          <w:rFonts w:hint="eastAsia"/>
        </w:rPr>
        <w:t>车载卫星定位系统在星历、历书、概略时间和概略位置已知的状态下，从开始接收卫星信号到首次正常定位所需的时间。</w:t>
      </w:r>
    </w:p>
    <w:p>
      <w:pPr>
        <w:pStyle w:val="226"/>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hint="eastAsia" w:ascii="黑体" w:hAnsi="黑体" w:eastAsia="黑体"/>
        </w:rPr>
      </w:pPr>
      <w:r>
        <w:rPr>
          <w:rFonts w:hint="eastAsia" w:ascii="黑体" w:hAnsi="黑体" w:eastAsia="黑体"/>
        </w:rPr>
        <w:t>重捕获时间 reacquisition time</w:t>
      </w:r>
    </w:p>
    <w:p>
      <w:pPr>
        <w:pStyle w:val="59"/>
        <w:ind w:firstLine="420"/>
      </w:pPr>
      <w:r>
        <w:rPr>
          <w:rFonts w:hint="eastAsia"/>
        </w:rPr>
        <w:t>车载卫星定位系统在接收的卫星信号短时失锁后，从信号恢复到重新捕获卫星信号所需的时间。</w:t>
      </w:r>
    </w:p>
    <w:p>
      <w:pPr>
        <w:pStyle w:val="226"/>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hint="eastAsia" w:ascii="黑体" w:hAnsi="黑体" w:eastAsia="黑体"/>
        </w:rPr>
      </w:pPr>
      <w:r>
        <w:rPr>
          <w:rFonts w:hint="eastAsia" w:ascii="黑体" w:hAnsi="黑体" w:eastAsia="黑体"/>
        </w:rPr>
        <w:t>捕获灵敏度 acquisition sensitivity</w:t>
      </w:r>
    </w:p>
    <w:p>
      <w:pPr>
        <w:pStyle w:val="59"/>
        <w:ind w:firstLine="420"/>
      </w:pPr>
      <w:r>
        <w:rPr>
          <w:rFonts w:hint="eastAsia"/>
        </w:rPr>
        <w:t>车载卫星定位系统在冷启动条件下，捕获卫星信号并正常定位所需的最低信号功率电平。</w:t>
      </w:r>
    </w:p>
    <w:p>
      <w:pPr>
        <w:pStyle w:val="226"/>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hint="eastAsia" w:ascii="黑体" w:hAnsi="黑体" w:eastAsia="黑体"/>
        </w:rPr>
      </w:pPr>
      <w:r>
        <w:rPr>
          <w:rFonts w:hint="eastAsia" w:ascii="黑体" w:hAnsi="黑体" w:eastAsia="黑体"/>
        </w:rPr>
        <w:t>重捕获灵敏度 reacquisition sensitivity</w:t>
      </w:r>
    </w:p>
    <w:p>
      <w:pPr>
        <w:pStyle w:val="59"/>
        <w:ind w:firstLine="420"/>
      </w:pPr>
      <w:r>
        <w:rPr>
          <w:rFonts w:hint="eastAsia"/>
        </w:rPr>
        <w:t>车载卫星定位系统在接收的卫星信号短时失锁后，重新捕获卫星信号并正常定位所需的最低信号功率电平。</w:t>
      </w:r>
    </w:p>
    <w:p>
      <w:pPr>
        <w:pStyle w:val="226"/>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hint="eastAsia" w:ascii="黑体" w:hAnsi="黑体" w:eastAsia="黑体"/>
        </w:rPr>
      </w:pPr>
      <w:r>
        <w:rPr>
          <w:rFonts w:hint="eastAsia" w:ascii="黑体" w:hAnsi="黑体" w:eastAsia="黑体"/>
        </w:rPr>
        <w:t>跟踪灵敏度 tracking sensitivity</w:t>
      </w:r>
    </w:p>
    <w:p>
      <w:pPr>
        <w:pStyle w:val="59"/>
        <w:ind w:firstLine="420"/>
      </w:pPr>
      <w:r>
        <w:rPr>
          <w:rFonts w:hint="eastAsia"/>
        </w:rPr>
        <w:t>车载卫星定位系统在正常定位后，能够继续保持对卫星信号的跟踪和定位所需的最低信号功率电平。</w:t>
      </w:r>
    </w:p>
    <w:p>
      <w:pPr>
        <w:pStyle w:val="107"/>
        <w:spacing w:before="312" w:after="312"/>
      </w:pPr>
      <w:r>
        <w:rPr>
          <w:rFonts w:hint="eastAsia"/>
        </w:rPr>
        <w:t>缩略语</w:t>
      </w:r>
    </w:p>
    <w:p>
      <w:pPr>
        <w:pStyle w:val="59"/>
        <w:ind w:firstLine="420"/>
      </w:pPr>
      <w:r>
        <w:rPr>
          <w:rFonts w:hint="eastAsia"/>
        </w:rPr>
        <w:t>下列缩略语适用于本文件。</w:t>
      </w:r>
    </w:p>
    <w:p>
      <w:pPr>
        <w:pStyle w:val="59"/>
        <w:ind w:firstLine="420"/>
      </w:pPr>
      <w:r>
        <w:rPr>
          <w:rFonts w:hint="eastAsia"/>
        </w:rPr>
        <w:t>C</w:t>
      </w:r>
      <w:r>
        <w:t>EP</w:t>
      </w:r>
      <w:r>
        <w:rPr>
          <w:rFonts w:hint="eastAsia"/>
        </w:rPr>
        <w:t>：圆概率误差（C</w:t>
      </w:r>
      <w:r>
        <w:t>ircular Error Probable</w:t>
      </w:r>
      <w:r>
        <w:rPr>
          <w:rFonts w:hint="eastAsia"/>
        </w:rPr>
        <w:t>）</w:t>
      </w:r>
    </w:p>
    <w:p>
      <w:pPr>
        <w:pStyle w:val="59"/>
        <w:ind w:firstLine="420"/>
      </w:pPr>
      <w:r>
        <w:rPr>
          <w:rFonts w:hint="eastAsia"/>
        </w:rPr>
        <w:t>HDOP:水平精度因子(Horizontal Dilution Of Precision)</w:t>
      </w:r>
    </w:p>
    <w:p>
      <w:pPr>
        <w:pStyle w:val="59"/>
        <w:ind w:firstLine="420"/>
      </w:pPr>
      <w:r>
        <w:rPr>
          <w:rFonts w:hint="eastAsia"/>
        </w:rPr>
        <w:t>PDOP: 位置精度因子(Positional Dilution Of Precision)</w:t>
      </w:r>
    </w:p>
    <w:p>
      <w:pPr>
        <w:pStyle w:val="59"/>
        <w:ind w:firstLine="420"/>
      </w:pPr>
      <w:r>
        <w:rPr>
          <w:rFonts w:hint="eastAsia"/>
        </w:rPr>
        <w:t>GPS: 全球定位系统(Global Positioning System)</w:t>
      </w:r>
    </w:p>
    <w:p>
      <w:pPr>
        <w:pStyle w:val="59"/>
        <w:ind w:firstLine="420"/>
      </w:pPr>
      <w:r>
        <w:rPr>
          <w:rFonts w:hint="eastAsia"/>
        </w:rPr>
        <w:t>BDS:北斗卫星导航系统(Beidou Navigation Satellite System)</w:t>
      </w:r>
    </w:p>
    <w:p>
      <w:pPr>
        <w:pStyle w:val="59"/>
        <w:ind w:firstLine="420"/>
      </w:pPr>
      <w:r>
        <w:rPr>
          <w:rFonts w:hint="eastAsia"/>
        </w:rPr>
        <w:t>Galileo:伽利略卫星导航系统(Galileo Navigation Satellite System)</w:t>
      </w:r>
    </w:p>
    <w:p>
      <w:pPr>
        <w:pStyle w:val="59"/>
        <w:ind w:firstLine="420"/>
      </w:pPr>
      <w:r>
        <w:rPr>
          <w:rFonts w:hint="eastAsia"/>
        </w:rPr>
        <w:t>GLONASS:格洛纳斯卫星导航系统(GLObalNAvigation Satellite System)</w:t>
      </w:r>
    </w:p>
    <w:p>
      <w:pPr>
        <w:pStyle w:val="59"/>
        <w:ind w:firstLine="420"/>
      </w:pPr>
      <w:r>
        <w:rPr>
          <w:rFonts w:hint="eastAsia"/>
        </w:rPr>
        <w:t>GNSS:全球卫星导航系统(Global Navigation Satellite System)</w:t>
      </w:r>
    </w:p>
    <w:p>
      <w:pPr>
        <w:pStyle w:val="59"/>
        <w:ind w:firstLine="420"/>
      </w:pPr>
      <w:r>
        <w:rPr>
          <w:rFonts w:hint="eastAsia"/>
        </w:rPr>
        <w:t>NMEA: 美国国家船舶电子协会 (National Marine Electronics Association)</w:t>
      </w:r>
    </w:p>
    <w:p>
      <w:pPr>
        <w:pStyle w:val="107"/>
        <w:spacing w:before="312" w:after="312"/>
      </w:pPr>
      <w:r>
        <w:rPr>
          <w:rFonts w:hint="eastAsia"/>
        </w:rPr>
        <w:t>技术要求</w:t>
      </w:r>
    </w:p>
    <w:p>
      <w:pPr>
        <w:pStyle w:val="108"/>
        <w:spacing w:before="156" w:after="156"/>
      </w:pPr>
      <w:r>
        <w:rPr>
          <w:rFonts w:hint="eastAsia"/>
        </w:rPr>
        <w:t>功能一致性要求</w:t>
      </w:r>
    </w:p>
    <w:p>
      <w:pPr>
        <w:pStyle w:val="68"/>
        <w:spacing w:before="156" w:after="156"/>
      </w:pPr>
      <w:r>
        <w:rPr>
          <w:rFonts w:hint="eastAsia"/>
        </w:rPr>
        <w:t>输出要求</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rPr>
        <w:t>按照</w:t>
      </w:r>
      <w:r>
        <w:rPr>
          <w:rFonts w:hint="eastAsia" w:ascii="宋体" w:hAnsi="Times New Roman"/>
          <w:kern w:val="0"/>
          <w:szCs w:val="20"/>
        </w:rPr>
        <w:t>6.3.</w:t>
      </w:r>
      <w:r>
        <w:rPr>
          <w:rFonts w:ascii="宋体" w:hAnsi="Times New Roman"/>
          <w:kern w:val="0"/>
          <w:szCs w:val="20"/>
        </w:rPr>
        <w:t>1</w:t>
      </w:r>
      <w:r>
        <w:rPr>
          <w:rFonts w:hint="eastAsia"/>
        </w:rPr>
        <w:t>进行试验，</w:t>
      </w:r>
      <w:r>
        <w:rPr>
          <w:rFonts w:hint="eastAsia" w:ascii="宋体" w:hAnsi="Times New Roman"/>
          <w:kern w:val="0"/>
          <w:szCs w:val="20"/>
        </w:rPr>
        <w:t>车载卫星定位系统</w:t>
      </w:r>
      <w:r>
        <w:rPr>
          <w:rFonts w:hint="eastAsia" w:ascii="宋体" w:hAnsi="宋体"/>
          <w:kern w:val="0"/>
          <w:szCs w:val="20"/>
        </w:rPr>
        <w:t>的输出应满足如下要求：</w:t>
      </w:r>
    </w:p>
    <w:p>
      <w:pPr>
        <w:pStyle w:val="177"/>
      </w:pPr>
      <w:r>
        <w:rPr>
          <w:rFonts w:hint="eastAsia"/>
        </w:rPr>
        <w:t>应遵循附录</w:t>
      </w:r>
      <w:r>
        <w:t>A</w:t>
      </w:r>
      <w:r>
        <w:rPr>
          <w:rFonts w:hint="eastAsia"/>
        </w:rPr>
        <w:t>输出G</w:t>
      </w:r>
      <w:r>
        <w:t>GA</w:t>
      </w:r>
      <w:r>
        <w:rPr>
          <w:rFonts w:hint="eastAsia"/>
        </w:rPr>
        <w:t>，</w:t>
      </w:r>
      <w:r>
        <w:t>RMC</w:t>
      </w:r>
      <w:r>
        <w:rPr>
          <w:rFonts w:hint="eastAsia"/>
        </w:rPr>
        <w:t>，VTG，</w:t>
      </w:r>
      <w:r>
        <w:t>GSV</w:t>
      </w:r>
      <w:r>
        <w:rPr>
          <w:rFonts w:hint="eastAsia"/>
        </w:rPr>
        <w:t>和G</w:t>
      </w:r>
      <w:r>
        <w:t>SA</w:t>
      </w:r>
      <w:r>
        <w:rPr>
          <w:rFonts w:hint="eastAsia"/>
        </w:rPr>
        <w:t>报文</w:t>
      </w:r>
      <w:r>
        <w:rPr>
          <w:rFonts w:hint="eastAsia" w:hAnsi="宋体" w:cs="宋体"/>
          <w:sz w:val="22"/>
          <w:szCs w:val="22"/>
        </w:rPr>
        <w:t>。</w:t>
      </w:r>
    </w:p>
    <w:p>
      <w:pPr>
        <w:pStyle w:val="177"/>
      </w:pPr>
      <w:r>
        <w:rPr>
          <w:rFonts w:hint="eastAsia"/>
        </w:rPr>
        <w:t>GGA,R</w:t>
      </w:r>
      <w:r>
        <w:t>MC</w:t>
      </w:r>
      <w:r>
        <w:rPr>
          <w:rFonts w:hint="eastAsia"/>
        </w:rPr>
        <w:t>，VTG和G</w:t>
      </w:r>
      <w:r>
        <w:t>SA</w:t>
      </w:r>
      <w:r>
        <w:rPr>
          <w:rFonts w:hint="eastAsia"/>
        </w:rPr>
        <w:t>输出信息中的有效性标识和模式指示应能指示定位和授时信息的有效性。</w:t>
      </w:r>
      <w:r>
        <w:rPr>
          <w:rFonts w:hAnsi="宋体"/>
          <w:color w:val="000000"/>
          <w:kern w:val="2"/>
          <w:sz w:val="22"/>
          <w:szCs w:val="22"/>
        </w:rPr>
        <w:t>在</w:t>
      </w:r>
      <w:r>
        <w:rPr>
          <w:rFonts w:hint="eastAsia"/>
        </w:rPr>
        <w:t>车载卫星定位系统无法定位或授时的情况</w:t>
      </w:r>
      <w:r>
        <w:rPr>
          <w:rFonts w:hAnsi="宋体"/>
          <w:color w:val="000000"/>
          <w:kern w:val="2"/>
          <w:sz w:val="22"/>
          <w:szCs w:val="22"/>
        </w:rPr>
        <w:t>下</w:t>
      </w:r>
      <w:r>
        <w:rPr>
          <w:rFonts w:hint="eastAsia" w:ascii="Calibri" w:hAnsi="Calibri"/>
          <w:kern w:val="2"/>
          <w:szCs w:val="21"/>
        </w:rPr>
        <w:t>，</w:t>
      </w:r>
      <w:r>
        <w:rPr>
          <w:rFonts w:hint="eastAsia"/>
        </w:rPr>
        <w:t>GGA,R</w:t>
      </w:r>
      <w:r>
        <w:t>MC</w:t>
      </w:r>
      <w:r>
        <w:rPr>
          <w:rFonts w:hint="eastAsia"/>
        </w:rPr>
        <w:t>,VTG和G</w:t>
      </w:r>
      <w:r>
        <w:t>SA</w:t>
      </w:r>
      <w:r>
        <w:rPr>
          <w:rFonts w:hint="eastAsia"/>
        </w:rPr>
        <w:t>输出信息中的有效性标识和模式指示应为无效。</w:t>
      </w:r>
    </w:p>
    <w:p>
      <w:pPr>
        <w:pStyle w:val="177"/>
      </w:pPr>
      <w:r>
        <w:rPr>
          <w:rFonts w:hint="eastAsia"/>
        </w:rPr>
        <w:t>报文输出更新率应不低于</w:t>
      </w:r>
      <w:r>
        <w:t>1</w:t>
      </w:r>
      <w:r>
        <w:rPr>
          <w:rFonts w:hint="eastAsia"/>
        </w:rPr>
        <w:t>Hz。</w:t>
      </w:r>
    </w:p>
    <w:p>
      <w:pPr>
        <w:pStyle w:val="68"/>
        <w:spacing w:before="156" w:after="156"/>
      </w:pPr>
      <w:r>
        <w:rPr>
          <w:rFonts w:hint="eastAsia"/>
        </w:rPr>
        <w:t>支持卫星信号一致性要求</w:t>
      </w:r>
    </w:p>
    <w:p>
      <w:pPr>
        <w:pStyle w:val="59"/>
        <w:ind w:firstLine="420"/>
      </w:pPr>
      <w:r>
        <w:rPr>
          <w:rFonts w:hint="eastAsia"/>
        </w:rPr>
        <w:t>按照6.3.</w:t>
      </w:r>
      <w:r>
        <w:t>2</w:t>
      </w:r>
      <w:r>
        <w:rPr>
          <w:rFonts w:hint="eastAsia"/>
        </w:rPr>
        <w:t>进行试验，车载卫星定位系统应具备同时接收包含B</w:t>
      </w:r>
      <w:r>
        <w:t>DS</w:t>
      </w:r>
      <w:r>
        <w:rPr>
          <w:rFonts w:hint="eastAsia"/>
        </w:rPr>
        <w:t>、G</w:t>
      </w:r>
      <w:r>
        <w:t>PS</w:t>
      </w:r>
      <w:r>
        <w:rPr>
          <w:rFonts w:hint="eastAsia"/>
        </w:rPr>
        <w:t>在内的多系统卫星信号能力。</w:t>
      </w:r>
      <w:r>
        <w:t>GSV</w:t>
      </w:r>
      <w:r>
        <w:rPr>
          <w:rFonts w:hint="eastAsia"/>
        </w:rPr>
        <w:t>语句中应遵守附录A规定的格式输出接收到的以上系统卫星信息。</w:t>
      </w:r>
      <w:r>
        <w:t>GSA</w:t>
      </w:r>
      <w:r>
        <w:rPr>
          <w:rFonts w:hint="eastAsia"/>
        </w:rPr>
        <w:t>给出实际参与定位和授时解算的卫星。</w:t>
      </w:r>
    </w:p>
    <w:p>
      <w:pPr>
        <w:pStyle w:val="59"/>
        <w:ind w:firstLine="420"/>
      </w:pPr>
      <w:r>
        <w:rPr>
          <w:rFonts w:hint="eastAsia"/>
        </w:rPr>
        <w:t>车载卫星定位系统应选择信号质量更优的卫星进行定位、授时解算。</w:t>
      </w:r>
    </w:p>
    <w:p>
      <w:pPr>
        <w:pStyle w:val="68"/>
        <w:spacing w:before="156" w:after="156"/>
      </w:pPr>
      <w:r>
        <w:rPr>
          <w:rFonts w:hint="eastAsia" w:hAnsi="黑体"/>
        </w:rPr>
        <w:t>接收独立</w:t>
      </w:r>
      <w:r>
        <w:rPr>
          <w:rFonts w:hint="eastAsia"/>
        </w:rPr>
        <w:t>北斗信号工作能力要求</w:t>
      </w:r>
    </w:p>
    <w:p>
      <w:pPr>
        <w:pStyle w:val="97"/>
        <w:spacing w:before="156" w:after="156"/>
      </w:pPr>
      <w:r>
        <w:rPr>
          <w:rFonts w:hint="eastAsia"/>
        </w:rPr>
        <w:t>开阔天空场景</w:t>
      </w:r>
    </w:p>
    <w:p>
      <w:pPr>
        <w:pStyle w:val="59"/>
        <w:ind w:firstLine="420"/>
      </w:pPr>
      <w:r>
        <w:rPr>
          <w:rFonts w:hint="eastAsia"/>
        </w:rPr>
        <w:t>按照6.3.</w:t>
      </w:r>
      <w:r>
        <w:t>3.1.1</w:t>
      </w:r>
      <w:r>
        <w:rPr>
          <w:rFonts w:hint="eastAsia"/>
        </w:rPr>
        <w:t>，6.3.</w:t>
      </w:r>
      <w:r>
        <w:t>3.2.1</w:t>
      </w:r>
      <w:r>
        <w:rPr>
          <w:rFonts w:hint="eastAsia"/>
        </w:rPr>
        <w:t>，6.3.</w:t>
      </w:r>
      <w:r>
        <w:t>3.3.1</w:t>
      </w:r>
      <w:r>
        <w:rPr>
          <w:rFonts w:hint="eastAsia"/>
        </w:rPr>
        <w:t>，6.3.</w:t>
      </w:r>
      <w:r>
        <w:t>3.4</w:t>
      </w:r>
      <w:r>
        <w:rPr>
          <w:rFonts w:hint="eastAsia"/>
        </w:rPr>
        <w:t>，6.3.</w:t>
      </w:r>
      <w:r>
        <w:t>3.5</w:t>
      </w:r>
      <w:r>
        <w:rPr>
          <w:rFonts w:hint="eastAsia"/>
        </w:rPr>
        <w:t>，6.3.</w:t>
      </w:r>
      <w:r>
        <w:t>3.6</w:t>
      </w:r>
      <w:r>
        <w:rPr>
          <w:rFonts w:hint="eastAsia"/>
        </w:rPr>
        <w:t>和6.3.</w:t>
      </w:r>
      <w:r>
        <w:t>3.7.1</w:t>
      </w:r>
      <w:r>
        <w:rPr>
          <w:rFonts w:hint="eastAsia"/>
        </w:rPr>
        <w:t>进行试验，车载卫星定位系统应具备仅接收北斗公开服务信号实现定位和授时的能力。与接收多系统信号进行定位和授时相比，其性能保持稳定。</w:t>
      </w:r>
    </w:p>
    <w:p>
      <w:pPr>
        <w:pStyle w:val="97"/>
        <w:spacing w:before="156" w:after="156"/>
      </w:pPr>
      <w:r>
        <w:rPr>
          <w:rFonts w:hint="eastAsia"/>
        </w:rPr>
        <w:t>城市峡谷场景</w:t>
      </w:r>
    </w:p>
    <w:p>
      <w:pPr>
        <w:pStyle w:val="59"/>
        <w:ind w:firstLine="420"/>
      </w:pPr>
      <w:r>
        <w:rPr>
          <w:rFonts w:hint="eastAsia"/>
        </w:rPr>
        <w:t>按照6.3.</w:t>
      </w:r>
      <w:r>
        <w:t>3</w:t>
      </w:r>
      <w:r>
        <w:rPr>
          <w:rFonts w:hint="eastAsia"/>
        </w:rPr>
        <w:t>.</w:t>
      </w:r>
      <w:r>
        <w:t>1</w:t>
      </w:r>
      <w:r>
        <w:rPr>
          <w:rFonts w:hint="eastAsia"/>
        </w:rPr>
        <w:t>.</w:t>
      </w:r>
      <w:r>
        <w:t>2,</w:t>
      </w:r>
      <w:r>
        <w:rPr>
          <w:rFonts w:hint="eastAsia"/>
        </w:rPr>
        <w:t xml:space="preserve"> 6.3.</w:t>
      </w:r>
      <w:r>
        <w:t>3</w:t>
      </w:r>
      <w:r>
        <w:rPr>
          <w:rFonts w:hint="eastAsia"/>
        </w:rPr>
        <w:t>.</w:t>
      </w:r>
      <w:r>
        <w:t>2.2,</w:t>
      </w:r>
      <w:r>
        <w:rPr>
          <w:rFonts w:hint="eastAsia"/>
        </w:rPr>
        <w:t xml:space="preserve"> 6.3.</w:t>
      </w:r>
      <w:r>
        <w:t>3</w:t>
      </w:r>
      <w:r>
        <w:rPr>
          <w:rFonts w:hint="eastAsia"/>
        </w:rPr>
        <w:t>.</w:t>
      </w:r>
      <w:r>
        <w:t>3.2</w:t>
      </w:r>
      <w:r>
        <w:rPr>
          <w:rFonts w:hint="eastAsia"/>
        </w:rPr>
        <w:t>和6.3.</w:t>
      </w:r>
      <w:r>
        <w:t>3</w:t>
      </w:r>
      <w:r>
        <w:rPr>
          <w:rFonts w:hint="eastAsia"/>
        </w:rPr>
        <w:t>.</w:t>
      </w:r>
      <w:r>
        <w:t>7.2</w:t>
      </w:r>
      <w:r>
        <w:rPr>
          <w:rFonts w:hint="eastAsia"/>
        </w:rPr>
        <w:t>进行试验，车载卫星定位系统应具备仅接收北斗公开服务信号实现定位和授时的能力，与接收多系统信号进行定位和授时相比，其性能保持稳定。</w:t>
      </w:r>
    </w:p>
    <w:p>
      <w:pPr>
        <w:pStyle w:val="108"/>
        <w:spacing w:before="156" w:after="156"/>
      </w:pPr>
      <w:r>
        <w:rPr>
          <w:rFonts w:hint="eastAsia"/>
        </w:rPr>
        <w:t>性能要求</w:t>
      </w:r>
    </w:p>
    <w:p>
      <w:pPr>
        <w:pStyle w:val="68"/>
        <w:spacing w:before="156" w:after="156"/>
      </w:pPr>
      <w:r>
        <w:rPr>
          <w:rFonts w:hint="eastAsia"/>
        </w:rPr>
        <w:t>精度</w:t>
      </w:r>
    </w:p>
    <w:p>
      <w:pPr>
        <w:pStyle w:val="97"/>
        <w:spacing w:before="156" w:after="156"/>
      </w:pPr>
      <w:r>
        <w:rPr>
          <w:rFonts w:hint="eastAsia"/>
        </w:rPr>
        <w:t>静态定位精度</w:t>
      </w:r>
    </w:p>
    <w:p>
      <w:pPr>
        <w:pStyle w:val="101"/>
        <w:spacing w:before="156" w:after="156"/>
      </w:pPr>
      <w:r>
        <w:rPr>
          <w:rFonts w:hint="eastAsia"/>
        </w:rPr>
        <w:t>开阔天空场景</w:t>
      </w:r>
    </w:p>
    <w:p>
      <w:pPr>
        <w:pStyle w:val="59"/>
        <w:ind w:firstLine="420"/>
      </w:pPr>
      <w:r>
        <w:rPr>
          <w:rFonts w:hint="eastAsia"/>
        </w:rPr>
        <w:t>按照6.4.1.1.</w:t>
      </w:r>
      <w:r>
        <w:t>1</w:t>
      </w:r>
      <w:r>
        <w:rPr>
          <w:rFonts w:hint="eastAsia"/>
        </w:rPr>
        <w:t>进行试验，车载卫星定位系统水平定位精度应优于</w:t>
      </w:r>
      <w:r>
        <w:t>2m</w:t>
      </w:r>
      <w:r>
        <w:rPr>
          <w:rFonts w:hint="eastAsia"/>
        </w:rPr>
        <w:t>（CEP95），垂直定位精度应优于</w:t>
      </w:r>
      <w:r>
        <w:t>4</w:t>
      </w:r>
      <w:r>
        <w:rPr>
          <w:rFonts w:hint="eastAsia"/>
        </w:rPr>
        <w:t>m（CEP95）。</w:t>
      </w:r>
    </w:p>
    <w:p>
      <w:pPr>
        <w:pStyle w:val="101"/>
        <w:spacing w:before="156" w:after="156"/>
      </w:pPr>
      <w:r>
        <w:rPr>
          <w:rFonts w:hint="eastAsia"/>
        </w:rPr>
        <w:t>城市峡谷场景</w:t>
      </w:r>
    </w:p>
    <w:p>
      <w:pPr>
        <w:pStyle w:val="59"/>
        <w:ind w:firstLine="420"/>
      </w:pPr>
      <w:r>
        <w:rPr>
          <w:rFonts w:hint="eastAsia"/>
        </w:rPr>
        <w:t>按照6.4.1.1</w:t>
      </w:r>
      <w:r>
        <w:t>.2</w:t>
      </w:r>
      <w:r>
        <w:rPr>
          <w:rFonts w:hint="eastAsia"/>
        </w:rPr>
        <w:t>进行试验，车载卫星定位系统水平定位精度应优于10m（CEP95），垂直定位精度应优于15m（CEP95）。</w:t>
      </w:r>
    </w:p>
    <w:p>
      <w:pPr>
        <w:pStyle w:val="97"/>
        <w:spacing w:before="156" w:after="156"/>
      </w:pPr>
      <w:r>
        <w:rPr>
          <w:rFonts w:hint="eastAsia"/>
        </w:rPr>
        <w:t>动态定位精度</w:t>
      </w:r>
    </w:p>
    <w:p>
      <w:pPr>
        <w:pStyle w:val="101"/>
        <w:spacing w:before="156" w:after="156"/>
      </w:pPr>
      <w:r>
        <w:rPr>
          <w:rFonts w:hint="eastAsia"/>
        </w:rPr>
        <w:t>开阔天空场景</w:t>
      </w:r>
    </w:p>
    <w:p>
      <w:pPr>
        <w:pStyle w:val="59"/>
        <w:ind w:firstLine="420"/>
      </w:pPr>
      <w:r>
        <w:rPr>
          <w:rFonts w:hint="eastAsia"/>
        </w:rPr>
        <w:t>按照6.4.1.2</w:t>
      </w:r>
      <w:r>
        <w:t>.1</w:t>
      </w:r>
      <w:r>
        <w:rPr>
          <w:rFonts w:hint="eastAsia"/>
        </w:rPr>
        <w:t>进行试验，车载卫星定位系统水平定位精度应优于</w:t>
      </w:r>
      <w:r>
        <w:t>2</w:t>
      </w:r>
      <w:r>
        <w:rPr>
          <w:rFonts w:hint="eastAsia"/>
        </w:rPr>
        <w:t>m（CEP95），垂直定位精度应优于</w:t>
      </w:r>
      <w:r>
        <w:t>4</w:t>
      </w:r>
      <w:r>
        <w:rPr>
          <w:rFonts w:hint="eastAsia"/>
        </w:rPr>
        <w:t>m（CEP95）。</w:t>
      </w:r>
    </w:p>
    <w:p>
      <w:pPr>
        <w:pStyle w:val="101"/>
        <w:spacing w:before="156" w:after="156"/>
      </w:pPr>
      <w:r>
        <w:rPr>
          <w:rFonts w:hint="eastAsia"/>
        </w:rPr>
        <w:t>城市峡谷场景</w:t>
      </w:r>
    </w:p>
    <w:p>
      <w:pPr>
        <w:pStyle w:val="59"/>
        <w:ind w:firstLine="420"/>
      </w:pPr>
      <w:r>
        <w:rPr>
          <w:rFonts w:hint="eastAsia"/>
        </w:rPr>
        <w:t>按照6.4.1.2</w:t>
      </w:r>
      <w:r>
        <w:t>.2</w:t>
      </w:r>
      <w:r>
        <w:rPr>
          <w:rFonts w:hint="eastAsia"/>
        </w:rPr>
        <w:t>进行试验，车载卫星定位系统水平定位精度应优于10m（CEP95），垂直定位精度应优于15m（CEP95）。</w:t>
      </w:r>
    </w:p>
    <w:p>
      <w:pPr>
        <w:pStyle w:val="97"/>
        <w:spacing w:before="156" w:after="156"/>
      </w:pPr>
      <w:r>
        <w:rPr>
          <w:rFonts w:hint="eastAsia"/>
        </w:rPr>
        <w:t>测速精度</w:t>
      </w:r>
    </w:p>
    <w:p>
      <w:pPr>
        <w:pStyle w:val="101"/>
        <w:spacing w:before="156" w:after="156"/>
      </w:pPr>
      <w:r>
        <w:rPr>
          <w:rFonts w:hint="eastAsia"/>
        </w:rPr>
        <w:t>开阔天空场景</w:t>
      </w:r>
    </w:p>
    <w:p>
      <w:pPr>
        <w:pStyle w:val="59"/>
        <w:ind w:firstLine="420"/>
      </w:pPr>
      <w:r>
        <w:rPr>
          <w:rFonts w:hint="eastAsia"/>
        </w:rPr>
        <w:t>按照6.4.1.3</w:t>
      </w:r>
      <w:r>
        <w:t>.1</w:t>
      </w:r>
      <w:r>
        <w:rPr>
          <w:rFonts w:hint="eastAsia"/>
        </w:rPr>
        <w:t>进行试验，车载卫星定位系统测速精度应优于0.</w:t>
      </w:r>
      <w:r>
        <w:t>2</w:t>
      </w:r>
      <w:r>
        <w:rPr>
          <w:rFonts w:hint="eastAsia"/>
        </w:rPr>
        <w:t>m/s（CEP95）。</w:t>
      </w:r>
    </w:p>
    <w:p>
      <w:pPr>
        <w:pStyle w:val="101"/>
        <w:spacing w:before="156" w:after="156"/>
      </w:pPr>
      <w:r>
        <w:rPr>
          <w:rFonts w:hint="eastAsia"/>
        </w:rPr>
        <w:t>城市峡谷场景</w:t>
      </w:r>
    </w:p>
    <w:p>
      <w:pPr>
        <w:pStyle w:val="59"/>
        <w:ind w:firstLine="420"/>
      </w:pPr>
      <w:r>
        <w:rPr>
          <w:rFonts w:hint="eastAsia"/>
        </w:rPr>
        <w:t>按照6.4.1.3</w:t>
      </w:r>
      <w:r>
        <w:t>.2</w:t>
      </w:r>
      <w:r>
        <w:rPr>
          <w:rFonts w:hint="eastAsia"/>
        </w:rPr>
        <w:t>进行试验，车载卫星定位系统测速精度应优于0.5m/s（CEP95）。</w:t>
      </w:r>
    </w:p>
    <w:p>
      <w:pPr>
        <w:pStyle w:val="68"/>
        <w:spacing w:before="156" w:after="156"/>
      </w:pPr>
      <w:r>
        <w:rPr>
          <w:rFonts w:hint="eastAsia"/>
        </w:rPr>
        <w:t>首次定位时间</w:t>
      </w:r>
    </w:p>
    <w:p>
      <w:pPr>
        <w:pStyle w:val="97"/>
        <w:spacing w:before="156" w:after="156"/>
      </w:pPr>
      <w:r>
        <w:rPr>
          <w:rFonts w:hint="eastAsia"/>
        </w:rPr>
        <w:t>冷启动首次定位时间</w:t>
      </w:r>
    </w:p>
    <w:p>
      <w:pPr>
        <w:pStyle w:val="59"/>
        <w:ind w:firstLine="420"/>
      </w:pPr>
      <w:r>
        <w:rPr>
          <w:rFonts w:hint="eastAsia"/>
        </w:rPr>
        <w:t>按照6.4.2.1进行试验，车载卫星定位系统冷启动首次定位时间应不超过</w:t>
      </w:r>
      <w:r>
        <w:t>60</w:t>
      </w:r>
      <w:r>
        <w:rPr>
          <w:rFonts w:hint="eastAsia"/>
        </w:rPr>
        <w:t>s。</w:t>
      </w:r>
    </w:p>
    <w:p>
      <w:pPr>
        <w:pStyle w:val="97"/>
        <w:spacing w:before="156" w:after="156"/>
      </w:pPr>
      <w:r>
        <w:rPr>
          <w:rFonts w:hint="eastAsia"/>
        </w:rPr>
        <w:t>热启动首次定位时间</w:t>
      </w:r>
    </w:p>
    <w:p>
      <w:pPr>
        <w:pStyle w:val="59"/>
        <w:ind w:firstLine="420"/>
      </w:pPr>
      <w:r>
        <w:rPr>
          <w:rFonts w:hint="eastAsia"/>
        </w:rPr>
        <w:t>按照6.4.2.2进行试验，车载卫星定位系统热启动首次定位时间应不超过</w:t>
      </w:r>
      <w:r>
        <w:t>5</w:t>
      </w:r>
      <w:r>
        <w:rPr>
          <w:rFonts w:hint="eastAsia"/>
        </w:rPr>
        <w:t>s。</w:t>
      </w:r>
    </w:p>
    <w:p>
      <w:pPr>
        <w:pStyle w:val="68"/>
        <w:spacing w:before="156" w:after="156"/>
      </w:pPr>
      <w:r>
        <w:rPr>
          <w:rFonts w:hint="eastAsia"/>
        </w:rPr>
        <w:t>重捕获时间</w:t>
      </w:r>
    </w:p>
    <w:p>
      <w:pPr>
        <w:pStyle w:val="59"/>
        <w:ind w:firstLine="420"/>
      </w:pPr>
      <w:r>
        <w:rPr>
          <w:rFonts w:hint="eastAsia"/>
        </w:rPr>
        <w:t>按照6.4.3进行试验，车载卫星定位系统重捕获时间应不超过</w:t>
      </w:r>
      <w:r>
        <w:t>5</w:t>
      </w:r>
      <w:r>
        <w:rPr>
          <w:rFonts w:hint="eastAsia"/>
        </w:rPr>
        <w:t>s。</w:t>
      </w:r>
    </w:p>
    <w:p>
      <w:pPr>
        <w:pStyle w:val="68"/>
        <w:spacing w:before="156" w:after="156"/>
      </w:pPr>
      <w:r>
        <w:rPr>
          <w:rFonts w:hint="eastAsia"/>
        </w:rPr>
        <w:t>灵敏度</w:t>
      </w:r>
    </w:p>
    <w:p>
      <w:pPr>
        <w:pStyle w:val="97"/>
        <w:spacing w:before="156" w:after="156"/>
      </w:pPr>
      <w:r>
        <w:rPr>
          <w:rFonts w:hint="eastAsia"/>
        </w:rPr>
        <w:t>捕获灵敏度</w:t>
      </w:r>
    </w:p>
    <w:p>
      <w:pPr>
        <w:pStyle w:val="59"/>
        <w:ind w:firstLine="420"/>
      </w:pPr>
      <w:r>
        <w:rPr>
          <w:rFonts w:hint="eastAsia"/>
        </w:rPr>
        <w:t>按照6.4.4.1进行试验，车载卫星定位系统捕获灵敏度应优于-140dBm。</w:t>
      </w:r>
    </w:p>
    <w:p>
      <w:pPr>
        <w:pStyle w:val="97"/>
        <w:spacing w:before="156" w:after="156"/>
      </w:pPr>
      <w:r>
        <w:rPr>
          <w:rFonts w:hint="eastAsia"/>
        </w:rPr>
        <w:t>重捕获灵敏度</w:t>
      </w:r>
    </w:p>
    <w:p>
      <w:pPr>
        <w:pStyle w:val="59"/>
        <w:ind w:firstLine="420"/>
      </w:pPr>
      <w:r>
        <w:rPr>
          <w:rFonts w:hint="eastAsia"/>
        </w:rPr>
        <w:t>按照6.4.4.2进行试验，车载卫星定位系统重捕获灵敏度应优于-145dBm。</w:t>
      </w:r>
    </w:p>
    <w:p>
      <w:pPr>
        <w:pStyle w:val="97"/>
        <w:spacing w:before="156" w:after="156"/>
      </w:pPr>
      <w:r>
        <w:rPr>
          <w:rFonts w:hint="eastAsia"/>
        </w:rPr>
        <w:t>跟踪灵敏度</w:t>
      </w:r>
    </w:p>
    <w:p>
      <w:pPr>
        <w:pStyle w:val="59"/>
        <w:ind w:firstLine="420"/>
      </w:pPr>
      <w:r>
        <w:rPr>
          <w:rFonts w:hint="eastAsia"/>
        </w:rPr>
        <w:t>按照6.4.4.3进行试验，车载卫星定位系统跟踪灵敏度应优于-150dBm。</w:t>
      </w:r>
    </w:p>
    <w:p>
      <w:pPr>
        <w:pStyle w:val="68"/>
        <w:spacing w:before="156" w:after="156"/>
      </w:pPr>
      <w:r>
        <w:rPr>
          <w:rFonts w:hint="eastAsia"/>
        </w:rPr>
        <w:t>授时性能</w:t>
      </w:r>
    </w:p>
    <w:p>
      <w:pPr>
        <w:pStyle w:val="97"/>
        <w:spacing w:before="156" w:after="156"/>
      </w:pPr>
      <w:r>
        <w:rPr>
          <w:rFonts w:hint="eastAsia"/>
        </w:rPr>
        <w:t>开阔天空场景</w:t>
      </w:r>
    </w:p>
    <w:p>
      <w:pPr>
        <w:pStyle w:val="59"/>
        <w:ind w:firstLine="420"/>
      </w:pPr>
      <w:r>
        <w:rPr>
          <w:rFonts w:hint="eastAsia"/>
        </w:rPr>
        <w:t>按照6.4.</w:t>
      </w:r>
      <w:r>
        <w:t>5.1</w:t>
      </w:r>
      <w:r>
        <w:rPr>
          <w:rFonts w:hint="eastAsia"/>
        </w:rPr>
        <w:t>进行试验，车载卫星定位系统输出的G</w:t>
      </w:r>
      <w:r>
        <w:t>GA</w:t>
      </w:r>
      <w:r>
        <w:rPr>
          <w:rFonts w:hint="eastAsia"/>
        </w:rPr>
        <w:t>中UTC时间分辨力应优于0.01s。若车载卫星定位系统具备1pps信息输出能力，则授时精度应优于</w:t>
      </w:r>
      <w:r>
        <w:t>250ns</w:t>
      </w:r>
      <w:r>
        <w:rPr>
          <w:rFonts w:hint="eastAsia"/>
        </w:rPr>
        <w:t>（CEP95）。</w:t>
      </w:r>
    </w:p>
    <w:p>
      <w:pPr>
        <w:pStyle w:val="97"/>
        <w:spacing w:before="156" w:after="156"/>
      </w:pPr>
      <w:r>
        <w:rPr>
          <w:rFonts w:hint="eastAsia"/>
        </w:rPr>
        <w:t>城市峡谷场景</w:t>
      </w:r>
    </w:p>
    <w:p>
      <w:pPr>
        <w:pStyle w:val="59"/>
        <w:ind w:firstLine="420"/>
      </w:pPr>
      <w:r>
        <w:rPr>
          <w:rFonts w:hint="eastAsia"/>
        </w:rPr>
        <w:t>按照6.4.</w:t>
      </w:r>
      <w:r>
        <w:t>5.2</w:t>
      </w:r>
      <w:r>
        <w:rPr>
          <w:rFonts w:hint="eastAsia"/>
        </w:rPr>
        <w:t>进行试验，车载卫星定位系统输出的G</w:t>
      </w:r>
      <w:r>
        <w:t>GA</w:t>
      </w:r>
      <w:r>
        <w:rPr>
          <w:rFonts w:hint="eastAsia"/>
        </w:rPr>
        <w:t>中UTC时间分辨力应优于0.01s。若车载卫星定位系统具备1pps信息输出能力，则授时精度应优于</w:t>
      </w:r>
      <w:r>
        <w:t>250ns</w:t>
      </w:r>
      <w:r>
        <w:rPr>
          <w:rFonts w:hint="eastAsia"/>
        </w:rPr>
        <w:t>（CEP95）。</w:t>
      </w:r>
    </w:p>
    <w:p>
      <w:pPr>
        <w:pStyle w:val="108"/>
        <w:spacing w:before="156" w:after="156"/>
      </w:pPr>
      <w:r>
        <w:rPr>
          <w:rFonts w:hint="eastAsia"/>
        </w:rPr>
        <w:t>环境要求</w:t>
      </w:r>
    </w:p>
    <w:p>
      <w:pPr>
        <w:pStyle w:val="68"/>
        <w:spacing w:before="156" w:after="156"/>
      </w:pPr>
      <w:r>
        <w:rPr>
          <w:rFonts w:hint="eastAsia"/>
        </w:rPr>
        <w:t>电气性能</w:t>
      </w:r>
    </w:p>
    <w:p>
      <w:pPr>
        <w:pStyle w:val="97"/>
        <w:spacing w:before="156" w:after="156"/>
      </w:pPr>
      <w:r>
        <w:rPr>
          <w:rFonts w:hint="eastAsia"/>
        </w:rPr>
        <w:t>直流供电电压</w:t>
      </w:r>
    </w:p>
    <w:p>
      <w:pPr>
        <w:pStyle w:val="59"/>
        <w:ind w:firstLine="420"/>
      </w:pPr>
      <w:r>
        <w:rPr>
          <w:rFonts w:hint="eastAsia"/>
        </w:rPr>
        <w:t>车载卫星定位系统的直流供电电压范围见表</w:t>
      </w:r>
      <w:r>
        <w:t>1</w:t>
      </w:r>
      <w:r>
        <w:rPr>
          <w:rFonts w:hint="eastAsia"/>
        </w:rPr>
        <w:t>，在U</w:t>
      </w:r>
      <w:r>
        <w:rPr>
          <w:rFonts w:hint="eastAsia"/>
          <w:vertAlign w:val="subscript"/>
        </w:rPr>
        <w:t>Smin</w:t>
      </w:r>
      <w:r>
        <w:rPr>
          <w:rFonts w:hint="eastAsia"/>
        </w:rPr>
        <w:t>～U</w:t>
      </w:r>
      <w:r>
        <w:rPr>
          <w:rFonts w:hint="eastAsia"/>
          <w:vertAlign w:val="subscript"/>
        </w:rPr>
        <w:t>Smax</w:t>
      </w:r>
      <w:r>
        <w:rPr>
          <w:rFonts w:hint="eastAsia"/>
        </w:rPr>
        <w:t>范围内，按照6.</w:t>
      </w:r>
      <w:r>
        <w:t>5</w:t>
      </w:r>
      <w:r>
        <w:rPr>
          <w:rFonts w:hint="eastAsia"/>
        </w:rPr>
        <w:t>.1.1进行试验，试验中和试验后，车载卫星定位系统输出的位置、速度和时间</w:t>
      </w:r>
      <w:r>
        <w:rPr>
          <w:rFonts w:hint="eastAsia" w:hAnsi="宋体"/>
        </w:rPr>
        <w:t>应满足5</w:t>
      </w:r>
      <w:r>
        <w:rPr>
          <w:rFonts w:hAnsi="宋体"/>
        </w:rPr>
        <w:t>.2.1.2.2</w:t>
      </w:r>
      <w:r>
        <w:rPr>
          <w:rFonts w:hint="eastAsia" w:hAnsi="宋体"/>
        </w:rPr>
        <w:t>，</w:t>
      </w:r>
      <w:r>
        <w:rPr>
          <w:rFonts w:hAnsi="宋体"/>
        </w:rPr>
        <w:t>5.2.1.3.2</w:t>
      </w:r>
      <w:r>
        <w:rPr>
          <w:rFonts w:hint="eastAsia" w:hAnsi="宋体"/>
        </w:rPr>
        <w:t>和5</w:t>
      </w:r>
      <w:r>
        <w:rPr>
          <w:rFonts w:hAnsi="宋体"/>
        </w:rPr>
        <w:t>.2.5.2</w:t>
      </w:r>
      <w:r>
        <w:rPr>
          <w:rFonts w:hint="eastAsia" w:hAnsi="宋体"/>
        </w:rPr>
        <w:t>的要求</w:t>
      </w:r>
      <w:r>
        <w:rPr>
          <w:rFonts w:hint="eastAsia"/>
        </w:rPr>
        <w:t>。</w:t>
      </w:r>
    </w:p>
    <w:p>
      <w:pPr>
        <w:pStyle w:val="234"/>
        <w:numPr>
          <w:ilvl w:val="0"/>
          <w:numId w:val="16"/>
        </w:numPr>
        <w:spacing w:before="156" w:after="156"/>
        <w:ind w:left="735"/>
      </w:pPr>
      <w:r>
        <w:rPr>
          <w:rFonts w:hint="eastAsia"/>
        </w:rPr>
        <w:t>直流供电电压范围</w:t>
      </w:r>
    </w:p>
    <w:tbl>
      <w:tblPr>
        <w:tblStyle w:val="35"/>
        <w:tblW w:w="93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4"/>
        <w:gridCol w:w="326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2694" w:type="dxa"/>
            <w:tcBorders>
              <w:top w:val="single" w:color="000000" w:sz="4" w:space="0"/>
              <w:left w:val="single" w:color="000000" w:sz="4" w:space="0"/>
              <w:bottom w:val="single" w:color="000000" w:sz="4" w:space="0"/>
              <w:right w:val="single" w:color="000000" w:sz="4" w:space="0"/>
            </w:tcBorders>
          </w:tcPr>
          <w:p>
            <w:pPr>
              <w:pStyle w:val="232"/>
              <w:ind w:firstLine="0" w:firstLineChars="0"/>
              <w:jc w:val="center"/>
              <w:rPr>
                <w:rFonts w:hAnsi="宋体"/>
                <w:color w:val="000000"/>
                <w:sz w:val="18"/>
                <w:szCs w:val="18"/>
              </w:rPr>
            </w:pPr>
            <w:r>
              <w:rPr>
                <w:rFonts w:hint="eastAsia" w:hAnsi="宋体"/>
                <w:color w:val="000000"/>
                <w:sz w:val="18"/>
                <w:szCs w:val="18"/>
              </w:rPr>
              <w:t>标称电压</w:t>
            </w:r>
          </w:p>
          <w:p>
            <w:pPr>
              <w:pStyle w:val="232"/>
              <w:ind w:firstLine="0" w:firstLineChars="0"/>
              <w:jc w:val="center"/>
              <w:rPr>
                <w:rFonts w:hAnsi="宋体"/>
                <w:color w:val="000000"/>
                <w:kern w:val="2"/>
                <w:sz w:val="18"/>
                <w:szCs w:val="18"/>
              </w:rPr>
            </w:pPr>
            <w:r>
              <w:rPr>
                <w:rFonts w:hint="eastAsia" w:hAnsi="宋体"/>
                <w:color w:val="000000"/>
                <w:sz w:val="18"/>
                <w:szCs w:val="18"/>
              </w:rPr>
              <w:t>U</w:t>
            </w:r>
            <w:r>
              <w:rPr>
                <w:rFonts w:hint="eastAsia" w:hAnsi="宋体"/>
                <w:color w:val="000000"/>
                <w:sz w:val="18"/>
                <w:szCs w:val="18"/>
                <w:vertAlign w:val="subscript"/>
              </w:rPr>
              <w:t>N</w:t>
            </w:r>
          </w:p>
        </w:tc>
        <w:tc>
          <w:tcPr>
            <w:tcW w:w="3260" w:type="dxa"/>
            <w:tcBorders>
              <w:top w:val="single" w:color="000000" w:sz="4" w:space="0"/>
              <w:left w:val="nil"/>
              <w:bottom w:val="single" w:color="000000" w:sz="4" w:space="0"/>
              <w:right w:val="single" w:color="000000" w:sz="4" w:space="0"/>
            </w:tcBorders>
            <w:vAlign w:val="center"/>
          </w:tcPr>
          <w:p>
            <w:pPr>
              <w:pStyle w:val="232"/>
              <w:ind w:firstLine="0" w:firstLineChars="0"/>
              <w:jc w:val="center"/>
              <w:rPr>
                <w:rFonts w:hAnsi="宋体"/>
                <w:color w:val="000000"/>
                <w:sz w:val="18"/>
                <w:szCs w:val="18"/>
              </w:rPr>
            </w:pPr>
            <w:r>
              <w:rPr>
                <w:rFonts w:hint="eastAsia" w:hAnsi="宋体"/>
                <w:color w:val="000000"/>
                <w:sz w:val="18"/>
                <w:szCs w:val="18"/>
              </w:rPr>
              <w:t>最小电压</w:t>
            </w:r>
          </w:p>
          <w:p>
            <w:pPr>
              <w:pStyle w:val="232"/>
              <w:ind w:firstLine="0" w:firstLineChars="0"/>
              <w:jc w:val="center"/>
              <w:rPr>
                <w:rFonts w:hAnsi="宋体"/>
                <w:color w:val="000000"/>
                <w:kern w:val="2"/>
                <w:sz w:val="18"/>
                <w:szCs w:val="18"/>
              </w:rPr>
            </w:pPr>
            <w:r>
              <w:rPr>
                <w:rFonts w:hint="eastAsia" w:hAnsi="宋体"/>
                <w:color w:val="000000"/>
                <w:sz w:val="18"/>
                <w:szCs w:val="18"/>
              </w:rPr>
              <w:t>U</w:t>
            </w:r>
            <w:r>
              <w:rPr>
                <w:rFonts w:hint="eastAsia" w:hAnsi="宋体"/>
                <w:color w:val="000000"/>
                <w:sz w:val="18"/>
                <w:szCs w:val="18"/>
                <w:vertAlign w:val="subscript"/>
              </w:rPr>
              <w:t>Smin</w:t>
            </w:r>
          </w:p>
        </w:tc>
        <w:tc>
          <w:tcPr>
            <w:tcW w:w="3402" w:type="dxa"/>
            <w:tcBorders>
              <w:top w:val="single" w:color="000000" w:sz="4" w:space="0"/>
              <w:left w:val="nil"/>
              <w:bottom w:val="single" w:color="000000" w:sz="4" w:space="0"/>
              <w:right w:val="single" w:color="000000" w:sz="4" w:space="0"/>
            </w:tcBorders>
            <w:vAlign w:val="center"/>
          </w:tcPr>
          <w:p>
            <w:pPr>
              <w:pStyle w:val="232"/>
              <w:ind w:firstLine="0" w:firstLineChars="0"/>
              <w:jc w:val="center"/>
              <w:rPr>
                <w:rFonts w:hAnsi="宋体"/>
                <w:color w:val="000000"/>
                <w:sz w:val="18"/>
                <w:szCs w:val="18"/>
              </w:rPr>
            </w:pPr>
            <w:r>
              <w:rPr>
                <w:rFonts w:hint="eastAsia" w:hAnsi="宋体"/>
                <w:color w:val="000000"/>
                <w:sz w:val="18"/>
                <w:szCs w:val="18"/>
              </w:rPr>
              <w:t>最大电压</w:t>
            </w:r>
          </w:p>
          <w:p>
            <w:pPr>
              <w:pStyle w:val="232"/>
              <w:ind w:firstLine="0" w:firstLineChars="0"/>
              <w:jc w:val="center"/>
              <w:rPr>
                <w:rFonts w:hAnsi="宋体"/>
                <w:color w:val="000000"/>
                <w:kern w:val="2"/>
                <w:sz w:val="18"/>
                <w:szCs w:val="18"/>
              </w:rPr>
            </w:pPr>
            <w:r>
              <w:rPr>
                <w:rFonts w:hint="eastAsia" w:hAnsi="宋体"/>
                <w:color w:val="000000"/>
                <w:sz w:val="18"/>
                <w:szCs w:val="18"/>
              </w:rPr>
              <w:t>U</w:t>
            </w:r>
            <w:r>
              <w:rPr>
                <w:rFonts w:hint="eastAsia" w:hAnsi="宋体"/>
                <w:color w:val="000000"/>
                <w:sz w:val="18"/>
                <w:szCs w:val="18"/>
                <w:vertAlign w:val="subscript"/>
              </w:rPr>
              <w:t>Smax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2694" w:type="dxa"/>
            <w:tcBorders>
              <w:top w:val="single" w:color="000000" w:sz="4" w:space="0"/>
              <w:left w:val="single" w:color="000000" w:sz="4" w:space="0"/>
              <w:bottom w:val="single" w:color="000000" w:sz="4" w:space="0"/>
              <w:right w:val="single" w:color="000000" w:sz="4" w:space="0"/>
            </w:tcBorders>
            <w:vAlign w:val="center"/>
          </w:tcPr>
          <w:p>
            <w:pPr>
              <w:pStyle w:val="232"/>
              <w:ind w:firstLine="0" w:firstLineChars="0"/>
              <w:jc w:val="center"/>
              <w:rPr>
                <w:rFonts w:hAnsi="宋体"/>
                <w:color w:val="000000"/>
                <w:sz w:val="18"/>
                <w:szCs w:val="18"/>
              </w:rPr>
            </w:pPr>
            <w:r>
              <w:rPr>
                <w:rFonts w:hint="eastAsia" w:hAnsi="宋体"/>
                <w:color w:val="000000"/>
                <w:sz w:val="18"/>
                <w:szCs w:val="18"/>
              </w:rPr>
              <w:t>12</w:t>
            </w:r>
          </w:p>
        </w:tc>
        <w:tc>
          <w:tcPr>
            <w:tcW w:w="3260" w:type="dxa"/>
            <w:tcBorders>
              <w:top w:val="single" w:color="000000" w:sz="4" w:space="0"/>
              <w:left w:val="nil"/>
              <w:bottom w:val="single" w:color="000000" w:sz="4" w:space="0"/>
              <w:right w:val="single" w:color="000000" w:sz="4" w:space="0"/>
            </w:tcBorders>
          </w:tcPr>
          <w:p>
            <w:pPr>
              <w:pStyle w:val="232"/>
              <w:ind w:firstLine="0" w:firstLineChars="0"/>
              <w:jc w:val="center"/>
              <w:rPr>
                <w:rFonts w:hAnsi="宋体"/>
                <w:color w:val="000000"/>
                <w:sz w:val="18"/>
                <w:szCs w:val="18"/>
              </w:rPr>
            </w:pPr>
            <w:r>
              <w:rPr>
                <w:rFonts w:hint="eastAsia" w:hAnsi="宋体"/>
                <w:color w:val="000000"/>
                <w:sz w:val="18"/>
                <w:szCs w:val="18"/>
              </w:rPr>
              <w:t>9</w:t>
            </w:r>
          </w:p>
        </w:tc>
        <w:tc>
          <w:tcPr>
            <w:tcW w:w="3402" w:type="dxa"/>
            <w:tcBorders>
              <w:top w:val="single" w:color="000000" w:sz="4" w:space="0"/>
              <w:left w:val="nil"/>
              <w:bottom w:val="single" w:color="000000" w:sz="4" w:space="0"/>
              <w:right w:val="single" w:color="000000" w:sz="4" w:space="0"/>
            </w:tcBorders>
          </w:tcPr>
          <w:p>
            <w:pPr>
              <w:pStyle w:val="232"/>
              <w:ind w:firstLine="0" w:firstLineChars="0"/>
              <w:jc w:val="center"/>
              <w:rPr>
                <w:rFonts w:hAnsi="宋体"/>
                <w:color w:val="000000"/>
                <w:sz w:val="18"/>
                <w:szCs w:val="18"/>
              </w:rPr>
            </w:pPr>
            <w:r>
              <w:rPr>
                <w:rFonts w:hint="eastAsia" w:hAnsi="宋体"/>
                <w:color w:val="000000"/>
                <w:sz w:val="18"/>
                <w:szCs w:val="18"/>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2694" w:type="dxa"/>
            <w:tcBorders>
              <w:top w:val="single" w:color="000000" w:sz="4" w:space="0"/>
              <w:left w:val="single" w:color="000000" w:sz="4" w:space="0"/>
              <w:bottom w:val="single" w:color="000000" w:sz="4" w:space="0"/>
              <w:right w:val="single" w:color="000000" w:sz="4" w:space="0"/>
            </w:tcBorders>
            <w:vAlign w:val="center"/>
          </w:tcPr>
          <w:p>
            <w:pPr>
              <w:pStyle w:val="232"/>
              <w:ind w:firstLine="0" w:firstLineChars="0"/>
              <w:jc w:val="center"/>
              <w:rPr>
                <w:rFonts w:hAnsi="宋体"/>
                <w:color w:val="000000"/>
                <w:sz w:val="18"/>
                <w:szCs w:val="18"/>
              </w:rPr>
            </w:pPr>
            <w:r>
              <w:rPr>
                <w:rFonts w:hint="eastAsia" w:hAnsi="宋体"/>
                <w:color w:val="000000"/>
                <w:sz w:val="18"/>
                <w:szCs w:val="18"/>
              </w:rPr>
              <w:t>24</w:t>
            </w:r>
          </w:p>
        </w:tc>
        <w:tc>
          <w:tcPr>
            <w:tcW w:w="3260" w:type="dxa"/>
            <w:tcBorders>
              <w:top w:val="single" w:color="000000" w:sz="4" w:space="0"/>
              <w:left w:val="nil"/>
              <w:bottom w:val="single" w:color="000000" w:sz="4" w:space="0"/>
              <w:right w:val="single" w:color="000000" w:sz="4" w:space="0"/>
            </w:tcBorders>
          </w:tcPr>
          <w:p>
            <w:pPr>
              <w:pStyle w:val="232"/>
              <w:ind w:firstLine="0" w:firstLineChars="0"/>
              <w:jc w:val="center"/>
              <w:rPr>
                <w:rFonts w:hAnsi="宋体"/>
                <w:color w:val="000000"/>
                <w:sz w:val="18"/>
                <w:szCs w:val="18"/>
              </w:rPr>
            </w:pPr>
            <w:r>
              <w:rPr>
                <w:rFonts w:hint="eastAsia" w:hAnsi="宋体"/>
                <w:color w:val="000000"/>
                <w:sz w:val="18"/>
                <w:szCs w:val="18"/>
              </w:rPr>
              <w:t>16</w:t>
            </w:r>
          </w:p>
        </w:tc>
        <w:tc>
          <w:tcPr>
            <w:tcW w:w="3402" w:type="dxa"/>
            <w:tcBorders>
              <w:top w:val="single" w:color="000000" w:sz="4" w:space="0"/>
              <w:left w:val="nil"/>
              <w:bottom w:val="single" w:color="000000" w:sz="4" w:space="0"/>
              <w:right w:val="single" w:color="000000" w:sz="4" w:space="0"/>
            </w:tcBorders>
          </w:tcPr>
          <w:p>
            <w:pPr>
              <w:pStyle w:val="232"/>
              <w:ind w:firstLine="0" w:firstLineChars="0"/>
              <w:jc w:val="center"/>
              <w:rPr>
                <w:rFonts w:hAnsi="宋体"/>
                <w:color w:val="000000"/>
                <w:sz w:val="18"/>
                <w:szCs w:val="18"/>
              </w:rPr>
            </w:pPr>
            <w:r>
              <w:rPr>
                <w:rFonts w:hint="eastAsia" w:hAnsi="宋体"/>
                <w:color w:val="000000"/>
                <w:sz w:val="18"/>
                <w:szCs w:val="18"/>
              </w:rPr>
              <w:t>32</w:t>
            </w:r>
          </w:p>
        </w:tc>
      </w:tr>
    </w:tbl>
    <w:p>
      <w:pPr>
        <w:pStyle w:val="97"/>
        <w:spacing w:before="156" w:after="156"/>
      </w:pPr>
      <w:r>
        <w:rPr>
          <w:rFonts w:hint="eastAsia"/>
        </w:rPr>
        <w:t>过电压</w:t>
      </w:r>
    </w:p>
    <w:p>
      <w:pPr>
        <w:pStyle w:val="101"/>
        <w:spacing w:before="156" w:after="156"/>
      </w:pPr>
      <w:r>
        <w:rPr>
          <w:rFonts w:hint="eastAsia" w:hAnsi="黑体"/>
        </w:rPr>
        <w:t>（</w:t>
      </w:r>
      <w:r>
        <w:rPr>
          <w:rFonts w:hint="eastAsia"/>
        </w:rPr>
        <w:t>T</w:t>
      </w:r>
      <w:r>
        <w:rPr>
          <w:vertAlign w:val="subscript"/>
        </w:rPr>
        <w:t>max</w:t>
      </w:r>
      <w:r>
        <w:rPr>
          <w:rFonts w:hint="eastAsia"/>
        </w:rPr>
        <w:t>-20℃）条件</w:t>
      </w:r>
    </w:p>
    <w:p>
      <w:pPr>
        <w:pStyle w:val="232"/>
      </w:pPr>
      <w:r>
        <w:rPr>
          <w:rFonts w:hint="eastAsia" w:hAnsi="宋体"/>
        </w:rPr>
        <w:t>按照</w:t>
      </w:r>
      <w:r>
        <w:t>6</w:t>
      </w:r>
      <w:r>
        <w:rPr>
          <w:rFonts w:hint="eastAsia"/>
        </w:rPr>
        <w:t>.</w:t>
      </w:r>
      <w:r>
        <w:t>5</w:t>
      </w:r>
      <w:r>
        <w:rPr>
          <w:rFonts w:hint="eastAsia"/>
        </w:rPr>
        <w:t>.1.2.1</w:t>
      </w:r>
      <w:r>
        <w:rPr>
          <w:rFonts w:hint="eastAsia" w:hAnsi="宋体"/>
        </w:rPr>
        <w:t>进行试验，试验中和试验后，</w:t>
      </w:r>
      <w:r>
        <w:rPr>
          <w:rFonts w:hint="eastAsia"/>
        </w:rPr>
        <w:t>车载卫星定位系统输出的位置、速度和时间</w:t>
      </w:r>
      <w:r>
        <w:rPr>
          <w:rFonts w:hint="eastAsia" w:hAnsi="宋体"/>
        </w:rPr>
        <w:t>应满足5</w:t>
      </w:r>
      <w:r>
        <w:rPr>
          <w:rFonts w:hAnsi="宋体"/>
        </w:rPr>
        <w:t>.2.1.2.2</w:t>
      </w:r>
      <w:r>
        <w:rPr>
          <w:rFonts w:hint="eastAsia" w:hAnsi="宋体"/>
        </w:rPr>
        <w:t>，</w:t>
      </w:r>
      <w:r>
        <w:rPr>
          <w:rFonts w:hAnsi="宋体"/>
        </w:rPr>
        <w:t>5.2.1.3.2</w:t>
      </w:r>
      <w:r>
        <w:rPr>
          <w:rFonts w:hint="eastAsia" w:hAnsi="宋体"/>
        </w:rPr>
        <w:t>和5</w:t>
      </w:r>
      <w:r>
        <w:rPr>
          <w:rFonts w:hAnsi="宋体"/>
        </w:rPr>
        <w:t>.2.5.2</w:t>
      </w:r>
      <w:r>
        <w:rPr>
          <w:rFonts w:hint="eastAsia" w:hAnsi="宋体"/>
        </w:rPr>
        <w:t>的要求。</w:t>
      </w:r>
    </w:p>
    <w:p>
      <w:pPr>
        <w:pStyle w:val="182"/>
      </w:pPr>
      <w:r>
        <w:rPr>
          <w:rFonts w:hint="eastAsia"/>
        </w:rPr>
        <w:t>对于有过压保护功能的系统，试验中功能由供需双方协商确定。</w:t>
      </w:r>
    </w:p>
    <w:p>
      <w:pPr>
        <w:pStyle w:val="101"/>
        <w:spacing w:before="156" w:after="156"/>
      </w:pPr>
      <w:r>
        <w:rPr>
          <w:rFonts w:hint="eastAsia"/>
        </w:rPr>
        <w:t>室温条件下</w:t>
      </w:r>
    </w:p>
    <w:p>
      <w:pPr>
        <w:pStyle w:val="232"/>
      </w:pPr>
      <w:r>
        <w:rPr>
          <w:rFonts w:hint="eastAsia" w:hAnsi="宋体"/>
        </w:rPr>
        <w:t>按照</w:t>
      </w:r>
      <w:r>
        <w:t>6</w:t>
      </w:r>
      <w:r>
        <w:rPr>
          <w:rFonts w:hint="eastAsia"/>
        </w:rPr>
        <w:t>.</w:t>
      </w:r>
      <w:r>
        <w:t>5</w:t>
      </w:r>
      <w:r>
        <w:rPr>
          <w:rFonts w:hint="eastAsia"/>
        </w:rPr>
        <w:t>.1.2.2</w:t>
      </w:r>
      <w:r>
        <w:rPr>
          <w:rFonts w:hint="eastAsia" w:hAnsi="宋体"/>
        </w:rPr>
        <w:t>进行试验，试验中和试验后</w:t>
      </w:r>
      <w:r>
        <w:rPr>
          <w:rFonts w:hint="eastAsia" w:hAnsi="宋体" w:cs="Arial"/>
        </w:rPr>
        <w:t>，</w:t>
      </w:r>
      <w:r>
        <w:rPr>
          <w:rFonts w:hint="eastAsia"/>
        </w:rPr>
        <w:t>车载卫星定位系统输出的位置、速度和时间</w:t>
      </w:r>
      <w:r>
        <w:rPr>
          <w:rFonts w:hint="eastAsia" w:hAnsi="宋体"/>
        </w:rPr>
        <w:t>应满足5</w:t>
      </w:r>
      <w:r>
        <w:rPr>
          <w:rFonts w:hAnsi="宋体"/>
        </w:rPr>
        <w:t>.2.1.2.2</w:t>
      </w:r>
      <w:r>
        <w:rPr>
          <w:rFonts w:hint="eastAsia" w:hAnsi="宋体"/>
        </w:rPr>
        <w:t>，</w:t>
      </w:r>
      <w:r>
        <w:rPr>
          <w:rFonts w:hAnsi="宋体"/>
        </w:rPr>
        <w:t>5.2.1.3.2</w:t>
      </w:r>
      <w:r>
        <w:rPr>
          <w:rFonts w:hint="eastAsia" w:hAnsi="宋体"/>
        </w:rPr>
        <w:t>和5</w:t>
      </w:r>
      <w:r>
        <w:rPr>
          <w:rFonts w:hAnsi="宋体"/>
        </w:rPr>
        <w:t>.2.5.2</w:t>
      </w:r>
      <w:r>
        <w:rPr>
          <w:rFonts w:hint="eastAsia" w:hAnsi="宋体"/>
        </w:rPr>
        <w:t>的要求。</w:t>
      </w:r>
    </w:p>
    <w:p>
      <w:pPr>
        <w:pStyle w:val="182"/>
      </w:pPr>
      <w:r>
        <w:rPr>
          <w:rFonts w:hint="eastAsia"/>
        </w:rPr>
        <w:t>对于有过压保护功能的系统，试验中功能由供需双方协商确定。</w:t>
      </w:r>
    </w:p>
    <w:p>
      <w:pPr>
        <w:pStyle w:val="97"/>
        <w:spacing w:before="156" w:after="156"/>
      </w:pPr>
      <w:r>
        <w:rPr>
          <w:rFonts w:hint="eastAsia"/>
        </w:rPr>
        <w:t>叠加交流电压</w:t>
      </w:r>
    </w:p>
    <w:p>
      <w:pPr>
        <w:pStyle w:val="59"/>
        <w:ind w:firstLine="420"/>
      </w:pPr>
      <w:r>
        <w:rPr>
          <w:rFonts w:hint="eastAsia"/>
        </w:rPr>
        <w:t>按照6.</w:t>
      </w:r>
      <w:r>
        <w:t>5</w:t>
      </w:r>
      <w:r>
        <w:rPr>
          <w:rFonts w:hint="eastAsia"/>
        </w:rPr>
        <w:t>.1.3进行试验，试验中和试验后，车载卫星定位系统输出的位置、速度和时间</w:t>
      </w:r>
      <w:r>
        <w:rPr>
          <w:rFonts w:hint="eastAsia" w:hAnsi="宋体"/>
        </w:rPr>
        <w:t>应满足5</w:t>
      </w:r>
      <w:r>
        <w:rPr>
          <w:rFonts w:hAnsi="宋体"/>
        </w:rPr>
        <w:t>.2.1.2.2</w:t>
      </w:r>
      <w:r>
        <w:rPr>
          <w:rFonts w:hint="eastAsia" w:hAnsi="宋体"/>
        </w:rPr>
        <w:t>，</w:t>
      </w:r>
      <w:r>
        <w:rPr>
          <w:rFonts w:hAnsi="宋体"/>
        </w:rPr>
        <w:t>5.2.1.3.2</w:t>
      </w:r>
      <w:r>
        <w:rPr>
          <w:rFonts w:hint="eastAsia" w:hAnsi="宋体"/>
        </w:rPr>
        <w:t>和5</w:t>
      </w:r>
      <w:r>
        <w:rPr>
          <w:rFonts w:hAnsi="宋体"/>
        </w:rPr>
        <w:t>.2.5.2</w:t>
      </w:r>
      <w:r>
        <w:rPr>
          <w:rFonts w:hint="eastAsia" w:hAnsi="宋体"/>
        </w:rPr>
        <w:t>的要求</w:t>
      </w:r>
      <w:r>
        <w:rPr>
          <w:rFonts w:hint="eastAsia"/>
        </w:rPr>
        <w:t>。</w:t>
      </w:r>
    </w:p>
    <w:p>
      <w:pPr>
        <w:pStyle w:val="97"/>
        <w:spacing w:before="156" w:after="156"/>
      </w:pPr>
      <w:r>
        <w:rPr>
          <w:rFonts w:hint="eastAsia"/>
        </w:rPr>
        <w:t>供电电压缓降和缓升</w:t>
      </w:r>
    </w:p>
    <w:p>
      <w:pPr>
        <w:pStyle w:val="59"/>
        <w:ind w:firstLine="420"/>
      </w:pPr>
      <w:r>
        <w:rPr>
          <w:rFonts w:hint="eastAsia"/>
        </w:rPr>
        <w:t>按照6.</w:t>
      </w:r>
      <w:r>
        <w:t>5</w:t>
      </w:r>
      <w:r>
        <w:rPr>
          <w:rFonts w:hint="eastAsia"/>
        </w:rPr>
        <w:t>.1.4进行试验，试验后，车载卫星定位系统输出的位置、速度和时间</w:t>
      </w:r>
      <w:r>
        <w:rPr>
          <w:rFonts w:hint="eastAsia" w:hAnsi="宋体"/>
        </w:rPr>
        <w:t>应满足5</w:t>
      </w:r>
      <w:r>
        <w:rPr>
          <w:rFonts w:hAnsi="宋体"/>
        </w:rPr>
        <w:t>.2.1.2.2</w:t>
      </w:r>
      <w:r>
        <w:rPr>
          <w:rFonts w:hint="eastAsia" w:hAnsi="宋体"/>
        </w:rPr>
        <w:t>，</w:t>
      </w:r>
      <w:r>
        <w:rPr>
          <w:rFonts w:hAnsi="宋体"/>
        </w:rPr>
        <w:t>5.2.1.3.2</w:t>
      </w:r>
      <w:r>
        <w:rPr>
          <w:rFonts w:hint="eastAsia" w:hAnsi="宋体"/>
        </w:rPr>
        <w:t>和5</w:t>
      </w:r>
      <w:r>
        <w:rPr>
          <w:rFonts w:hAnsi="宋体"/>
        </w:rPr>
        <w:t>.2.5.2</w:t>
      </w:r>
      <w:r>
        <w:rPr>
          <w:rFonts w:hint="eastAsia" w:hAnsi="宋体"/>
        </w:rPr>
        <w:t>的要求</w:t>
      </w:r>
      <w:r>
        <w:rPr>
          <w:rFonts w:hint="eastAsia"/>
        </w:rPr>
        <w:t>。</w:t>
      </w:r>
    </w:p>
    <w:p>
      <w:pPr>
        <w:pStyle w:val="97"/>
        <w:spacing w:before="156" w:after="156"/>
      </w:pPr>
      <w:r>
        <w:rPr>
          <w:rFonts w:hint="eastAsia"/>
        </w:rPr>
        <w:t>供电电压瞬态变化</w:t>
      </w:r>
    </w:p>
    <w:p>
      <w:pPr>
        <w:pStyle w:val="101"/>
        <w:spacing w:before="156" w:after="156"/>
      </w:pPr>
      <w:r>
        <w:rPr>
          <w:rFonts w:hint="eastAsia"/>
        </w:rPr>
        <w:t>电压瞬时下降</w:t>
      </w:r>
    </w:p>
    <w:p>
      <w:pPr>
        <w:pStyle w:val="59"/>
        <w:ind w:firstLine="420"/>
      </w:pPr>
      <w:r>
        <w:rPr>
          <w:rFonts w:hint="eastAsia"/>
        </w:rPr>
        <w:t>按照6.</w:t>
      </w:r>
      <w:r>
        <w:t>5</w:t>
      </w:r>
      <w:r>
        <w:rPr>
          <w:rFonts w:hint="eastAsia"/>
        </w:rPr>
        <w:t>.1.5.1进行试验，试验中和试验后，车载卫星定位系统输出的位置、速度和时间</w:t>
      </w:r>
      <w:r>
        <w:rPr>
          <w:rFonts w:hint="eastAsia" w:hAnsi="宋体"/>
        </w:rPr>
        <w:t>应满足5</w:t>
      </w:r>
      <w:r>
        <w:rPr>
          <w:rFonts w:hAnsi="宋体"/>
        </w:rPr>
        <w:t>.2.1.2.2</w:t>
      </w:r>
      <w:r>
        <w:rPr>
          <w:rFonts w:hint="eastAsia" w:hAnsi="宋体"/>
        </w:rPr>
        <w:t>，</w:t>
      </w:r>
      <w:r>
        <w:rPr>
          <w:rFonts w:hAnsi="宋体"/>
        </w:rPr>
        <w:t>5.2.1.3.2</w:t>
      </w:r>
      <w:r>
        <w:rPr>
          <w:rFonts w:hint="eastAsia" w:hAnsi="宋体"/>
        </w:rPr>
        <w:t>和5</w:t>
      </w:r>
      <w:r>
        <w:rPr>
          <w:rFonts w:hAnsi="宋体"/>
        </w:rPr>
        <w:t>.2.5.2</w:t>
      </w:r>
      <w:r>
        <w:rPr>
          <w:rFonts w:hint="eastAsia" w:hAnsi="宋体"/>
        </w:rPr>
        <w:t>的要求</w:t>
      </w:r>
      <w:r>
        <w:rPr>
          <w:rFonts w:hint="eastAsia"/>
        </w:rPr>
        <w:t>。</w:t>
      </w:r>
    </w:p>
    <w:p>
      <w:pPr>
        <w:pStyle w:val="101"/>
        <w:spacing w:before="156" w:after="156"/>
      </w:pPr>
      <w:r>
        <w:rPr>
          <w:rFonts w:hint="eastAsia"/>
        </w:rPr>
        <w:t>对电压骤降的复位性能</w:t>
      </w:r>
    </w:p>
    <w:p>
      <w:pPr>
        <w:pStyle w:val="59"/>
        <w:ind w:firstLine="420"/>
      </w:pPr>
      <w:r>
        <w:rPr>
          <w:rFonts w:hint="eastAsia"/>
        </w:rPr>
        <w:t>按照6.</w:t>
      </w:r>
      <w:r>
        <w:t>5</w:t>
      </w:r>
      <w:r>
        <w:rPr>
          <w:rFonts w:hint="eastAsia"/>
        </w:rPr>
        <w:t>.1.5.2进行试验，试验中电压恢复到U</w:t>
      </w:r>
      <w:r>
        <w:rPr>
          <w:rFonts w:hint="eastAsia"/>
          <w:vertAlign w:val="subscript"/>
        </w:rPr>
        <w:t>Smin</w:t>
      </w:r>
      <w:r>
        <w:rPr>
          <w:rFonts w:hint="eastAsia"/>
        </w:rPr>
        <w:t>时应具备定位、授时功能；试验后，车载卫星定位系统输出的位置、速度和时间</w:t>
      </w:r>
      <w:r>
        <w:rPr>
          <w:rFonts w:hint="eastAsia" w:hAnsi="宋体"/>
        </w:rPr>
        <w:t>应满足5</w:t>
      </w:r>
      <w:r>
        <w:rPr>
          <w:rFonts w:hAnsi="宋体"/>
        </w:rPr>
        <w:t>.2.1.2.2</w:t>
      </w:r>
      <w:r>
        <w:rPr>
          <w:rFonts w:hint="eastAsia" w:hAnsi="宋体"/>
        </w:rPr>
        <w:t>，</w:t>
      </w:r>
      <w:r>
        <w:rPr>
          <w:rFonts w:hAnsi="宋体"/>
        </w:rPr>
        <w:t>5.2.1.3.2</w:t>
      </w:r>
      <w:r>
        <w:rPr>
          <w:rFonts w:hint="eastAsia" w:hAnsi="宋体"/>
        </w:rPr>
        <w:t>和5</w:t>
      </w:r>
      <w:r>
        <w:rPr>
          <w:rFonts w:hAnsi="宋体"/>
        </w:rPr>
        <w:t>.2.5.2</w:t>
      </w:r>
      <w:r>
        <w:rPr>
          <w:rFonts w:hint="eastAsia" w:hAnsi="宋体"/>
        </w:rPr>
        <w:t>的要求</w:t>
      </w:r>
      <w:r>
        <w:rPr>
          <w:rFonts w:hint="eastAsia"/>
        </w:rPr>
        <w:t>。</w:t>
      </w:r>
    </w:p>
    <w:p>
      <w:pPr>
        <w:pStyle w:val="101"/>
        <w:spacing w:before="156" w:after="156"/>
      </w:pPr>
      <w:r>
        <w:rPr>
          <w:rFonts w:hint="eastAsia"/>
        </w:rPr>
        <w:t>启动特性</w:t>
      </w:r>
    </w:p>
    <w:p>
      <w:pPr>
        <w:pStyle w:val="59"/>
        <w:ind w:firstLine="420"/>
      </w:pPr>
      <w:r>
        <w:rPr>
          <w:rFonts w:hint="eastAsia"/>
        </w:rPr>
        <w:t>按照6.</w:t>
      </w:r>
      <w:r>
        <w:t>5</w:t>
      </w:r>
      <w:r>
        <w:rPr>
          <w:rFonts w:hint="eastAsia"/>
        </w:rPr>
        <w:t>.1.5.3进行试验，试验后，车载卫星定位系统输出的位置、速度和时间</w:t>
      </w:r>
      <w:r>
        <w:rPr>
          <w:rFonts w:hint="eastAsia" w:hAnsi="宋体"/>
        </w:rPr>
        <w:t>应满足5</w:t>
      </w:r>
      <w:r>
        <w:rPr>
          <w:rFonts w:hAnsi="宋体"/>
        </w:rPr>
        <w:t>.2.1.2.2</w:t>
      </w:r>
      <w:r>
        <w:rPr>
          <w:rFonts w:hint="eastAsia" w:hAnsi="宋体"/>
        </w:rPr>
        <w:t>，</w:t>
      </w:r>
      <w:r>
        <w:rPr>
          <w:rFonts w:hAnsi="宋体"/>
        </w:rPr>
        <w:t>5.2.1.3.2</w:t>
      </w:r>
      <w:r>
        <w:rPr>
          <w:rFonts w:hint="eastAsia" w:hAnsi="宋体"/>
        </w:rPr>
        <w:t>和5</w:t>
      </w:r>
      <w:r>
        <w:rPr>
          <w:rFonts w:hAnsi="宋体"/>
        </w:rPr>
        <w:t>.2.5.2</w:t>
      </w:r>
      <w:r>
        <w:rPr>
          <w:rFonts w:hint="eastAsia" w:hAnsi="宋体"/>
        </w:rPr>
        <w:t>的要求</w:t>
      </w:r>
      <w:r>
        <w:rPr>
          <w:rFonts w:hint="eastAsia"/>
        </w:rPr>
        <w:t>。</w:t>
      </w:r>
    </w:p>
    <w:p>
      <w:pPr>
        <w:pStyle w:val="101"/>
        <w:spacing w:before="156" w:after="156"/>
      </w:pPr>
      <w:r>
        <w:rPr>
          <w:rFonts w:hint="eastAsia"/>
        </w:rPr>
        <w:t>抛负载</w:t>
      </w:r>
    </w:p>
    <w:p>
      <w:pPr>
        <w:pStyle w:val="59"/>
        <w:ind w:firstLine="420"/>
      </w:pPr>
      <w:r>
        <w:rPr>
          <w:rFonts w:hint="eastAsia"/>
        </w:rPr>
        <w:t>按照6.</w:t>
      </w:r>
      <w:r>
        <w:t>5</w:t>
      </w:r>
      <w:r>
        <w:rPr>
          <w:rFonts w:hint="eastAsia"/>
        </w:rPr>
        <w:t>.1.5.4进行试验，试验后，车载卫星定位系统输出的位置、速度和时间</w:t>
      </w:r>
      <w:r>
        <w:rPr>
          <w:rFonts w:hint="eastAsia" w:hAnsi="宋体"/>
        </w:rPr>
        <w:t>应满足5</w:t>
      </w:r>
      <w:r>
        <w:rPr>
          <w:rFonts w:hAnsi="宋体"/>
        </w:rPr>
        <w:t>.2.1.2.2</w:t>
      </w:r>
      <w:r>
        <w:rPr>
          <w:rFonts w:hint="eastAsia" w:hAnsi="宋体"/>
        </w:rPr>
        <w:t>，</w:t>
      </w:r>
      <w:r>
        <w:rPr>
          <w:rFonts w:hAnsi="宋体"/>
        </w:rPr>
        <w:t>5.2.1.3.2</w:t>
      </w:r>
      <w:r>
        <w:rPr>
          <w:rFonts w:hint="eastAsia" w:hAnsi="宋体"/>
        </w:rPr>
        <w:t>和5</w:t>
      </w:r>
      <w:r>
        <w:rPr>
          <w:rFonts w:hAnsi="宋体"/>
        </w:rPr>
        <w:t>.2.5.2</w:t>
      </w:r>
      <w:r>
        <w:rPr>
          <w:rFonts w:hint="eastAsia" w:hAnsi="宋体"/>
        </w:rPr>
        <w:t>的要求</w:t>
      </w:r>
      <w:r>
        <w:rPr>
          <w:rFonts w:hint="eastAsia"/>
        </w:rPr>
        <w:t>。</w:t>
      </w:r>
    </w:p>
    <w:p>
      <w:pPr>
        <w:pStyle w:val="97"/>
        <w:spacing w:before="156" w:after="156"/>
      </w:pPr>
      <w:r>
        <w:rPr>
          <w:rFonts w:hint="eastAsia"/>
        </w:rPr>
        <w:t>反向电压</w:t>
      </w:r>
    </w:p>
    <w:p>
      <w:pPr>
        <w:pStyle w:val="59"/>
        <w:ind w:firstLine="420"/>
      </w:pPr>
      <w:r>
        <w:rPr>
          <w:rFonts w:hint="eastAsia"/>
        </w:rPr>
        <w:t>按照6.</w:t>
      </w:r>
      <w:r>
        <w:t>5</w:t>
      </w:r>
      <w:r>
        <w:rPr>
          <w:rFonts w:hint="eastAsia"/>
        </w:rPr>
        <w:t>.1.6进行试验，试验后，车载卫星定位系统输出的位置、速度和时间</w:t>
      </w:r>
      <w:r>
        <w:rPr>
          <w:rFonts w:hint="eastAsia" w:hAnsi="宋体"/>
        </w:rPr>
        <w:t>应满足5</w:t>
      </w:r>
      <w:r>
        <w:rPr>
          <w:rFonts w:hAnsi="宋体"/>
        </w:rPr>
        <w:t>.2.1.2.2</w:t>
      </w:r>
      <w:r>
        <w:rPr>
          <w:rFonts w:hint="eastAsia" w:hAnsi="宋体"/>
        </w:rPr>
        <w:t>，</w:t>
      </w:r>
      <w:r>
        <w:rPr>
          <w:rFonts w:hAnsi="宋体"/>
        </w:rPr>
        <w:t>5.2.1.3.2</w:t>
      </w:r>
      <w:r>
        <w:rPr>
          <w:rFonts w:hint="eastAsia" w:hAnsi="宋体"/>
        </w:rPr>
        <w:t>和5</w:t>
      </w:r>
      <w:r>
        <w:rPr>
          <w:rFonts w:hAnsi="宋体"/>
        </w:rPr>
        <w:t>.2.5.2</w:t>
      </w:r>
      <w:r>
        <w:rPr>
          <w:rFonts w:hint="eastAsia" w:hAnsi="宋体"/>
        </w:rPr>
        <w:t>的要求</w:t>
      </w:r>
      <w:r>
        <w:rPr>
          <w:rFonts w:hint="eastAsia"/>
        </w:rPr>
        <w:t>。</w:t>
      </w:r>
    </w:p>
    <w:p>
      <w:pPr>
        <w:pStyle w:val="97"/>
        <w:spacing w:before="156" w:after="156"/>
      </w:pPr>
      <w:r>
        <w:rPr>
          <w:rFonts w:hint="eastAsia"/>
        </w:rPr>
        <w:t>参考接地和供电偏移</w:t>
      </w:r>
    </w:p>
    <w:p>
      <w:pPr>
        <w:pStyle w:val="59"/>
        <w:ind w:firstLine="420"/>
      </w:pPr>
      <w:r>
        <w:rPr>
          <w:rFonts w:hint="eastAsia"/>
        </w:rPr>
        <w:t>按照6.</w:t>
      </w:r>
      <w:r>
        <w:t>5</w:t>
      </w:r>
      <w:r>
        <w:rPr>
          <w:rFonts w:hint="eastAsia"/>
        </w:rPr>
        <w:t>.1.7进行试验，试验中和试验后，车载卫星定位系统输出的位置、速度和时间</w:t>
      </w:r>
      <w:r>
        <w:rPr>
          <w:rFonts w:hint="eastAsia" w:hAnsi="宋体"/>
        </w:rPr>
        <w:t>应满足5</w:t>
      </w:r>
      <w:r>
        <w:rPr>
          <w:rFonts w:hAnsi="宋体"/>
        </w:rPr>
        <w:t>.2.1.2.2</w:t>
      </w:r>
      <w:r>
        <w:rPr>
          <w:rFonts w:hint="eastAsia" w:hAnsi="宋体"/>
        </w:rPr>
        <w:t>，</w:t>
      </w:r>
      <w:r>
        <w:rPr>
          <w:rFonts w:hAnsi="宋体"/>
        </w:rPr>
        <w:t>5.2.1.3.2</w:t>
      </w:r>
      <w:r>
        <w:rPr>
          <w:rFonts w:hint="eastAsia" w:hAnsi="宋体"/>
        </w:rPr>
        <w:t>和5</w:t>
      </w:r>
      <w:r>
        <w:rPr>
          <w:rFonts w:hAnsi="宋体"/>
        </w:rPr>
        <w:t>.2.5.2</w:t>
      </w:r>
      <w:r>
        <w:rPr>
          <w:rFonts w:hint="eastAsia" w:hAnsi="宋体"/>
        </w:rPr>
        <w:t>的要求</w:t>
      </w:r>
      <w:r>
        <w:rPr>
          <w:rFonts w:hint="eastAsia"/>
        </w:rPr>
        <w:t>。</w:t>
      </w:r>
    </w:p>
    <w:p>
      <w:pPr>
        <w:pStyle w:val="97"/>
        <w:spacing w:before="156" w:after="156"/>
      </w:pPr>
      <w:r>
        <w:rPr>
          <w:rFonts w:hint="eastAsia"/>
        </w:rPr>
        <w:t>开路</w:t>
      </w:r>
    </w:p>
    <w:p>
      <w:pPr>
        <w:pStyle w:val="101"/>
        <w:spacing w:before="156" w:after="156"/>
      </w:pPr>
      <w:r>
        <w:rPr>
          <w:rFonts w:hint="eastAsia"/>
        </w:rPr>
        <w:t>单线开路</w:t>
      </w:r>
    </w:p>
    <w:p>
      <w:pPr>
        <w:pStyle w:val="59"/>
        <w:ind w:firstLine="420"/>
      </w:pPr>
      <w:r>
        <w:rPr>
          <w:rFonts w:hint="eastAsia"/>
        </w:rPr>
        <w:t>按照6.</w:t>
      </w:r>
      <w:r>
        <w:t>5</w:t>
      </w:r>
      <w:r>
        <w:rPr>
          <w:rFonts w:hint="eastAsia"/>
        </w:rPr>
        <w:t>.1.8.1进行试验，试验后，车载卫星定位系统输出的位置、速度和时间</w:t>
      </w:r>
      <w:r>
        <w:rPr>
          <w:rFonts w:hint="eastAsia" w:hAnsi="宋体"/>
        </w:rPr>
        <w:t>应满足5</w:t>
      </w:r>
      <w:r>
        <w:rPr>
          <w:rFonts w:hAnsi="宋体"/>
        </w:rPr>
        <w:t>.2.1.2.2</w:t>
      </w:r>
      <w:r>
        <w:rPr>
          <w:rFonts w:hint="eastAsia" w:hAnsi="宋体"/>
        </w:rPr>
        <w:t>，</w:t>
      </w:r>
      <w:r>
        <w:rPr>
          <w:rFonts w:hAnsi="宋体"/>
        </w:rPr>
        <w:t>5.2.1.3.2</w:t>
      </w:r>
      <w:r>
        <w:rPr>
          <w:rFonts w:hint="eastAsia" w:hAnsi="宋体"/>
        </w:rPr>
        <w:t>和5</w:t>
      </w:r>
      <w:r>
        <w:rPr>
          <w:rFonts w:hAnsi="宋体"/>
        </w:rPr>
        <w:t>.2.5.2</w:t>
      </w:r>
      <w:r>
        <w:rPr>
          <w:rFonts w:hint="eastAsia" w:hAnsi="宋体"/>
        </w:rPr>
        <w:t>的要求</w:t>
      </w:r>
      <w:r>
        <w:rPr>
          <w:rFonts w:hint="eastAsia"/>
        </w:rPr>
        <w:t>。</w:t>
      </w:r>
    </w:p>
    <w:p>
      <w:pPr>
        <w:pStyle w:val="101"/>
        <w:spacing w:before="156" w:after="156"/>
      </w:pPr>
      <w:r>
        <w:rPr>
          <w:rFonts w:hint="eastAsia"/>
        </w:rPr>
        <w:t>多线开路</w:t>
      </w:r>
    </w:p>
    <w:p>
      <w:pPr>
        <w:pStyle w:val="59"/>
        <w:ind w:firstLine="420"/>
        <w:rPr>
          <w:rFonts w:hAnsi="宋体"/>
        </w:rPr>
      </w:pPr>
      <w:r>
        <w:rPr>
          <w:rFonts w:hint="eastAsia" w:hAnsi="宋体"/>
        </w:rPr>
        <w:t>按照</w:t>
      </w:r>
      <w:r>
        <w:t>6.5.1.8.2</w:t>
      </w:r>
      <w:r>
        <w:rPr>
          <w:rFonts w:hint="eastAsia" w:hAnsi="宋体"/>
        </w:rPr>
        <w:t>进行试验，试验后，</w:t>
      </w:r>
      <w:r>
        <w:rPr>
          <w:rFonts w:hint="eastAsia"/>
        </w:rPr>
        <w:t>车载卫星定位系统输出的位置、速度和时间</w:t>
      </w:r>
      <w:r>
        <w:rPr>
          <w:rFonts w:hint="eastAsia" w:hAnsi="宋体"/>
        </w:rPr>
        <w:t>应满足5</w:t>
      </w:r>
      <w:r>
        <w:rPr>
          <w:rFonts w:hAnsi="宋体"/>
        </w:rPr>
        <w:t>.2.1.2.2</w:t>
      </w:r>
      <w:r>
        <w:rPr>
          <w:rFonts w:hint="eastAsia" w:hAnsi="宋体"/>
        </w:rPr>
        <w:t>，</w:t>
      </w:r>
      <w:r>
        <w:rPr>
          <w:rFonts w:hAnsi="宋体"/>
        </w:rPr>
        <w:t>5.2.1.3.2</w:t>
      </w:r>
      <w:r>
        <w:rPr>
          <w:rFonts w:hint="eastAsia" w:hAnsi="宋体"/>
        </w:rPr>
        <w:t>和5</w:t>
      </w:r>
      <w:r>
        <w:rPr>
          <w:rFonts w:hAnsi="宋体"/>
        </w:rPr>
        <w:t>.2.5.2</w:t>
      </w:r>
      <w:r>
        <w:rPr>
          <w:rFonts w:hint="eastAsia" w:hAnsi="宋体"/>
        </w:rPr>
        <w:t>的要求。</w:t>
      </w:r>
    </w:p>
    <w:p>
      <w:pPr>
        <w:pStyle w:val="97"/>
        <w:spacing w:before="156" w:after="156"/>
      </w:pPr>
      <w:r>
        <w:rPr>
          <w:rFonts w:hint="eastAsia"/>
        </w:rPr>
        <w:t>短路保护</w:t>
      </w:r>
    </w:p>
    <w:p>
      <w:pPr>
        <w:pStyle w:val="59"/>
        <w:ind w:firstLine="420"/>
      </w:pPr>
      <w:r>
        <w:rPr>
          <w:rFonts w:hint="eastAsia" w:hAnsi="宋体"/>
        </w:rPr>
        <w:t>按照</w:t>
      </w:r>
      <w:r>
        <w:t>6.5.1.9</w:t>
      </w:r>
      <w:r>
        <w:rPr>
          <w:rFonts w:hint="eastAsia" w:hAnsi="宋体"/>
        </w:rPr>
        <w:t>进行试验，试验后，</w:t>
      </w:r>
      <w:r>
        <w:rPr>
          <w:rFonts w:hint="eastAsia"/>
        </w:rPr>
        <w:t>车载卫星定位系统输出的位置、速度和时间</w:t>
      </w:r>
      <w:r>
        <w:rPr>
          <w:rFonts w:hint="eastAsia" w:hAnsi="宋体"/>
        </w:rPr>
        <w:t>应满足5</w:t>
      </w:r>
      <w:r>
        <w:rPr>
          <w:rFonts w:hAnsi="宋体"/>
        </w:rPr>
        <w:t>.2.1.2.2</w:t>
      </w:r>
      <w:r>
        <w:rPr>
          <w:rFonts w:hint="eastAsia" w:hAnsi="宋体"/>
        </w:rPr>
        <w:t>，</w:t>
      </w:r>
      <w:r>
        <w:rPr>
          <w:rFonts w:hAnsi="宋体"/>
        </w:rPr>
        <w:t>5.2.1.3.2</w:t>
      </w:r>
      <w:r>
        <w:rPr>
          <w:rFonts w:hint="eastAsia" w:hAnsi="宋体"/>
        </w:rPr>
        <w:t>和5.2.5.2的要求。</w:t>
      </w:r>
    </w:p>
    <w:p>
      <w:pPr>
        <w:pStyle w:val="97"/>
        <w:spacing w:before="156" w:after="156"/>
      </w:pPr>
      <w:r>
        <w:rPr>
          <w:rFonts w:hint="eastAsia"/>
        </w:rPr>
        <w:t>绝缘电阻</w:t>
      </w:r>
    </w:p>
    <w:p>
      <w:pPr>
        <w:pStyle w:val="59"/>
        <w:ind w:firstLine="420"/>
        <w:rPr>
          <w:rFonts w:hAnsi="宋体" w:cs="Arial"/>
          <w:kern w:val="24"/>
        </w:rPr>
      </w:pPr>
      <w:r>
        <w:rPr>
          <w:rFonts w:hint="eastAsia" w:hAnsi="宋体"/>
        </w:rPr>
        <w:t>按照</w:t>
      </w:r>
      <w:r>
        <w:t>6.5.1.10</w:t>
      </w:r>
      <w:r>
        <w:rPr>
          <w:rFonts w:hint="eastAsia" w:hAnsi="宋体"/>
        </w:rPr>
        <w:t>进行试验，车载卫星定位系统的绝缘电阻应大于</w:t>
      </w:r>
      <w:r>
        <w:rPr>
          <w:rFonts w:hAnsi="宋体"/>
        </w:rPr>
        <w:t>10M</w:t>
      </w:r>
      <w:r>
        <w:rPr>
          <w:rFonts w:hint="eastAsia" w:hAnsi="宋体" w:cs="Arial"/>
          <w:kern w:val="24"/>
        </w:rPr>
        <w:t>Ω，试验后，</w:t>
      </w:r>
      <w:r>
        <w:rPr>
          <w:rFonts w:hint="eastAsia"/>
        </w:rPr>
        <w:t>车载卫星定位系统输出的位置、速度和时间</w:t>
      </w:r>
      <w:r>
        <w:rPr>
          <w:rFonts w:hint="eastAsia" w:hAnsi="宋体"/>
        </w:rPr>
        <w:t>应满足5</w:t>
      </w:r>
      <w:r>
        <w:rPr>
          <w:rFonts w:hAnsi="宋体"/>
        </w:rPr>
        <w:t>.2.1.2.2</w:t>
      </w:r>
      <w:r>
        <w:rPr>
          <w:rFonts w:hint="eastAsia" w:hAnsi="宋体"/>
        </w:rPr>
        <w:t>，</w:t>
      </w:r>
      <w:r>
        <w:rPr>
          <w:rFonts w:hAnsi="宋体"/>
        </w:rPr>
        <w:t>5.2.1.3.2</w:t>
      </w:r>
      <w:r>
        <w:rPr>
          <w:rFonts w:hint="eastAsia" w:hAnsi="宋体"/>
        </w:rPr>
        <w:t>和5.2.5.2的要求</w:t>
      </w:r>
      <w:r>
        <w:rPr>
          <w:rFonts w:hint="eastAsia" w:hAnsi="宋体" w:cs="Arial"/>
          <w:kern w:val="24"/>
        </w:rPr>
        <w:t>。</w:t>
      </w:r>
    </w:p>
    <w:p>
      <w:pPr>
        <w:pStyle w:val="68"/>
        <w:spacing w:before="156" w:after="156"/>
      </w:pPr>
      <w:r>
        <w:rPr>
          <w:rFonts w:hint="eastAsia"/>
        </w:rPr>
        <w:t>电磁兼容性</w:t>
      </w:r>
    </w:p>
    <w:p>
      <w:pPr>
        <w:pStyle w:val="97"/>
        <w:spacing w:before="156" w:after="156"/>
        <w:rPr>
          <w:rFonts w:hAnsi="黑体"/>
        </w:rPr>
      </w:pPr>
      <w:r>
        <w:rPr>
          <w:rFonts w:hint="eastAsia"/>
        </w:rPr>
        <w:t>无线电骚扰特性</w:t>
      </w:r>
    </w:p>
    <w:p>
      <w:pPr>
        <w:pStyle w:val="101"/>
        <w:spacing w:before="156" w:after="156"/>
      </w:pPr>
      <w:r>
        <w:rPr>
          <w:rFonts w:hint="eastAsia"/>
        </w:rPr>
        <w:t>传导发射</w:t>
      </w:r>
    </w:p>
    <w:p>
      <w:pPr>
        <w:pStyle w:val="59"/>
        <w:ind w:firstLine="420"/>
        <w:rPr>
          <w:rFonts w:hAnsi="宋体"/>
        </w:rPr>
      </w:pPr>
      <w:r>
        <w:rPr>
          <w:rFonts w:hint="eastAsia" w:hAnsi="宋体"/>
        </w:rPr>
        <w:t>按照6.</w:t>
      </w:r>
      <w:r>
        <w:rPr>
          <w:rFonts w:hAnsi="宋体"/>
        </w:rPr>
        <w:t>5</w:t>
      </w:r>
      <w:r>
        <w:rPr>
          <w:rFonts w:hint="eastAsia" w:hAnsi="宋体"/>
        </w:rPr>
        <w:t>.2.1.1进行试验，车载卫星定位系统应符合GB/T 18655-2018中表5和表6等级3的要求。</w:t>
      </w:r>
    </w:p>
    <w:p>
      <w:pPr>
        <w:pStyle w:val="101"/>
        <w:spacing w:before="156" w:after="156"/>
      </w:pPr>
      <w:r>
        <w:rPr>
          <w:rFonts w:hint="eastAsia"/>
        </w:rPr>
        <w:t>辐射发射</w:t>
      </w:r>
    </w:p>
    <w:p>
      <w:pPr>
        <w:ind w:firstLine="420" w:firstLineChars="200"/>
        <w:rPr>
          <w:rFonts w:ascii="宋体" w:hAnsi="宋体"/>
          <w:kern w:val="0"/>
        </w:rPr>
      </w:pPr>
      <w:r>
        <w:rPr>
          <w:rFonts w:hint="eastAsia" w:ascii="宋体" w:hAnsi="宋体"/>
          <w:kern w:val="0"/>
        </w:rPr>
        <w:t>按照6.</w:t>
      </w:r>
      <w:r>
        <w:rPr>
          <w:rFonts w:ascii="宋体" w:hAnsi="宋体"/>
          <w:kern w:val="0"/>
        </w:rPr>
        <w:t>5</w:t>
      </w:r>
      <w:r>
        <w:rPr>
          <w:rFonts w:hint="eastAsia" w:ascii="宋体" w:hAnsi="宋体"/>
          <w:kern w:val="0"/>
        </w:rPr>
        <w:t>.2.1.2进行试验，</w:t>
      </w:r>
      <w:r>
        <w:rPr>
          <w:rFonts w:hint="eastAsia" w:hAnsi="宋体"/>
        </w:rPr>
        <w:t>车载卫星定位系统</w:t>
      </w:r>
      <w:r>
        <w:rPr>
          <w:rFonts w:hint="eastAsia" w:ascii="宋体" w:hAnsi="宋体"/>
          <w:kern w:val="0"/>
        </w:rPr>
        <w:t>应符合GB/T 18655-2018中表7等级3的要求。</w:t>
      </w:r>
    </w:p>
    <w:p>
      <w:pPr>
        <w:pStyle w:val="97"/>
        <w:spacing w:before="156" w:after="156"/>
      </w:pPr>
      <w:r>
        <w:rPr>
          <w:rFonts w:hint="eastAsia"/>
        </w:rPr>
        <w:t>对由传导和耦合引起的电骚扰抗扰试验</w:t>
      </w:r>
    </w:p>
    <w:p>
      <w:pPr>
        <w:pStyle w:val="101"/>
        <w:spacing w:before="156" w:after="156"/>
      </w:pPr>
      <w:r>
        <w:rPr>
          <w:rFonts w:hint="eastAsia"/>
        </w:rPr>
        <w:t>沿电源线的电瞬态传导抗扰</w:t>
      </w:r>
    </w:p>
    <w:p>
      <w:pPr>
        <w:pStyle w:val="59"/>
        <w:ind w:firstLine="420"/>
      </w:pPr>
      <w:r>
        <w:rPr>
          <w:rFonts w:hint="eastAsia"/>
        </w:rPr>
        <w:t>按照6.</w:t>
      </w:r>
      <w:r>
        <w:t>5</w:t>
      </w:r>
      <w:r>
        <w:rPr>
          <w:rFonts w:hint="eastAsia"/>
        </w:rPr>
        <w:t>.2.2.1进行试验，抗扰试验等级和试验要求应符合表</w:t>
      </w:r>
      <w:r>
        <w:t>2</w:t>
      </w:r>
      <w:r>
        <w:rPr>
          <w:rFonts w:hint="eastAsia"/>
        </w:rPr>
        <w:t>的规定。</w:t>
      </w:r>
    </w:p>
    <w:p>
      <w:pPr>
        <w:pStyle w:val="115"/>
        <w:spacing w:before="156" w:after="156"/>
      </w:pPr>
      <w:r>
        <w:rPr>
          <w:rFonts w:hint="eastAsia"/>
        </w:rPr>
        <w:t>沿电源线瞬态传导的抗扰性能</w:t>
      </w:r>
    </w:p>
    <w:tbl>
      <w:tblPr>
        <w:tblStyle w:val="36"/>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91"/>
        <w:gridCol w:w="2268"/>
        <w:gridCol w:w="53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1691" w:type="dxa"/>
            <w:tcBorders>
              <w:top w:val="single" w:color="auto" w:sz="8" w:space="0"/>
              <w:bottom w:val="single" w:color="auto" w:sz="8" w:space="0"/>
            </w:tcBorders>
            <w:shd w:val="clear" w:color="auto" w:fill="auto"/>
          </w:tcPr>
          <w:p>
            <w:pPr>
              <w:pStyle w:val="181"/>
            </w:pPr>
            <w:r>
              <w:rPr>
                <w:rFonts w:hint="eastAsia" w:hAnsi="宋体"/>
              </w:rPr>
              <w:t>试验脉冲</w:t>
            </w:r>
          </w:p>
        </w:tc>
        <w:tc>
          <w:tcPr>
            <w:tcW w:w="2268" w:type="dxa"/>
            <w:tcBorders>
              <w:top w:val="single" w:color="auto" w:sz="8" w:space="0"/>
              <w:bottom w:val="single" w:color="auto" w:sz="8" w:space="0"/>
            </w:tcBorders>
            <w:shd w:val="clear" w:color="auto" w:fill="auto"/>
          </w:tcPr>
          <w:p>
            <w:pPr>
              <w:pStyle w:val="181"/>
            </w:pPr>
            <w:r>
              <w:rPr>
                <w:rFonts w:hint="eastAsia" w:hAnsi="宋体"/>
              </w:rPr>
              <w:t>抗扰试验等级</w:t>
            </w:r>
          </w:p>
        </w:tc>
        <w:tc>
          <w:tcPr>
            <w:tcW w:w="5375" w:type="dxa"/>
            <w:tcBorders>
              <w:top w:val="single" w:color="auto" w:sz="8" w:space="0"/>
              <w:bottom w:val="single" w:color="auto" w:sz="8" w:space="0"/>
            </w:tcBorders>
            <w:shd w:val="clear" w:color="auto" w:fill="auto"/>
          </w:tcPr>
          <w:p>
            <w:pPr>
              <w:pStyle w:val="181"/>
            </w:pPr>
            <w:r>
              <w:rPr>
                <w:rFonts w:hint="eastAsia" w:hAnsi="宋体"/>
              </w:rPr>
              <w:t>试验要求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91" w:type="dxa"/>
            <w:tcBorders>
              <w:top w:val="single" w:color="auto" w:sz="8" w:space="0"/>
            </w:tcBorders>
            <w:shd w:val="clear" w:color="auto" w:fill="auto"/>
            <w:vAlign w:val="center"/>
          </w:tcPr>
          <w:p>
            <w:pPr>
              <w:pStyle w:val="181"/>
            </w:pPr>
            <w:r>
              <w:rPr>
                <w:rFonts w:hint="eastAsia" w:hAnsi="宋体"/>
              </w:rPr>
              <w:t>1</w:t>
            </w:r>
          </w:p>
        </w:tc>
        <w:tc>
          <w:tcPr>
            <w:tcW w:w="2268" w:type="dxa"/>
            <w:tcBorders>
              <w:top w:val="single" w:color="auto" w:sz="8" w:space="0"/>
            </w:tcBorders>
            <w:shd w:val="clear" w:color="auto" w:fill="auto"/>
            <w:vAlign w:val="center"/>
          </w:tcPr>
          <w:p>
            <w:pPr>
              <w:pStyle w:val="181"/>
            </w:pPr>
            <w:r>
              <w:rPr>
                <w:rFonts w:hint="eastAsia" w:hAnsi="宋体"/>
              </w:rPr>
              <w:t>III</w:t>
            </w:r>
          </w:p>
        </w:tc>
        <w:tc>
          <w:tcPr>
            <w:tcW w:w="5375" w:type="dxa"/>
            <w:tcBorders>
              <w:top w:val="single" w:color="auto" w:sz="8" w:space="0"/>
            </w:tcBorders>
            <w:shd w:val="clear" w:color="auto" w:fill="auto"/>
          </w:tcPr>
          <w:p>
            <w:pPr>
              <w:pStyle w:val="181"/>
            </w:pPr>
            <w:r>
              <w:rPr>
                <w:rFonts w:hint="eastAsia" w:hAnsi="宋体"/>
              </w:rPr>
              <w:t>试验后，</w:t>
            </w:r>
            <w:r>
              <w:rPr>
                <w:rFonts w:hint="eastAsia"/>
              </w:rPr>
              <w:t>车载卫星定位系统输出的位置、速度和时间</w:t>
            </w:r>
            <w:r>
              <w:rPr>
                <w:rFonts w:hint="eastAsia" w:hAnsi="宋体"/>
              </w:rPr>
              <w:t>应满足5</w:t>
            </w:r>
            <w:r>
              <w:rPr>
                <w:rFonts w:hAnsi="宋体"/>
              </w:rPr>
              <w:t>.2.1.2.2</w:t>
            </w:r>
            <w:r>
              <w:rPr>
                <w:rFonts w:hint="eastAsia" w:hAnsi="宋体"/>
              </w:rPr>
              <w:t>，</w:t>
            </w:r>
            <w:r>
              <w:rPr>
                <w:rFonts w:hAnsi="宋体"/>
              </w:rPr>
              <w:t>5.2.1.3.2</w:t>
            </w:r>
            <w:r>
              <w:rPr>
                <w:rFonts w:hint="eastAsia" w:hAnsi="宋体"/>
              </w:rPr>
              <w:t>和5.2.5.2的要求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91" w:type="dxa"/>
            <w:shd w:val="clear" w:color="auto" w:fill="auto"/>
            <w:vAlign w:val="center"/>
          </w:tcPr>
          <w:p>
            <w:pPr>
              <w:pStyle w:val="181"/>
            </w:pPr>
            <w:r>
              <w:rPr>
                <w:rFonts w:hint="eastAsia" w:hAnsi="宋体"/>
              </w:rPr>
              <w:t>2a</w:t>
            </w:r>
          </w:p>
        </w:tc>
        <w:tc>
          <w:tcPr>
            <w:tcW w:w="2268" w:type="dxa"/>
            <w:shd w:val="clear" w:color="auto" w:fill="auto"/>
            <w:vAlign w:val="center"/>
          </w:tcPr>
          <w:p>
            <w:pPr>
              <w:pStyle w:val="181"/>
            </w:pPr>
            <w:r>
              <w:rPr>
                <w:rFonts w:hint="eastAsia" w:hAnsi="宋体"/>
              </w:rPr>
              <w:t>III</w:t>
            </w:r>
          </w:p>
        </w:tc>
        <w:tc>
          <w:tcPr>
            <w:tcW w:w="5375" w:type="dxa"/>
            <w:shd w:val="clear" w:color="auto" w:fill="auto"/>
          </w:tcPr>
          <w:p>
            <w:pPr>
              <w:pStyle w:val="181"/>
            </w:pPr>
            <w:r>
              <w:rPr>
                <w:rFonts w:hint="eastAsia" w:hAnsi="宋体"/>
              </w:rPr>
              <w:t>试验中和试验后，</w:t>
            </w:r>
            <w:r>
              <w:rPr>
                <w:rFonts w:hint="eastAsia"/>
              </w:rPr>
              <w:t>车载卫星定位系统输出的位置、速度和时间</w:t>
            </w:r>
            <w:r>
              <w:rPr>
                <w:rFonts w:hint="eastAsia" w:hAnsi="宋体"/>
              </w:rPr>
              <w:t>应满足5</w:t>
            </w:r>
            <w:r>
              <w:rPr>
                <w:rFonts w:hAnsi="宋体"/>
              </w:rPr>
              <w:t>.2.1.2.2</w:t>
            </w:r>
            <w:r>
              <w:rPr>
                <w:rFonts w:hint="eastAsia" w:hAnsi="宋体"/>
              </w:rPr>
              <w:t>，</w:t>
            </w:r>
            <w:r>
              <w:rPr>
                <w:rFonts w:hAnsi="宋体"/>
              </w:rPr>
              <w:t>5.2.1.3.2</w:t>
            </w:r>
            <w:r>
              <w:rPr>
                <w:rFonts w:hint="eastAsia" w:hAnsi="宋体"/>
              </w:rPr>
              <w:t>和5.2.5.2的要求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91" w:type="dxa"/>
            <w:shd w:val="clear" w:color="auto" w:fill="auto"/>
            <w:vAlign w:val="center"/>
          </w:tcPr>
          <w:p>
            <w:pPr>
              <w:pStyle w:val="181"/>
              <w:rPr>
                <w:rFonts w:hAnsi="宋体"/>
              </w:rPr>
            </w:pPr>
            <w:r>
              <w:rPr>
                <w:rFonts w:hint="eastAsia" w:hAnsi="宋体"/>
              </w:rPr>
              <w:t>2b</w:t>
            </w:r>
          </w:p>
        </w:tc>
        <w:tc>
          <w:tcPr>
            <w:tcW w:w="2268" w:type="dxa"/>
            <w:shd w:val="clear" w:color="auto" w:fill="auto"/>
            <w:vAlign w:val="center"/>
          </w:tcPr>
          <w:p>
            <w:pPr>
              <w:pStyle w:val="181"/>
              <w:rPr>
                <w:rFonts w:hAnsi="宋体"/>
              </w:rPr>
            </w:pPr>
            <w:r>
              <w:rPr>
                <w:rFonts w:hint="eastAsia" w:hAnsi="宋体"/>
              </w:rPr>
              <w:t>III</w:t>
            </w:r>
          </w:p>
        </w:tc>
        <w:tc>
          <w:tcPr>
            <w:tcW w:w="5375" w:type="dxa"/>
            <w:shd w:val="clear" w:color="auto" w:fill="auto"/>
          </w:tcPr>
          <w:p>
            <w:pPr>
              <w:pStyle w:val="181"/>
              <w:rPr>
                <w:rFonts w:hAnsi="宋体"/>
              </w:rPr>
            </w:pPr>
            <w:r>
              <w:rPr>
                <w:rFonts w:hint="eastAsia" w:hAnsi="宋体"/>
              </w:rPr>
              <w:t>试验后，</w:t>
            </w:r>
            <w:r>
              <w:rPr>
                <w:rFonts w:hint="eastAsia"/>
              </w:rPr>
              <w:t>车载卫星定位系统输出的位置、速度和时间</w:t>
            </w:r>
            <w:r>
              <w:rPr>
                <w:rFonts w:hint="eastAsia" w:hAnsi="宋体"/>
              </w:rPr>
              <w:t>应满足5</w:t>
            </w:r>
            <w:r>
              <w:rPr>
                <w:rFonts w:hAnsi="宋体"/>
              </w:rPr>
              <w:t>.2.1.2.2</w:t>
            </w:r>
            <w:r>
              <w:rPr>
                <w:rFonts w:hint="eastAsia" w:hAnsi="宋体"/>
              </w:rPr>
              <w:t>，</w:t>
            </w:r>
            <w:r>
              <w:rPr>
                <w:rFonts w:hAnsi="宋体"/>
              </w:rPr>
              <w:t>5.2.1.3.2</w:t>
            </w:r>
            <w:r>
              <w:rPr>
                <w:rFonts w:hint="eastAsia" w:hAnsi="宋体"/>
              </w:rPr>
              <w:t>和5.2.5.2的要求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91" w:type="dxa"/>
            <w:tcBorders>
              <w:bottom w:val="single" w:color="auto" w:sz="8" w:space="0"/>
            </w:tcBorders>
            <w:shd w:val="clear" w:color="auto" w:fill="auto"/>
            <w:vAlign w:val="center"/>
          </w:tcPr>
          <w:p>
            <w:pPr>
              <w:pStyle w:val="181"/>
            </w:pPr>
            <w:r>
              <w:rPr>
                <w:rFonts w:hint="eastAsia" w:hAnsi="宋体"/>
              </w:rPr>
              <w:t>3a/3b</w:t>
            </w:r>
          </w:p>
        </w:tc>
        <w:tc>
          <w:tcPr>
            <w:tcW w:w="2268" w:type="dxa"/>
            <w:tcBorders>
              <w:bottom w:val="single" w:color="auto" w:sz="8" w:space="0"/>
            </w:tcBorders>
            <w:shd w:val="clear" w:color="auto" w:fill="auto"/>
            <w:vAlign w:val="center"/>
          </w:tcPr>
          <w:p>
            <w:pPr>
              <w:pStyle w:val="181"/>
            </w:pPr>
            <w:r>
              <w:rPr>
                <w:rFonts w:hint="eastAsia" w:hAnsi="宋体"/>
              </w:rPr>
              <w:t>III</w:t>
            </w:r>
          </w:p>
        </w:tc>
        <w:tc>
          <w:tcPr>
            <w:tcW w:w="5375" w:type="dxa"/>
            <w:tcBorders>
              <w:bottom w:val="single" w:color="auto" w:sz="8" w:space="0"/>
            </w:tcBorders>
            <w:shd w:val="clear" w:color="auto" w:fill="auto"/>
          </w:tcPr>
          <w:p>
            <w:pPr>
              <w:pStyle w:val="181"/>
            </w:pPr>
            <w:r>
              <w:rPr>
                <w:rFonts w:hint="eastAsia" w:hAnsi="宋体"/>
              </w:rPr>
              <w:t>试验后，</w:t>
            </w:r>
            <w:r>
              <w:rPr>
                <w:rFonts w:hint="eastAsia"/>
              </w:rPr>
              <w:t>车载卫星定位系统输出的位置、速度和时间</w:t>
            </w:r>
            <w:r>
              <w:rPr>
                <w:rFonts w:hint="eastAsia" w:hAnsi="宋体"/>
              </w:rPr>
              <w:t>应满足5</w:t>
            </w:r>
            <w:r>
              <w:rPr>
                <w:rFonts w:hAnsi="宋体"/>
              </w:rPr>
              <w:t>.2.1.2.2</w:t>
            </w:r>
            <w:r>
              <w:rPr>
                <w:rFonts w:hint="eastAsia" w:hAnsi="宋体"/>
              </w:rPr>
              <w:t>，</w:t>
            </w:r>
            <w:r>
              <w:rPr>
                <w:rFonts w:hAnsi="宋体"/>
              </w:rPr>
              <w:t>5.2.1.3.2</w:t>
            </w:r>
            <w:r>
              <w:rPr>
                <w:rFonts w:hint="eastAsia" w:hAnsi="宋体"/>
              </w:rPr>
              <w:t>和5.2.5.2的要求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334" w:type="dxa"/>
            <w:gridSpan w:val="3"/>
            <w:tcBorders>
              <w:top w:val="single" w:color="auto" w:sz="8" w:space="0"/>
              <w:bottom w:val="single" w:color="auto" w:sz="8" w:space="0"/>
            </w:tcBorders>
            <w:shd w:val="clear" w:color="auto" w:fill="auto"/>
            <w:vAlign w:val="center"/>
          </w:tcPr>
          <w:p>
            <w:pPr>
              <w:pStyle w:val="182"/>
            </w:pPr>
            <w:r>
              <w:rPr>
                <w:rFonts w:hint="eastAsia"/>
              </w:rPr>
              <w:t>抗扰试验等级定义参见GB/T 21437.2-</w:t>
            </w:r>
            <w:r>
              <w:t>2008</w:t>
            </w:r>
            <w:r>
              <w:rPr>
                <w:rFonts w:hint="eastAsia"/>
              </w:rPr>
              <w:t>的附录A。</w:t>
            </w:r>
          </w:p>
        </w:tc>
      </w:tr>
    </w:tbl>
    <w:p>
      <w:pPr>
        <w:pStyle w:val="101"/>
        <w:spacing w:before="156" w:after="156"/>
      </w:pPr>
      <w:r>
        <w:rPr>
          <w:rFonts w:hint="eastAsia"/>
        </w:rPr>
        <w:t>除电源线外的导线通过容性耦合的电瞬态抗扰</w:t>
      </w:r>
    </w:p>
    <w:p>
      <w:pPr>
        <w:pStyle w:val="232"/>
      </w:pPr>
      <w:r>
        <w:rPr>
          <w:rFonts w:hint="eastAsia"/>
        </w:rPr>
        <w:t>按照</w:t>
      </w:r>
      <w:r>
        <w:rPr>
          <w:rFonts w:hint="eastAsia" w:hAnsi="宋体"/>
        </w:rPr>
        <w:t>6.</w:t>
      </w:r>
      <w:r>
        <w:rPr>
          <w:rFonts w:hAnsi="宋体"/>
        </w:rPr>
        <w:t>5</w:t>
      </w:r>
      <w:r>
        <w:rPr>
          <w:rFonts w:hint="eastAsia" w:hAnsi="宋体"/>
        </w:rPr>
        <w:t>.2.2.2</w:t>
      </w:r>
      <w:r>
        <w:rPr>
          <w:rFonts w:hint="eastAsia"/>
        </w:rPr>
        <w:t>进行试验，试验中和试验后，车载卫星定位系统输出的位置、速度和时间</w:t>
      </w:r>
      <w:r>
        <w:rPr>
          <w:rFonts w:hint="eastAsia" w:hAnsi="宋体"/>
        </w:rPr>
        <w:t>应满足5</w:t>
      </w:r>
      <w:r>
        <w:rPr>
          <w:rFonts w:hAnsi="宋体"/>
        </w:rPr>
        <w:t>.2.1.2.2</w:t>
      </w:r>
      <w:r>
        <w:rPr>
          <w:rFonts w:hint="eastAsia" w:hAnsi="宋体"/>
        </w:rPr>
        <w:t>，</w:t>
      </w:r>
      <w:r>
        <w:rPr>
          <w:rFonts w:hAnsi="宋体"/>
        </w:rPr>
        <w:t>5.2.1.3.2</w:t>
      </w:r>
      <w:r>
        <w:rPr>
          <w:rFonts w:hint="eastAsia" w:hAnsi="宋体"/>
        </w:rPr>
        <w:t>和5.2.5.2的要求</w:t>
      </w:r>
      <w:r>
        <w:rPr>
          <w:rFonts w:hint="eastAsia"/>
        </w:rPr>
        <w:t>。</w:t>
      </w:r>
    </w:p>
    <w:p>
      <w:pPr>
        <w:pStyle w:val="97"/>
        <w:spacing w:before="156" w:after="156"/>
      </w:pPr>
      <w:r>
        <w:rPr>
          <w:rFonts w:hint="eastAsia"/>
        </w:rPr>
        <w:t>对电磁辐射的抗扰</w:t>
      </w:r>
    </w:p>
    <w:p>
      <w:pPr>
        <w:pStyle w:val="232"/>
      </w:pPr>
      <w:r>
        <w:rPr>
          <w:rFonts w:hint="eastAsia"/>
        </w:rPr>
        <w:t>按照</w:t>
      </w:r>
      <w:r>
        <w:rPr>
          <w:rFonts w:hint="eastAsia" w:hAnsi="宋体"/>
        </w:rPr>
        <w:t>6.</w:t>
      </w:r>
      <w:r>
        <w:rPr>
          <w:rFonts w:hAnsi="宋体"/>
        </w:rPr>
        <w:t>5</w:t>
      </w:r>
      <w:r>
        <w:rPr>
          <w:rFonts w:hint="eastAsia" w:hAnsi="宋体"/>
        </w:rPr>
        <w:t>.2.3</w:t>
      </w:r>
      <w:r>
        <w:rPr>
          <w:rFonts w:hint="eastAsia"/>
        </w:rPr>
        <w:t>进行试验，试验中和试验后，车载卫星定位系统输出的位置、速度和时间</w:t>
      </w:r>
      <w:r>
        <w:rPr>
          <w:rFonts w:hint="eastAsia" w:hAnsi="宋体"/>
        </w:rPr>
        <w:t>应满足5</w:t>
      </w:r>
      <w:r>
        <w:rPr>
          <w:rFonts w:hAnsi="宋体"/>
        </w:rPr>
        <w:t>.2.1.2.2</w:t>
      </w:r>
      <w:r>
        <w:rPr>
          <w:rFonts w:hint="eastAsia" w:hAnsi="宋体"/>
        </w:rPr>
        <w:t>，</w:t>
      </w:r>
      <w:r>
        <w:rPr>
          <w:rFonts w:hAnsi="宋体"/>
        </w:rPr>
        <w:t>5.2.1.3.2</w:t>
      </w:r>
      <w:r>
        <w:rPr>
          <w:rFonts w:hint="eastAsia" w:hAnsi="宋体"/>
        </w:rPr>
        <w:t>和5.2.5.2的要求</w:t>
      </w:r>
      <w:r>
        <w:rPr>
          <w:rFonts w:hint="eastAsia"/>
        </w:rPr>
        <w:t>。</w:t>
      </w:r>
    </w:p>
    <w:p>
      <w:pPr>
        <w:pStyle w:val="97"/>
        <w:spacing w:before="156" w:after="156"/>
      </w:pPr>
      <w:r>
        <w:rPr>
          <w:rFonts w:hint="eastAsia"/>
        </w:rPr>
        <w:t>对静电放电产生的电骚扰抗扰</w:t>
      </w:r>
    </w:p>
    <w:p>
      <w:pPr>
        <w:pStyle w:val="101"/>
        <w:spacing w:before="156" w:after="156"/>
      </w:pPr>
      <w:r>
        <w:rPr>
          <w:rFonts w:hint="eastAsia"/>
        </w:rPr>
        <w:t>车载卫星定位系统不通电</w:t>
      </w:r>
    </w:p>
    <w:p>
      <w:pPr>
        <w:pStyle w:val="232"/>
      </w:pPr>
      <w:r>
        <w:rPr>
          <w:rFonts w:hint="eastAsia"/>
        </w:rPr>
        <w:t>按照6.</w:t>
      </w:r>
      <w:r>
        <w:t>5</w:t>
      </w:r>
      <w:r>
        <w:rPr>
          <w:rFonts w:hint="eastAsia"/>
        </w:rPr>
        <w:t>.2.4.1进行试验，试验后，车载卫星定位系统输出的位置、速度和时间</w:t>
      </w:r>
      <w:r>
        <w:rPr>
          <w:rFonts w:hint="eastAsia" w:hAnsi="宋体"/>
        </w:rPr>
        <w:t>应满足5</w:t>
      </w:r>
      <w:r>
        <w:rPr>
          <w:rFonts w:hAnsi="宋体"/>
        </w:rPr>
        <w:t>.2.1.2.2</w:t>
      </w:r>
      <w:r>
        <w:rPr>
          <w:rFonts w:hint="eastAsia" w:hAnsi="宋体"/>
        </w:rPr>
        <w:t>，</w:t>
      </w:r>
      <w:r>
        <w:rPr>
          <w:rFonts w:hAnsi="宋体"/>
        </w:rPr>
        <w:t>5.2.1.3.2</w:t>
      </w:r>
      <w:r>
        <w:rPr>
          <w:rFonts w:hint="eastAsia" w:hAnsi="宋体"/>
        </w:rPr>
        <w:t>和5.2.5.2的要求</w:t>
      </w:r>
      <w:r>
        <w:rPr>
          <w:rFonts w:hint="eastAsia"/>
        </w:rPr>
        <w:t>。</w:t>
      </w:r>
    </w:p>
    <w:p>
      <w:pPr>
        <w:pStyle w:val="101"/>
        <w:spacing w:before="156" w:after="156"/>
      </w:pPr>
      <w:r>
        <w:rPr>
          <w:rFonts w:hint="eastAsia"/>
        </w:rPr>
        <w:t>车载卫星定位系统通电</w:t>
      </w:r>
    </w:p>
    <w:p>
      <w:pPr>
        <w:pStyle w:val="232"/>
      </w:pPr>
      <w:r>
        <w:rPr>
          <w:rFonts w:hint="eastAsia"/>
        </w:rPr>
        <w:t>按照6.</w:t>
      </w:r>
      <w:r>
        <w:t>5</w:t>
      </w:r>
      <w:r>
        <w:rPr>
          <w:rFonts w:hint="eastAsia"/>
        </w:rPr>
        <w:t>.2.4.2进行试验，试验中和试验后，车载卫星定位系统输出的位置、速度和时间</w:t>
      </w:r>
      <w:r>
        <w:rPr>
          <w:rFonts w:hint="eastAsia" w:hAnsi="宋体"/>
        </w:rPr>
        <w:t>应满足5</w:t>
      </w:r>
      <w:r>
        <w:rPr>
          <w:rFonts w:hAnsi="宋体"/>
        </w:rPr>
        <w:t>.2.1.2.2</w:t>
      </w:r>
      <w:r>
        <w:rPr>
          <w:rFonts w:hint="eastAsia" w:hAnsi="宋体"/>
        </w:rPr>
        <w:t>，</w:t>
      </w:r>
      <w:r>
        <w:rPr>
          <w:rFonts w:hAnsi="宋体"/>
        </w:rPr>
        <w:t>5.2.1.3.2</w:t>
      </w:r>
      <w:r>
        <w:rPr>
          <w:rFonts w:hint="eastAsia" w:hAnsi="宋体"/>
        </w:rPr>
        <w:t>和5.2.5.2的要求</w:t>
      </w:r>
      <w:r>
        <w:rPr>
          <w:rFonts w:hint="eastAsia"/>
        </w:rPr>
        <w:t>。</w:t>
      </w:r>
    </w:p>
    <w:p>
      <w:pPr>
        <w:pStyle w:val="68"/>
        <w:spacing w:before="156" w:after="156"/>
      </w:pPr>
      <w:r>
        <w:rPr>
          <w:rFonts w:hint="eastAsia"/>
        </w:rPr>
        <w:t>机械性能</w:t>
      </w:r>
    </w:p>
    <w:p>
      <w:pPr>
        <w:pStyle w:val="97"/>
        <w:spacing w:before="156" w:after="156"/>
      </w:pPr>
      <w:r>
        <w:rPr>
          <w:rFonts w:hint="eastAsia"/>
        </w:rPr>
        <w:t>机械振动</w:t>
      </w:r>
    </w:p>
    <w:p>
      <w:pPr>
        <w:pStyle w:val="232"/>
      </w:pPr>
      <w:r>
        <w:rPr>
          <w:rFonts w:hint="eastAsia" w:hAnsi="宋体"/>
        </w:rPr>
        <w:t>按照</w:t>
      </w:r>
      <w:r>
        <w:rPr>
          <w:rFonts w:hint="eastAsia"/>
        </w:rPr>
        <w:t>6.</w:t>
      </w:r>
      <w:r>
        <w:t>5</w:t>
      </w:r>
      <w:r>
        <w:rPr>
          <w:rFonts w:hint="eastAsia"/>
        </w:rPr>
        <w:t>.3.1</w:t>
      </w:r>
      <w:r>
        <w:rPr>
          <w:rFonts w:hint="eastAsia" w:hAnsi="宋体"/>
        </w:rPr>
        <w:t>进行试验，试验中和试验后，不允许损坏，</w:t>
      </w:r>
      <w:r>
        <w:rPr>
          <w:rFonts w:hint="eastAsia"/>
        </w:rPr>
        <w:t>车载卫星定位系统输出的位置、速度和时间</w:t>
      </w:r>
      <w:r>
        <w:rPr>
          <w:rFonts w:hint="eastAsia" w:hAnsi="宋体"/>
        </w:rPr>
        <w:t>应满足5</w:t>
      </w:r>
      <w:r>
        <w:rPr>
          <w:rFonts w:hAnsi="宋体"/>
        </w:rPr>
        <w:t>.2.1.2.2</w:t>
      </w:r>
      <w:r>
        <w:rPr>
          <w:rFonts w:hint="eastAsia" w:hAnsi="宋体"/>
        </w:rPr>
        <w:t>，</w:t>
      </w:r>
      <w:r>
        <w:rPr>
          <w:rFonts w:hAnsi="宋体"/>
        </w:rPr>
        <w:t>5.2.1.3.2</w:t>
      </w:r>
      <w:r>
        <w:rPr>
          <w:rFonts w:hint="eastAsia" w:hAnsi="宋体"/>
        </w:rPr>
        <w:t>和5.2.5.2的要求。</w:t>
      </w:r>
    </w:p>
    <w:p>
      <w:pPr>
        <w:pStyle w:val="97"/>
        <w:spacing w:before="156" w:after="156"/>
      </w:pPr>
      <w:r>
        <w:rPr>
          <w:rFonts w:hint="eastAsia"/>
        </w:rPr>
        <w:t>机械冲击</w:t>
      </w:r>
    </w:p>
    <w:p>
      <w:pPr>
        <w:pStyle w:val="232"/>
      </w:pPr>
      <w:r>
        <w:rPr>
          <w:rFonts w:hint="eastAsia" w:hAnsi="宋体"/>
        </w:rPr>
        <w:t>按照</w:t>
      </w:r>
      <w:r>
        <w:rPr>
          <w:rFonts w:hint="eastAsia"/>
        </w:rPr>
        <w:t>6.</w:t>
      </w:r>
      <w:r>
        <w:t>5</w:t>
      </w:r>
      <w:r>
        <w:rPr>
          <w:rFonts w:hint="eastAsia"/>
        </w:rPr>
        <w:t>.3.2</w:t>
      </w:r>
      <w:r>
        <w:rPr>
          <w:rFonts w:hint="eastAsia" w:hAnsi="宋体"/>
        </w:rPr>
        <w:t>进行试验，试验后，不允许损坏，</w:t>
      </w:r>
      <w:r>
        <w:rPr>
          <w:rFonts w:hint="eastAsia"/>
        </w:rPr>
        <w:t>车载卫星定位系统输出的位置、速度和时间</w:t>
      </w:r>
      <w:r>
        <w:rPr>
          <w:rFonts w:hint="eastAsia" w:hAnsi="宋体"/>
        </w:rPr>
        <w:t>应满足5</w:t>
      </w:r>
      <w:r>
        <w:rPr>
          <w:rFonts w:hAnsi="宋体"/>
        </w:rPr>
        <w:t>.2.1.2.2</w:t>
      </w:r>
      <w:r>
        <w:rPr>
          <w:rFonts w:hint="eastAsia" w:hAnsi="宋体"/>
        </w:rPr>
        <w:t>，</w:t>
      </w:r>
      <w:r>
        <w:rPr>
          <w:rFonts w:hAnsi="宋体"/>
        </w:rPr>
        <w:t>5.2.1.3.2</w:t>
      </w:r>
      <w:r>
        <w:rPr>
          <w:rFonts w:hint="eastAsia" w:hAnsi="宋体"/>
        </w:rPr>
        <w:t>和5.2.5.2的要求。</w:t>
      </w:r>
    </w:p>
    <w:p>
      <w:pPr>
        <w:pStyle w:val="97"/>
        <w:spacing w:before="156" w:after="156"/>
      </w:pPr>
      <w:r>
        <w:rPr>
          <w:rFonts w:hint="eastAsia"/>
        </w:rPr>
        <w:t>自由跌落</w:t>
      </w:r>
    </w:p>
    <w:p>
      <w:pPr>
        <w:pStyle w:val="232"/>
        <w:rPr>
          <w:rFonts w:hAnsi="宋体"/>
        </w:rPr>
      </w:pPr>
      <w:r>
        <w:rPr>
          <w:rFonts w:hint="eastAsia" w:hAnsi="宋体"/>
        </w:rPr>
        <w:t>按照</w:t>
      </w:r>
      <w:r>
        <w:rPr>
          <w:rFonts w:hint="eastAsia"/>
        </w:rPr>
        <w:t>6.</w:t>
      </w:r>
      <w:r>
        <w:t>5</w:t>
      </w:r>
      <w:r>
        <w:rPr>
          <w:rFonts w:hint="eastAsia"/>
        </w:rPr>
        <w:t>.3.3</w:t>
      </w:r>
      <w:r>
        <w:rPr>
          <w:rFonts w:hint="eastAsia" w:hAnsi="宋体"/>
        </w:rPr>
        <w:t>进行试验，试验后，不允许有隐形损坏，在不影响D</w:t>
      </w:r>
      <w:r>
        <w:rPr>
          <w:rFonts w:hAnsi="宋体"/>
        </w:rPr>
        <w:t>UT</w:t>
      </w:r>
      <w:r>
        <w:rPr>
          <w:rFonts w:hint="eastAsia" w:hAnsi="宋体"/>
        </w:rPr>
        <w:t>性能的情况下允许外壳有微小损坏，</w:t>
      </w:r>
      <w:r>
        <w:rPr>
          <w:rFonts w:hint="eastAsia"/>
        </w:rPr>
        <w:t>车载卫星定位系统输出的位置、速度和时间</w:t>
      </w:r>
      <w:r>
        <w:rPr>
          <w:rFonts w:hint="eastAsia" w:hAnsi="宋体"/>
        </w:rPr>
        <w:t>应满足5</w:t>
      </w:r>
      <w:r>
        <w:rPr>
          <w:rFonts w:hAnsi="宋体"/>
        </w:rPr>
        <w:t>.2.1.2.2</w:t>
      </w:r>
      <w:r>
        <w:rPr>
          <w:rFonts w:hint="eastAsia" w:hAnsi="宋体"/>
        </w:rPr>
        <w:t>，</w:t>
      </w:r>
      <w:r>
        <w:rPr>
          <w:rFonts w:hAnsi="宋体"/>
        </w:rPr>
        <w:t>5.2.1.3.2</w:t>
      </w:r>
      <w:r>
        <w:rPr>
          <w:rFonts w:hint="eastAsia" w:hAnsi="宋体"/>
        </w:rPr>
        <w:t>和5.2.5.2的要求。</w:t>
      </w:r>
    </w:p>
    <w:p>
      <w:pPr>
        <w:pStyle w:val="97"/>
        <w:spacing w:before="156" w:after="156"/>
      </w:pPr>
      <w:r>
        <w:rPr>
          <w:rFonts w:hint="eastAsia"/>
        </w:rPr>
        <w:t>线束拉脱力</w:t>
      </w:r>
    </w:p>
    <w:p>
      <w:pPr>
        <w:pStyle w:val="232"/>
      </w:pPr>
      <w:r>
        <w:rPr>
          <w:rFonts w:hint="eastAsia"/>
        </w:rPr>
        <w:t>有线束的系统，按照6.</w:t>
      </w:r>
      <w:r>
        <w:t>5</w:t>
      </w:r>
      <w:r>
        <w:rPr>
          <w:rFonts w:hint="eastAsia"/>
        </w:rPr>
        <w:t>.3.4进行试验，试验后不应有损伤、线束断裂、端子脱落等现象，车载卫星定位系统输出的位置、速度和时间</w:t>
      </w:r>
      <w:r>
        <w:rPr>
          <w:rFonts w:hint="eastAsia" w:hAnsi="宋体"/>
        </w:rPr>
        <w:t>应满足5</w:t>
      </w:r>
      <w:r>
        <w:rPr>
          <w:rFonts w:hAnsi="宋体"/>
        </w:rPr>
        <w:t>.2.1.2.2</w:t>
      </w:r>
      <w:r>
        <w:rPr>
          <w:rFonts w:hint="eastAsia" w:hAnsi="宋体"/>
        </w:rPr>
        <w:t>，</w:t>
      </w:r>
      <w:r>
        <w:rPr>
          <w:rFonts w:hAnsi="宋体"/>
        </w:rPr>
        <w:t>5.2.1.3.2</w:t>
      </w:r>
      <w:r>
        <w:rPr>
          <w:rFonts w:hint="eastAsia" w:hAnsi="宋体"/>
        </w:rPr>
        <w:t>和5.2.5.2的要求</w:t>
      </w:r>
      <w:r>
        <w:rPr>
          <w:rFonts w:hint="eastAsia"/>
        </w:rPr>
        <w:t>。</w:t>
      </w:r>
    </w:p>
    <w:p>
      <w:pPr>
        <w:pStyle w:val="68"/>
        <w:spacing w:before="156" w:after="156"/>
      </w:pPr>
      <w:r>
        <w:rPr>
          <w:rFonts w:hint="eastAsia"/>
        </w:rPr>
        <w:t>环境耐候性</w:t>
      </w:r>
    </w:p>
    <w:p>
      <w:pPr>
        <w:pStyle w:val="97"/>
        <w:spacing w:before="156" w:after="156"/>
      </w:pPr>
      <w:r>
        <w:rPr>
          <w:rFonts w:hint="eastAsia"/>
        </w:rPr>
        <w:t>温湿度范围</w:t>
      </w:r>
    </w:p>
    <w:p>
      <w:pPr>
        <w:pStyle w:val="232"/>
        <w:rPr>
          <w:rFonts w:hAnsi="宋体"/>
        </w:rPr>
      </w:pPr>
      <w:r>
        <w:rPr>
          <w:rFonts w:hint="eastAsia" w:hAnsi="宋体"/>
        </w:rPr>
        <w:t>车载卫星定位系统的贮存环境温湿度范围和工作环境温湿度范围应符合表</w:t>
      </w:r>
      <w:r>
        <w:t>3</w:t>
      </w:r>
      <w:r>
        <w:rPr>
          <w:rFonts w:hint="eastAsia" w:hAnsi="宋体"/>
        </w:rPr>
        <w:t>的规定。</w:t>
      </w:r>
    </w:p>
    <w:p>
      <w:pPr>
        <w:pStyle w:val="115"/>
        <w:spacing w:before="156" w:after="156"/>
      </w:pPr>
      <w:r>
        <w:rPr>
          <w:rFonts w:hint="eastAsia"/>
        </w:rPr>
        <w:t>温湿度范围</w:t>
      </w:r>
    </w:p>
    <w:tbl>
      <w:tblPr>
        <w:tblStyle w:val="36"/>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66"/>
        <w:gridCol w:w="1810"/>
        <w:gridCol w:w="2126"/>
        <w:gridCol w:w="1843"/>
        <w:gridCol w:w="16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1866" w:type="dxa"/>
            <w:tcBorders>
              <w:top w:val="single" w:color="auto" w:sz="8" w:space="0"/>
              <w:bottom w:val="single" w:color="auto" w:sz="8" w:space="0"/>
            </w:tcBorders>
            <w:shd w:val="clear" w:color="auto" w:fill="auto"/>
            <w:vAlign w:val="center"/>
          </w:tcPr>
          <w:p>
            <w:pPr>
              <w:pStyle w:val="181"/>
            </w:pPr>
            <w:r>
              <w:rPr>
                <w:rFonts w:hint="eastAsia"/>
                <w:szCs w:val="18"/>
              </w:rPr>
              <w:t>汽车上安装位置</w:t>
            </w:r>
          </w:p>
        </w:tc>
        <w:tc>
          <w:tcPr>
            <w:tcW w:w="1810" w:type="dxa"/>
            <w:tcBorders>
              <w:top w:val="single" w:color="auto" w:sz="8" w:space="0"/>
              <w:bottom w:val="single" w:color="auto" w:sz="8" w:space="0"/>
            </w:tcBorders>
            <w:shd w:val="clear" w:color="auto" w:fill="auto"/>
            <w:vAlign w:val="center"/>
          </w:tcPr>
          <w:p>
            <w:pPr>
              <w:pStyle w:val="232"/>
              <w:spacing w:line="240" w:lineRule="atLeast"/>
              <w:ind w:firstLine="0" w:firstLineChars="0"/>
              <w:jc w:val="center"/>
              <w:rPr>
                <w:sz w:val="18"/>
                <w:szCs w:val="18"/>
              </w:rPr>
            </w:pPr>
            <w:r>
              <w:rPr>
                <w:rFonts w:hint="eastAsia"/>
                <w:sz w:val="18"/>
                <w:szCs w:val="18"/>
              </w:rPr>
              <w:t>贮存环境温度</w:t>
            </w:r>
          </w:p>
          <w:p>
            <w:pPr>
              <w:pStyle w:val="181"/>
            </w:pPr>
            <w:r>
              <w:rPr>
                <w:rFonts w:hint="eastAsia" w:hAnsi="宋体"/>
                <w:szCs w:val="18"/>
              </w:rPr>
              <w:t>℃</w:t>
            </w:r>
          </w:p>
        </w:tc>
        <w:tc>
          <w:tcPr>
            <w:tcW w:w="2126" w:type="dxa"/>
            <w:tcBorders>
              <w:top w:val="single" w:color="auto" w:sz="8" w:space="0"/>
              <w:bottom w:val="single" w:color="auto" w:sz="8" w:space="0"/>
            </w:tcBorders>
            <w:shd w:val="clear" w:color="auto" w:fill="auto"/>
            <w:vAlign w:val="center"/>
          </w:tcPr>
          <w:p>
            <w:pPr>
              <w:pStyle w:val="232"/>
              <w:spacing w:line="240" w:lineRule="atLeast"/>
              <w:ind w:firstLine="0" w:firstLineChars="0"/>
              <w:jc w:val="center"/>
              <w:rPr>
                <w:rFonts w:hAnsi="宋体"/>
                <w:sz w:val="15"/>
                <w:szCs w:val="15"/>
              </w:rPr>
            </w:pPr>
            <w:r>
              <w:rPr>
                <w:rFonts w:hint="eastAsia"/>
                <w:sz w:val="18"/>
                <w:szCs w:val="18"/>
              </w:rPr>
              <w:t>工作环境温度（</w:t>
            </w:r>
            <w:r>
              <w:rPr>
                <w:rFonts w:hint="eastAsia" w:hAnsi="宋体"/>
                <w:sz w:val="18"/>
                <w:szCs w:val="18"/>
              </w:rPr>
              <w:t>T</w:t>
            </w:r>
            <w:r>
              <w:rPr>
                <w:rFonts w:hint="eastAsia" w:hAnsi="宋体"/>
                <w:sz w:val="15"/>
                <w:szCs w:val="15"/>
                <w:vertAlign w:val="subscript"/>
              </w:rPr>
              <w:t>min</w:t>
            </w:r>
            <w:r>
              <w:rPr>
                <w:rFonts w:hint="eastAsia" w:hAnsi="宋体" w:cs="Arial"/>
                <w:kern w:val="24"/>
                <w:sz w:val="18"/>
                <w:szCs w:val="18"/>
              </w:rPr>
              <w:t>～</w:t>
            </w:r>
            <w:r>
              <w:rPr>
                <w:rFonts w:hint="eastAsia" w:hAnsi="宋体"/>
                <w:sz w:val="18"/>
                <w:szCs w:val="18"/>
              </w:rPr>
              <w:t>T</w:t>
            </w:r>
            <w:r>
              <w:rPr>
                <w:rFonts w:hint="eastAsia" w:hAnsi="宋体"/>
                <w:sz w:val="15"/>
                <w:szCs w:val="15"/>
                <w:vertAlign w:val="subscript"/>
              </w:rPr>
              <w:t>max</w:t>
            </w:r>
            <w:r>
              <w:rPr>
                <w:rFonts w:hint="eastAsia"/>
                <w:sz w:val="18"/>
                <w:szCs w:val="18"/>
              </w:rPr>
              <w:t>）</w:t>
            </w:r>
          </w:p>
          <w:p>
            <w:pPr>
              <w:pStyle w:val="181"/>
            </w:pPr>
            <w:r>
              <w:rPr>
                <w:rFonts w:hint="eastAsia" w:hAnsi="宋体"/>
                <w:szCs w:val="18"/>
              </w:rPr>
              <w:t>℃</w:t>
            </w:r>
          </w:p>
        </w:tc>
        <w:tc>
          <w:tcPr>
            <w:tcW w:w="1843" w:type="dxa"/>
            <w:tcBorders>
              <w:top w:val="single" w:color="auto" w:sz="8" w:space="0"/>
              <w:bottom w:val="single" w:color="auto" w:sz="8" w:space="0"/>
            </w:tcBorders>
            <w:shd w:val="clear" w:color="auto" w:fill="auto"/>
            <w:vAlign w:val="center"/>
          </w:tcPr>
          <w:p>
            <w:pPr>
              <w:pStyle w:val="232"/>
              <w:spacing w:line="240" w:lineRule="atLeast"/>
              <w:ind w:firstLine="0" w:firstLineChars="0"/>
              <w:jc w:val="center"/>
              <w:rPr>
                <w:sz w:val="18"/>
                <w:szCs w:val="18"/>
              </w:rPr>
            </w:pPr>
            <w:r>
              <w:rPr>
                <w:rFonts w:hint="eastAsia"/>
                <w:sz w:val="18"/>
                <w:szCs w:val="18"/>
              </w:rPr>
              <w:t>工作环境相对湿度</w:t>
            </w:r>
          </w:p>
          <w:p>
            <w:pPr>
              <w:pStyle w:val="181"/>
            </w:pPr>
            <w:r>
              <w:rPr>
                <w:rFonts w:hint="eastAsia" w:hAnsi="宋体"/>
              </w:rPr>
              <w:t>％</w:t>
            </w:r>
          </w:p>
        </w:tc>
        <w:tc>
          <w:tcPr>
            <w:tcW w:w="1689" w:type="dxa"/>
            <w:tcBorders>
              <w:top w:val="single" w:color="auto" w:sz="8" w:space="0"/>
              <w:bottom w:val="single" w:color="auto" w:sz="8" w:space="0"/>
            </w:tcBorders>
            <w:shd w:val="clear" w:color="auto" w:fill="auto"/>
            <w:vAlign w:val="center"/>
          </w:tcPr>
          <w:p>
            <w:pPr>
              <w:pStyle w:val="232"/>
              <w:spacing w:line="240" w:lineRule="atLeast"/>
              <w:ind w:firstLine="0" w:firstLineChars="0"/>
              <w:jc w:val="center"/>
              <w:rPr>
                <w:rFonts w:hAnsi="宋体" w:cs="Arial"/>
                <w:sz w:val="18"/>
                <w:szCs w:val="18"/>
              </w:rPr>
            </w:pPr>
            <w:r>
              <w:rPr>
                <w:rFonts w:hint="eastAsia" w:hAnsi="宋体" w:cs="Arial"/>
                <w:sz w:val="18"/>
                <w:szCs w:val="18"/>
              </w:rPr>
              <w:t>大气压</w:t>
            </w:r>
          </w:p>
          <w:p>
            <w:pPr>
              <w:pStyle w:val="181"/>
            </w:pPr>
            <w:r>
              <w:rPr>
                <w:rFonts w:hint="eastAsia" w:hAnsi="宋体" w:cs="Arial"/>
                <w:szCs w:val="18"/>
              </w:rPr>
              <w:t>kPa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66" w:type="dxa"/>
            <w:tcBorders>
              <w:top w:val="single" w:color="auto" w:sz="8" w:space="0"/>
            </w:tcBorders>
            <w:shd w:val="clear" w:color="auto" w:fill="auto"/>
          </w:tcPr>
          <w:p>
            <w:pPr>
              <w:pStyle w:val="181"/>
            </w:pPr>
            <w:r>
              <w:rPr>
                <w:rFonts w:hint="eastAsia" w:hAnsi="宋体"/>
                <w:szCs w:val="18"/>
              </w:rPr>
              <w:t>无特殊要求</w:t>
            </w:r>
          </w:p>
        </w:tc>
        <w:tc>
          <w:tcPr>
            <w:tcW w:w="1810" w:type="dxa"/>
            <w:tcBorders>
              <w:top w:val="single" w:color="auto" w:sz="8" w:space="0"/>
            </w:tcBorders>
            <w:shd w:val="clear" w:color="auto" w:fill="auto"/>
          </w:tcPr>
          <w:p>
            <w:pPr>
              <w:pStyle w:val="181"/>
            </w:pPr>
            <w:r>
              <w:rPr>
                <w:rFonts w:hAnsi="宋体"/>
                <w:szCs w:val="18"/>
              </w:rPr>
              <w:t>-40</w:t>
            </w:r>
            <w:r>
              <w:rPr>
                <w:rFonts w:hint="eastAsia" w:hAnsi="宋体" w:cs="Arial"/>
                <w:kern w:val="24"/>
                <w:szCs w:val="18"/>
              </w:rPr>
              <w:t>～</w:t>
            </w:r>
            <w:r>
              <w:rPr>
                <w:rFonts w:hint="eastAsia" w:hAnsi="宋体"/>
                <w:szCs w:val="18"/>
              </w:rPr>
              <w:t>90</w:t>
            </w:r>
          </w:p>
        </w:tc>
        <w:tc>
          <w:tcPr>
            <w:tcW w:w="2126" w:type="dxa"/>
            <w:tcBorders>
              <w:top w:val="single" w:color="auto" w:sz="8" w:space="0"/>
            </w:tcBorders>
            <w:shd w:val="clear" w:color="auto" w:fill="auto"/>
          </w:tcPr>
          <w:p>
            <w:pPr>
              <w:pStyle w:val="181"/>
            </w:pPr>
            <w:r>
              <w:rPr>
                <w:rFonts w:hint="eastAsia" w:hAnsi="宋体"/>
                <w:szCs w:val="18"/>
              </w:rPr>
              <w:t>-40</w:t>
            </w:r>
            <w:r>
              <w:rPr>
                <w:rFonts w:hint="eastAsia" w:hAnsi="宋体" w:cs="Arial"/>
                <w:kern w:val="24"/>
                <w:szCs w:val="18"/>
              </w:rPr>
              <w:t>～</w:t>
            </w:r>
            <w:r>
              <w:rPr>
                <w:rFonts w:hint="eastAsia" w:hAnsi="宋体"/>
                <w:szCs w:val="18"/>
              </w:rPr>
              <w:t>85</w:t>
            </w:r>
          </w:p>
        </w:tc>
        <w:tc>
          <w:tcPr>
            <w:tcW w:w="1843" w:type="dxa"/>
            <w:vMerge w:val="restart"/>
            <w:tcBorders>
              <w:top w:val="single" w:color="auto" w:sz="8" w:space="0"/>
            </w:tcBorders>
            <w:shd w:val="clear" w:color="auto" w:fill="auto"/>
            <w:vAlign w:val="center"/>
          </w:tcPr>
          <w:p>
            <w:pPr>
              <w:pStyle w:val="181"/>
            </w:pPr>
            <w:r>
              <w:rPr>
                <w:rFonts w:hAnsi="宋体"/>
                <w:szCs w:val="18"/>
              </w:rPr>
              <w:t>25</w:t>
            </w:r>
            <w:r>
              <w:rPr>
                <w:rFonts w:hint="eastAsia" w:hAnsi="宋体" w:cs="Arial"/>
                <w:kern w:val="24"/>
                <w:szCs w:val="18"/>
              </w:rPr>
              <w:t>～</w:t>
            </w:r>
            <w:r>
              <w:rPr>
                <w:rFonts w:hAnsi="宋体"/>
                <w:szCs w:val="18"/>
              </w:rPr>
              <w:t>75</w:t>
            </w:r>
          </w:p>
        </w:tc>
        <w:tc>
          <w:tcPr>
            <w:tcW w:w="1689" w:type="dxa"/>
            <w:vMerge w:val="restart"/>
            <w:tcBorders>
              <w:top w:val="single" w:color="auto" w:sz="8" w:space="0"/>
            </w:tcBorders>
            <w:shd w:val="clear" w:color="auto" w:fill="auto"/>
            <w:vAlign w:val="center"/>
          </w:tcPr>
          <w:p>
            <w:pPr>
              <w:pStyle w:val="181"/>
            </w:pPr>
            <w:r>
              <w:rPr>
                <w:rFonts w:hAnsi="宋体" w:cs="Arial"/>
                <w:szCs w:val="18"/>
              </w:rPr>
              <w:t>50</w:t>
            </w:r>
            <w:r>
              <w:rPr>
                <w:rFonts w:hint="eastAsia" w:hAnsi="宋体" w:cs="Arial"/>
                <w:szCs w:val="18"/>
              </w:rPr>
              <w:t>～</w:t>
            </w:r>
            <w:r>
              <w:rPr>
                <w:rFonts w:hAnsi="宋体" w:cs="Arial"/>
                <w:szCs w:val="18"/>
              </w:rPr>
              <w:t>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66" w:type="dxa"/>
            <w:shd w:val="clear" w:color="auto" w:fill="auto"/>
          </w:tcPr>
          <w:p>
            <w:pPr>
              <w:pStyle w:val="181"/>
            </w:pPr>
            <w:r>
              <w:rPr>
                <w:rFonts w:hint="eastAsia" w:hAnsi="宋体"/>
                <w:szCs w:val="18"/>
              </w:rPr>
              <w:t>乘客舱内太阳直射处</w:t>
            </w:r>
          </w:p>
        </w:tc>
        <w:tc>
          <w:tcPr>
            <w:tcW w:w="1810" w:type="dxa"/>
            <w:shd w:val="clear" w:color="auto" w:fill="auto"/>
          </w:tcPr>
          <w:p>
            <w:pPr>
              <w:pStyle w:val="181"/>
            </w:pPr>
            <w:r>
              <w:rPr>
                <w:rFonts w:hAnsi="宋体"/>
                <w:szCs w:val="18"/>
              </w:rPr>
              <w:t>-40</w:t>
            </w:r>
            <w:r>
              <w:rPr>
                <w:rFonts w:hint="eastAsia" w:hAnsi="宋体" w:cs="Arial"/>
                <w:kern w:val="24"/>
                <w:szCs w:val="18"/>
              </w:rPr>
              <w:t>～</w:t>
            </w:r>
            <w:r>
              <w:rPr>
                <w:rFonts w:hint="eastAsia" w:hAnsi="宋体"/>
                <w:szCs w:val="18"/>
              </w:rPr>
              <w:t>95</w:t>
            </w:r>
          </w:p>
        </w:tc>
        <w:tc>
          <w:tcPr>
            <w:tcW w:w="2126" w:type="dxa"/>
            <w:shd w:val="clear" w:color="auto" w:fill="auto"/>
          </w:tcPr>
          <w:p>
            <w:pPr>
              <w:pStyle w:val="181"/>
            </w:pPr>
            <w:r>
              <w:rPr>
                <w:rFonts w:hint="eastAsia" w:hAnsi="宋体"/>
                <w:szCs w:val="18"/>
              </w:rPr>
              <w:t>-40</w:t>
            </w:r>
            <w:r>
              <w:rPr>
                <w:rFonts w:hint="eastAsia" w:hAnsi="宋体" w:cs="Arial"/>
                <w:kern w:val="24"/>
                <w:szCs w:val="18"/>
              </w:rPr>
              <w:t>～</w:t>
            </w:r>
            <w:r>
              <w:rPr>
                <w:rFonts w:hint="eastAsia" w:hAnsi="宋体"/>
                <w:szCs w:val="18"/>
              </w:rPr>
              <w:t>90</w:t>
            </w:r>
          </w:p>
        </w:tc>
        <w:tc>
          <w:tcPr>
            <w:tcW w:w="1843" w:type="dxa"/>
            <w:vMerge w:val="continue"/>
            <w:shd w:val="clear" w:color="auto" w:fill="auto"/>
            <w:vAlign w:val="center"/>
          </w:tcPr>
          <w:p>
            <w:pPr>
              <w:pStyle w:val="181"/>
            </w:pPr>
          </w:p>
        </w:tc>
        <w:tc>
          <w:tcPr>
            <w:tcW w:w="1689" w:type="dxa"/>
            <w:vMerge w:val="continue"/>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66" w:type="dxa"/>
            <w:shd w:val="clear" w:color="auto" w:fill="auto"/>
          </w:tcPr>
          <w:p>
            <w:pPr>
              <w:pStyle w:val="181"/>
              <w:rPr>
                <w:rFonts w:hAnsi="宋体"/>
                <w:szCs w:val="18"/>
              </w:rPr>
            </w:pPr>
            <w:r>
              <w:rPr>
                <w:rFonts w:hint="eastAsia" w:hAnsi="宋体"/>
                <w:szCs w:val="18"/>
              </w:rPr>
              <w:t>车顶（智能天线）</w:t>
            </w:r>
          </w:p>
        </w:tc>
        <w:tc>
          <w:tcPr>
            <w:tcW w:w="1810" w:type="dxa"/>
            <w:shd w:val="clear" w:color="auto" w:fill="auto"/>
          </w:tcPr>
          <w:p>
            <w:pPr>
              <w:pStyle w:val="181"/>
              <w:rPr>
                <w:rFonts w:hAnsi="宋体"/>
                <w:szCs w:val="18"/>
              </w:rPr>
            </w:pPr>
            <w:r>
              <w:rPr>
                <w:rFonts w:hAnsi="宋体"/>
                <w:szCs w:val="18"/>
              </w:rPr>
              <w:t>-40</w:t>
            </w:r>
            <w:r>
              <w:rPr>
                <w:rFonts w:hint="eastAsia" w:hAnsi="宋体" w:cs="Arial"/>
                <w:kern w:val="24"/>
                <w:szCs w:val="18"/>
              </w:rPr>
              <w:t>～1</w:t>
            </w:r>
            <w:r>
              <w:rPr>
                <w:rFonts w:hAnsi="宋体" w:cs="Arial"/>
                <w:kern w:val="24"/>
                <w:szCs w:val="18"/>
              </w:rPr>
              <w:t>00</w:t>
            </w:r>
          </w:p>
        </w:tc>
        <w:tc>
          <w:tcPr>
            <w:tcW w:w="2126" w:type="dxa"/>
            <w:shd w:val="clear" w:color="auto" w:fill="auto"/>
          </w:tcPr>
          <w:p>
            <w:pPr>
              <w:pStyle w:val="181"/>
              <w:rPr>
                <w:rFonts w:hAnsi="宋体"/>
                <w:szCs w:val="18"/>
              </w:rPr>
            </w:pPr>
            <w:r>
              <w:rPr>
                <w:rFonts w:hint="eastAsia" w:hAnsi="宋体"/>
                <w:szCs w:val="18"/>
              </w:rPr>
              <w:t>-40</w:t>
            </w:r>
            <w:r>
              <w:rPr>
                <w:rFonts w:hint="eastAsia" w:hAnsi="宋体" w:cs="Arial"/>
                <w:kern w:val="24"/>
                <w:szCs w:val="18"/>
              </w:rPr>
              <w:t>～</w:t>
            </w:r>
            <w:r>
              <w:rPr>
                <w:rFonts w:hint="eastAsia" w:hAnsi="宋体"/>
                <w:szCs w:val="18"/>
              </w:rPr>
              <w:t>9</w:t>
            </w:r>
            <w:r>
              <w:rPr>
                <w:rFonts w:hAnsi="宋体"/>
                <w:szCs w:val="18"/>
              </w:rPr>
              <w:t>5</w:t>
            </w:r>
          </w:p>
        </w:tc>
        <w:tc>
          <w:tcPr>
            <w:tcW w:w="1843" w:type="dxa"/>
            <w:vMerge w:val="continue"/>
            <w:shd w:val="clear" w:color="auto" w:fill="auto"/>
            <w:vAlign w:val="center"/>
          </w:tcPr>
          <w:p>
            <w:pPr>
              <w:pStyle w:val="181"/>
            </w:pPr>
          </w:p>
        </w:tc>
        <w:tc>
          <w:tcPr>
            <w:tcW w:w="1689" w:type="dxa"/>
            <w:vMerge w:val="continue"/>
            <w:shd w:val="clear" w:color="auto" w:fill="auto"/>
            <w:vAlign w:val="center"/>
          </w:tcPr>
          <w:p>
            <w:pPr>
              <w:pStyle w:val="181"/>
            </w:pPr>
          </w:p>
        </w:tc>
      </w:tr>
    </w:tbl>
    <w:p>
      <w:pPr>
        <w:pStyle w:val="97"/>
        <w:spacing w:before="156" w:after="156"/>
      </w:pPr>
      <w:r>
        <w:rPr>
          <w:rFonts w:hint="eastAsia"/>
        </w:rPr>
        <w:t>低温贮存</w:t>
      </w:r>
    </w:p>
    <w:p>
      <w:pPr>
        <w:ind w:firstLine="420" w:firstLineChars="200"/>
      </w:pPr>
      <w:r>
        <w:rPr>
          <w:rFonts w:hint="eastAsia" w:ascii="宋体" w:hAnsi="宋体"/>
        </w:rPr>
        <w:t>按照</w:t>
      </w:r>
      <w:r>
        <w:rPr>
          <w:rFonts w:hint="eastAsia" w:ascii="宋体" w:hAnsi="Times New Roman"/>
          <w:kern w:val="0"/>
          <w:szCs w:val="20"/>
        </w:rPr>
        <w:t>6.</w:t>
      </w:r>
      <w:r>
        <w:rPr>
          <w:rFonts w:ascii="宋体" w:hAnsi="Times New Roman"/>
          <w:kern w:val="0"/>
          <w:szCs w:val="20"/>
        </w:rPr>
        <w:t>5</w:t>
      </w:r>
      <w:r>
        <w:rPr>
          <w:rFonts w:hint="eastAsia" w:ascii="宋体" w:hAnsi="Times New Roman"/>
          <w:kern w:val="0"/>
          <w:szCs w:val="20"/>
        </w:rPr>
        <w:t>.4.1</w:t>
      </w:r>
      <w:r>
        <w:rPr>
          <w:rFonts w:hint="eastAsia" w:ascii="宋体" w:hAnsi="宋体"/>
        </w:rPr>
        <w:t>进行试验，试验后，不允许损坏，</w:t>
      </w:r>
      <w:r>
        <w:rPr>
          <w:rFonts w:hint="eastAsia"/>
        </w:rPr>
        <w:t>车载卫星定位系统输出的位置、速度和时间</w:t>
      </w:r>
      <w:r>
        <w:rPr>
          <w:rFonts w:hint="eastAsia" w:hAnsi="宋体"/>
        </w:rPr>
        <w:t>应满足</w:t>
      </w:r>
      <w:r>
        <w:rPr>
          <w:rFonts w:hint="eastAsia" w:ascii="宋体" w:hAnsi="宋体"/>
        </w:rPr>
        <w:t>5</w:t>
      </w:r>
      <w:r>
        <w:rPr>
          <w:rFonts w:ascii="宋体" w:hAnsi="宋体"/>
        </w:rPr>
        <w:t>.2.1.2.2</w:t>
      </w:r>
      <w:r>
        <w:rPr>
          <w:rFonts w:hint="eastAsia" w:ascii="宋体" w:hAnsi="宋体"/>
        </w:rPr>
        <w:t>，</w:t>
      </w:r>
      <w:r>
        <w:rPr>
          <w:rFonts w:ascii="宋体" w:hAnsi="宋体"/>
        </w:rPr>
        <w:t>5.2.1.3.2</w:t>
      </w:r>
      <w:r>
        <w:rPr>
          <w:rFonts w:hint="eastAsia" w:ascii="宋体" w:hAnsi="宋体"/>
        </w:rPr>
        <w:t>和5.2.5.2</w:t>
      </w:r>
      <w:r>
        <w:rPr>
          <w:rFonts w:hint="eastAsia" w:hAnsi="宋体"/>
        </w:rPr>
        <w:t>的要求</w:t>
      </w:r>
      <w:r>
        <w:rPr>
          <w:rFonts w:hint="eastAsia" w:ascii="宋体" w:hAnsi="宋体"/>
        </w:rPr>
        <w:t>。</w:t>
      </w:r>
    </w:p>
    <w:p>
      <w:pPr>
        <w:pStyle w:val="97"/>
        <w:spacing w:before="156" w:after="156"/>
      </w:pPr>
      <w:r>
        <w:rPr>
          <w:rFonts w:hint="eastAsia"/>
        </w:rPr>
        <w:t>低温工作</w:t>
      </w:r>
    </w:p>
    <w:p>
      <w:pPr>
        <w:pStyle w:val="232"/>
        <w:rPr>
          <w:rFonts w:hAnsi="宋体" w:cs="Arial"/>
        </w:rPr>
      </w:pPr>
      <w:r>
        <w:rPr>
          <w:rFonts w:hint="eastAsia" w:hAnsi="宋体"/>
        </w:rPr>
        <w:t>按照</w:t>
      </w:r>
      <w:r>
        <w:rPr>
          <w:rFonts w:hint="eastAsia"/>
        </w:rPr>
        <w:t>6.</w:t>
      </w:r>
      <w:r>
        <w:t>5</w:t>
      </w:r>
      <w:r>
        <w:rPr>
          <w:rFonts w:hint="eastAsia"/>
        </w:rPr>
        <w:t>.4.2</w:t>
      </w:r>
      <w:r>
        <w:rPr>
          <w:rFonts w:hint="eastAsia" w:hAnsi="宋体"/>
        </w:rPr>
        <w:t>进行试验，试验中和试验后，不允许损坏，</w:t>
      </w:r>
      <w:r>
        <w:rPr>
          <w:rFonts w:hint="eastAsia"/>
        </w:rPr>
        <w:t>车载卫星定位系统输出的位置、速度和时间</w:t>
      </w:r>
      <w:r>
        <w:rPr>
          <w:rFonts w:hint="eastAsia" w:hAnsi="宋体"/>
        </w:rPr>
        <w:t>应满足5</w:t>
      </w:r>
      <w:r>
        <w:rPr>
          <w:rFonts w:hAnsi="宋体"/>
        </w:rPr>
        <w:t>.2.1.2.2</w:t>
      </w:r>
      <w:r>
        <w:rPr>
          <w:rFonts w:hint="eastAsia" w:hAnsi="宋体"/>
        </w:rPr>
        <w:t>，</w:t>
      </w:r>
      <w:r>
        <w:rPr>
          <w:rFonts w:hAnsi="宋体"/>
        </w:rPr>
        <w:t>5.2.1.3.2</w:t>
      </w:r>
      <w:r>
        <w:rPr>
          <w:rFonts w:hint="eastAsia" w:hAnsi="宋体"/>
        </w:rPr>
        <w:t>和5.2.5.2的要求</w:t>
      </w:r>
      <w:r>
        <w:rPr>
          <w:rFonts w:hint="eastAsia" w:hAnsi="宋体" w:cs="Arial"/>
        </w:rPr>
        <w:t>。</w:t>
      </w:r>
    </w:p>
    <w:p>
      <w:pPr>
        <w:pStyle w:val="97"/>
        <w:spacing w:before="156" w:after="156"/>
      </w:pPr>
      <w:r>
        <w:rPr>
          <w:rFonts w:hint="eastAsia"/>
        </w:rPr>
        <w:t>高温贮存</w:t>
      </w:r>
    </w:p>
    <w:p>
      <w:pPr>
        <w:ind w:firstLine="420" w:firstLineChars="200"/>
      </w:pPr>
      <w:r>
        <w:rPr>
          <w:rFonts w:hint="eastAsia" w:ascii="宋体" w:hAnsi="宋体"/>
        </w:rPr>
        <w:t>按照</w:t>
      </w:r>
      <w:r>
        <w:rPr>
          <w:rFonts w:hint="eastAsia" w:ascii="宋体" w:hAnsi="Times New Roman"/>
          <w:kern w:val="0"/>
          <w:szCs w:val="20"/>
        </w:rPr>
        <w:t>6.</w:t>
      </w:r>
      <w:r>
        <w:rPr>
          <w:rFonts w:ascii="宋体" w:hAnsi="Times New Roman"/>
          <w:kern w:val="0"/>
          <w:szCs w:val="20"/>
        </w:rPr>
        <w:t>5</w:t>
      </w:r>
      <w:r>
        <w:rPr>
          <w:rFonts w:hint="eastAsia" w:ascii="宋体" w:hAnsi="Times New Roman"/>
          <w:kern w:val="0"/>
          <w:szCs w:val="20"/>
        </w:rPr>
        <w:t>.4.3</w:t>
      </w:r>
      <w:r>
        <w:rPr>
          <w:rFonts w:hint="eastAsia" w:ascii="宋体" w:hAnsi="宋体"/>
        </w:rPr>
        <w:t>进行试验，试验后，不允许损坏，</w:t>
      </w:r>
      <w:r>
        <w:rPr>
          <w:rFonts w:hint="eastAsia"/>
        </w:rPr>
        <w:t>车载卫星定位系统输出的位置、速度和时间</w:t>
      </w:r>
      <w:r>
        <w:rPr>
          <w:rFonts w:hint="eastAsia" w:hAnsi="宋体"/>
        </w:rPr>
        <w:t>应满足</w:t>
      </w:r>
      <w:r>
        <w:rPr>
          <w:rFonts w:hint="eastAsia" w:ascii="宋体" w:hAnsi="宋体"/>
        </w:rPr>
        <w:t>5</w:t>
      </w:r>
      <w:r>
        <w:rPr>
          <w:rFonts w:ascii="宋体" w:hAnsi="宋体"/>
        </w:rPr>
        <w:t>.2.1.2.2</w:t>
      </w:r>
      <w:r>
        <w:rPr>
          <w:rFonts w:hint="eastAsia" w:ascii="宋体" w:hAnsi="宋体"/>
        </w:rPr>
        <w:t>，</w:t>
      </w:r>
      <w:r>
        <w:rPr>
          <w:rFonts w:ascii="宋体" w:hAnsi="宋体"/>
        </w:rPr>
        <w:t>5.2.1.3.2</w:t>
      </w:r>
      <w:r>
        <w:rPr>
          <w:rFonts w:hint="eastAsia" w:ascii="宋体" w:hAnsi="宋体"/>
        </w:rPr>
        <w:t>和5.2.5.2</w:t>
      </w:r>
      <w:r>
        <w:rPr>
          <w:rFonts w:hint="eastAsia" w:hAnsi="宋体"/>
        </w:rPr>
        <w:t>的要求</w:t>
      </w:r>
      <w:r>
        <w:rPr>
          <w:rFonts w:hint="eastAsia" w:ascii="宋体" w:hAnsi="宋体"/>
        </w:rPr>
        <w:t>。</w:t>
      </w:r>
    </w:p>
    <w:p>
      <w:pPr>
        <w:pStyle w:val="97"/>
        <w:spacing w:before="156" w:after="156"/>
      </w:pPr>
      <w:r>
        <w:rPr>
          <w:rFonts w:hint="eastAsia"/>
        </w:rPr>
        <w:t>高温工作</w:t>
      </w:r>
    </w:p>
    <w:p>
      <w:pPr>
        <w:ind w:firstLine="420" w:firstLineChars="200"/>
        <w:rPr>
          <w:rFonts w:ascii="宋体" w:hAnsi="宋体" w:cs="Arial"/>
        </w:rPr>
      </w:pPr>
      <w:r>
        <w:rPr>
          <w:rFonts w:hint="eastAsia" w:ascii="宋体" w:hAnsi="宋体"/>
        </w:rPr>
        <w:t>按照</w:t>
      </w:r>
      <w:r>
        <w:rPr>
          <w:rFonts w:hint="eastAsia" w:ascii="宋体" w:hAnsi="Times New Roman"/>
          <w:kern w:val="0"/>
          <w:szCs w:val="20"/>
        </w:rPr>
        <w:t>6.</w:t>
      </w:r>
      <w:r>
        <w:rPr>
          <w:rFonts w:ascii="宋体" w:hAnsi="Times New Roman"/>
          <w:kern w:val="0"/>
          <w:szCs w:val="20"/>
        </w:rPr>
        <w:t>5</w:t>
      </w:r>
      <w:r>
        <w:rPr>
          <w:rFonts w:hint="eastAsia" w:ascii="宋体" w:hAnsi="Times New Roman"/>
          <w:kern w:val="0"/>
          <w:szCs w:val="20"/>
        </w:rPr>
        <w:t>.4.4.</w:t>
      </w:r>
      <w:r>
        <w:rPr>
          <w:rFonts w:hint="eastAsia" w:ascii="宋体" w:hAnsi="宋体"/>
        </w:rPr>
        <w:t>进行试验，试验中和试验后，不允许损坏，</w:t>
      </w:r>
      <w:r>
        <w:rPr>
          <w:rFonts w:hint="eastAsia"/>
        </w:rPr>
        <w:t>车载卫星定位系统输出的位置、速度和时间</w:t>
      </w:r>
      <w:r>
        <w:rPr>
          <w:rFonts w:hint="eastAsia" w:hAnsi="宋体"/>
        </w:rPr>
        <w:t>应满足</w:t>
      </w:r>
      <w:r>
        <w:rPr>
          <w:rFonts w:hint="eastAsia" w:ascii="宋体" w:hAnsi="宋体"/>
        </w:rPr>
        <w:t>5</w:t>
      </w:r>
      <w:r>
        <w:rPr>
          <w:rFonts w:ascii="宋体" w:hAnsi="宋体"/>
        </w:rPr>
        <w:t>.2.1.2.2</w:t>
      </w:r>
      <w:r>
        <w:rPr>
          <w:rFonts w:hint="eastAsia" w:ascii="宋体" w:hAnsi="宋体"/>
        </w:rPr>
        <w:t>，</w:t>
      </w:r>
      <w:r>
        <w:rPr>
          <w:rFonts w:ascii="宋体" w:hAnsi="宋体"/>
        </w:rPr>
        <w:t>5.2.1.3.2</w:t>
      </w:r>
      <w:r>
        <w:rPr>
          <w:rFonts w:hint="eastAsia" w:ascii="宋体" w:hAnsi="宋体"/>
        </w:rPr>
        <w:t>和5.2.5.2</w:t>
      </w:r>
      <w:r>
        <w:rPr>
          <w:rFonts w:hint="eastAsia" w:hAnsi="宋体"/>
        </w:rPr>
        <w:t>的要求</w:t>
      </w:r>
      <w:r>
        <w:rPr>
          <w:rFonts w:hint="eastAsia" w:ascii="宋体" w:hAnsi="宋体" w:cs="Arial"/>
        </w:rPr>
        <w:t>。</w:t>
      </w:r>
    </w:p>
    <w:p>
      <w:pPr>
        <w:pStyle w:val="97"/>
        <w:spacing w:before="156" w:after="156"/>
      </w:pPr>
      <w:r>
        <w:rPr>
          <w:rFonts w:hint="eastAsia"/>
        </w:rPr>
        <w:t>温度梯度</w:t>
      </w:r>
    </w:p>
    <w:p>
      <w:pPr>
        <w:pStyle w:val="232"/>
      </w:pPr>
      <w:r>
        <w:rPr>
          <w:rFonts w:hint="eastAsia" w:hAnsi="宋体"/>
        </w:rPr>
        <w:t>按照</w:t>
      </w:r>
      <w:r>
        <w:rPr>
          <w:rFonts w:hint="eastAsia"/>
        </w:rPr>
        <w:t>6.</w:t>
      </w:r>
      <w:r>
        <w:t>5</w:t>
      </w:r>
      <w:r>
        <w:rPr>
          <w:rFonts w:hint="eastAsia"/>
        </w:rPr>
        <w:t>.4.5</w:t>
      </w:r>
      <w:r>
        <w:rPr>
          <w:rFonts w:hint="eastAsia" w:hAnsi="宋体"/>
        </w:rPr>
        <w:t>进行试验，试验中和试验后，不允许损坏，</w:t>
      </w:r>
      <w:r>
        <w:rPr>
          <w:rFonts w:hint="eastAsia"/>
        </w:rPr>
        <w:t>车载卫星定位系统输出的位置、速度和时间</w:t>
      </w:r>
      <w:r>
        <w:rPr>
          <w:rFonts w:hint="eastAsia" w:hAnsi="宋体"/>
        </w:rPr>
        <w:t>应满足5</w:t>
      </w:r>
      <w:r>
        <w:rPr>
          <w:rFonts w:hAnsi="宋体"/>
        </w:rPr>
        <w:t>.2.1.2.2</w:t>
      </w:r>
      <w:r>
        <w:rPr>
          <w:rFonts w:hint="eastAsia" w:hAnsi="宋体"/>
        </w:rPr>
        <w:t>，</w:t>
      </w:r>
      <w:r>
        <w:rPr>
          <w:rFonts w:hAnsi="宋体"/>
        </w:rPr>
        <w:t>5.2.1.3.2</w:t>
      </w:r>
      <w:r>
        <w:rPr>
          <w:rFonts w:hint="eastAsia" w:hAnsi="宋体"/>
        </w:rPr>
        <w:t>和5.2.5.2的要求。</w:t>
      </w:r>
    </w:p>
    <w:p>
      <w:pPr>
        <w:pStyle w:val="97"/>
        <w:spacing w:before="156" w:after="156"/>
      </w:pPr>
      <w:r>
        <w:rPr>
          <w:rFonts w:hint="eastAsia"/>
        </w:rPr>
        <w:t>规定变化率的温度循环</w:t>
      </w:r>
    </w:p>
    <w:p>
      <w:pPr>
        <w:pStyle w:val="232"/>
        <w:rPr>
          <w:rFonts w:hAnsi="宋体" w:cs="Arial"/>
        </w:rPr>
      </w:pPr>
      <w:r>
        <w:rPr>
          <w:rFonts w:hint="eastAsia" w:hAnsi="宋体"/>
        </w:rPr>
        <w:t>按照</w:t>
      </w:r>
      <w:r>
        <w:rPr>
          <w:rFonts w:hint="eastAsia"/>
        </w:rPr>
        <w:t>6.</w:t>
      </w:r>
      <w:r>
        <w:t>5</w:t>
      </w:r>
      <w:r>
        <w:rPr>
          <w:rFonts w:hint="eastAsia"/>
        </w:rPr>
        <w:t>.4.6</w:t>
      </w:r>
      <w:r>
        <w:rPr>
          <w:rFonts w:hint="eastAsia" w:hAnsi="宋体"/>
        </w:rPr>
        <w:t>进行试验，试验中和试验后</w:t>
      </w:r>
      <w:r>
        <w:rPr>
          <w:rFonts w:hint="eastAsia"/>
        </w:rPr>
        <w:t>,不允许损坏，车载卫星定位系统输出的位置、速度和时间</w:t>
      </w:r>
      <w:r>
        <w:rPr>
          <w:rFonts w:hint="eastAsia" w:hAnsi="宋体"/>
        </w:rPr>
        <w:t>应满足5</w:t>
      </w:r>
      <w:r>
        <w:rPr>
          <w:rFonts w:hAnsi="宋体"/>
        </w:rPr>
        <w:t>.2.1.2.2</w:t>
      </w:r>
      <w:r>
        <w:rPr>
          <w:rFonts w:hint="eastAsia" w:hAnsi="宋体"/>
        </w:rPr>
        <w:t>，</w:t>
      </w:r>
      <w:r>
        <w:rPr>
          <w:rFonts w:hAnsi="宋体"/>
        </w:rPr>
        <w:t>5.2.1.3.2</w:t>
      </w:r>
      <w:r>
        <w:rPr>
          <w:rFonts w:hint="eastAsia" w:hAnsi="宋体"/>
        </w:rPr>
        <w:t>和5.2.5.2的要求</w:t>
      </w:r>
      <w:r>
        <w:rPr>
          <w:rFonts w:hint="eastAsia" w:hAnsi="宋体" w:cs="Arial"/>
        </w:rPr>
        <w:t>。</w:t>
      </w:r>
    </w:p>
    <w:p>
      <w:pPr>
        <w:pStyle w:val="97"/>
        <w:spacing w:before="156" w:after="156"/>
      </w:pPr>
      <w:r>
        <w:rPr>
          <w:rFonts w:hint="eastAsia"/>
        </w:rPr>
        <w:t>规定转换时间的温度快速变化</w:t>
      </w:r>
    </w:p>
    <w:p>
      <w:pPr>
        <w:pStyle w:val="232"/>
        <w:rPr>
          <w:rFonts w:hAnsi="宋体" w:cs="Arial"/>
        </w:rPr>
      </w:pPr>
      <w:r>
        <w:rPr>
          <w:rFonts w:hint="eastAsia" w:hAnsi="宋体"/>
        </w:rPr>
        <w:t>按照</w:t>
      </w:r>
      <w:r>
        <w:rPr>
          <w:rFonts w:hint="eastAsia"/>
        </w:rPr>
        <w:t>6.</w:t>
      </w:r>
      <w:r>
        <w:t>5</w:t>
      </w:r>
      <w:r>
        <w:rPr>
          <w:rFonts w:hint="eastAsia"/>
        </w:rPr>
        <w:t>.4.7</w:t>
      </w:r>
      <w:r>
        <w:rPr>
          <w:rFonts w:hint="eastAsia" w:hAnsi="宋体"/>
        </w:rPr>
        <w:t>进行试验，试验后，不允许损坏，</w:t>
      </w:r>
      <w:r>
        <w:rPr>
          <w:rFonts w:hint="eastAsia"/>
        </w:rPr>
        <w:t>车载卫星定位系统输出的位置、速度和时间</w:t>
      </w:r>
      <w:r>
        <w:rPr>
          <w:rFonts w:hint="eastAsia" w:hAnsi="宋体"/>
        </w:rPr>
        <w:t>应满足5</w:t>
      </w:r>
      <w:r>
        <w:rPr>
          <w:rFonts w:hAnsi="宋体"/>
        </w:rPr>
        <w:t>.2.1.2.2</w:t>
      </w:r>
      <w:r>
        <w:rPr>
          <w:rFonts w:hint="eastAsia" w:hAnsi="宋体"/>
        </w:rPr>
        <w:t>，</w:t>
      </w:r>
      <w:r>
        <w:rPr>
          <w:rFonts w:hAnsi="宋体"/>
        </w:rPr>
        <w:t>5.2.1.3.2</w:t>
      </w:r>
      <w:r>
        <w:rPr>
          <w:rFonts w:hint="eastAsia" w:hAnsi="宋体"/>
        </w:rPr>
        <w:t>和5.2.5.2的要求</w:t>
      </w:r>
      <w:r>
        <w:rPr>
          <w:rFonts w:hint="eastAsia" w:hAnsi="宋体" w:cs="Arial"/>
        </w:rPr>
        <w:t>。</w:t>
      </w:r>
    </w:p>
    <w:p>
      <w:pPr>
        <w:pStyle w:val="97"/>
        <w:spacing w:before="156" w:after="156"/>
      </w:pPr>
      <w:r>
        <w:rPr>
          <w:rFonts w:hint="eastAsia"/>
        </w:rPr>
        <w:t>湿热循环</w:t>
      </w:r>
    </w:p>
    <w:p>
      <w:pPr>
        <w:pStyle w:val="232"/>
        <w:rPr>
          <w:rFonts w:hAnsi="宋体" w:cs="Arial"/>
        </w:rPr>
      </w:pPr>
      <w:r>
        <w:rPr>
          <w:rFonts w:hint="eastAsia" w:hAnsi="宋体"/>
        </w:rPr>
        <w:t>按照</w:t>
      </w:r>
      <w:r>
        <w:rPr>
          <w:rFonts w:hint="eastAsia"/>
        </w:rPr>
        <w:t>6.</w:t>
      </w:r>
      <w:r>
        <w:t>5</w:t>
      </w:r>
      <w:r>
        <w:rPr>
          <w:rFonts w:hint="eastAsia"/>
        </w:rPr>
        <w:t>.4.8</w:t>
      </w:r>
      <w:r>
        <w:rPr>
          <w:rFonts w:hint="eastAsia" w:hAnsi="宋体"/>
        </w:rPr>
        <w:t>进行试验，试验中和试验后，不允许损坏，</w:t>
      </w:r>
      <w:r>
        <w:rPr>
          <w:rFonts w:hint="eastAsia"/>
        </w:rPr>
        <w:t>车载卫星定位系统输出的位置、速度和时间</w:t>
      </w:r>
      <w:r>
        <w:rPr>
          <w:rFonts w:hint="eastAsia" w:hAnsi="宋体"/>
        </w:rPr>
        <w:t>应满足5</w:t>
      </w:r>
      <w:r>
        <w:rPr>
          <w:rFonts w:hAnsi="宋体"/>
        </w:rPr>
        <w:t>.2.1.2.2</w:t>
      </w:r>
      <w:r>
        <w:rPr>
          <w:rFonts w:hint="eastAsia" w:hAnsi="宋体"/>
        </w:rPr>
        <w:t>，</w:t>
      </w:r>
      <w:r>
        <w:rPr>
          <w:rFonts w:hAnsi="宋体"/>
        </w:rPr>
        <w:t>5.2.1.3.2</w:t>
      </w:r>
      <w:r>
        <w:rPr>
          <w:rFonts w:hint="eastAsia" w:hAnsi="宋体"/>
        </w:rPr>
        <w:t>和5.2.5.2的要求</w:t>
      </w:r>
      <w:r>
        <w:rPr>
          <w:rFonts w:hint="eastAsia" w:hAnsi="宋体" w:cs="Arial"/>
        </w:rPr>
        <w:t>。</w:t>
      </w:r>
    </w:p>
    <w:p>
      <w:pPr>
        <w:pStyle w:val="97"/>
        <w:spacing w:before="156" w:after="156"/>
      </w:pPr>
      <w:r>
        <w:rPr>
          <w:rFonts w:hint="eastAsia"/>
        </w:rPr>
        <w:t>稳态湿热</w:t>
      </w:r>
    </w:p>
    <w:p>
      <w:pPr>
        <w:pStyle w:val="232"/>
        <w:rPr>
          <w:rFonts w:hAnsi="宋体" w:cs="Arial"/>
        </w:rPr>
      </w:pPr>
      <w:r>
        <w:rPr>
          <w:rFonts w:hint="eastAsia" w:hAnsi="宋体"/>
        </w:rPr>
        <w:t>按照</w:t>
      </w:r>
      <w:r>
        <w:rPr>
          <w:rFonts w:hint="eastAsia"/>
        </w:rPr>
        <w:t>6.</w:t>
      </w:r>
      <w:r>
        <w:t>5</w:t>
      </w:r>
      <w:r>
        <w:rPr>
          <w:rFonts w:hint="eastAsia"/>
        </w:rPr>
        <w:t>.4.9</w:t>
      </w:r>
      <w:r>
        <w:rPr>
          <w:rFonts w:hint="eastAsia" w:hAnsi="宋体"/>
        </w:rPr>
        <w:t>进行试验，不允许损坏，且试验中最后</w:t>
      </w:r>
      <w:r>
        <w:rPr>
          <w:rFonts w:hint="eastAsia"/>
        </w:rPr>
        <w:t>1h</w:t>
      </w:r>
      <w:r>
        <w:rPr>
          <w:rFonts w:hint="eastAsia" w:hAnsi="宋体"/>
        </w:rPr>
        <w:t>和试验后，</w:t>
      </w:r>
      <w:r>
        <w:rPr>
          <w:rFonts w:hint="eastAsia"/>
        </w:rPr>
        <w:t>车载卫星定位系统输出的位置、速度和时间</w:t>
      </w:r>
      <w:r>
        <w:rPr>
          <w:rFonts w:hint="eastAsia" w:hAnsi="宋体"/>
        </w:rPr>
        <w:t>应满足5</w:t>
      </w:r>
      <w:r>
        <w:rPr>
          <w:rFonts w:hAnsi="宋体"/>
        </w:rPr>
        <w:t>.2.1.2.2</w:t>
      </w:r>
      <w:r>
        <w:rPr>
          <w:rFonts w:hint="eastAsia" w:hAnsi="宋体"/>
        </w:rPr>
        <w:t>，</w:t>
      </w:r>
      <w:r>
        <w:rPr>
          <w:rFonts w:hAnsi="宋体"/>
        </w:rPr>
        <w:t>5.2.1.3.2</w:t>
      </w:r>
      <w:r>
        <w:rPr>
          <w:rFonts w:hint="eastAsia" w:hAnsi="宋体"/>
        </w:rPr>
        <w:t>和5.2.5.2的要求。</w:t>
      </w:r>
    </w:p>
    <w:p>
      <w:pPr>
        <w:pStyle w:val="97"/>
        <w:spacing w:before="156" w:after="156"/>
      </w:pPr>
      <w:r>
        <w:rPr>
          <w:rFonts w:hint="eastAsia"/>
        </w:rPr>
        <w:t>太阳光辐射</w:t>
      </w:r>
    </w:p>
    <w:p>
      <w:pPr>
        <w:pStyle w:val="232"/>
      </w:pPr>
      <w:r>
        <w:rPr>
          <w:rFonts w:hint="eastAsia" w:hAnsi="宋体"/>
        </w:rPr>
        <w:t>安装在乘客舱内太阳直射处的车载卫星定位系统，按照</w:t>
      </w:r>
      <w:r>
        <w:rPr>
          <w:rFonts w:hint="eastAsia"/>
        </w:rPr>
        <w:t>6.</w:t>
      </w:r>
      <w:r>
        <w:t>5</w:t>
      </w:r>
      <w:r>
        <w:rPr>
          <w:rFonts w:hint="eastAsia"/>
        </w:rPr>
        <w:t>.4.10</w:t>
      </w:r>
      <w:r>
        <w:rPr>
          <w:rFonts w:hint="eastAsia" w:hAnsi="宋体"/>
        </w:rPr>
        <w:t>进行试验，试验后，表面不得有脱落、龟裂、起泡等现象。</w:t>
      </w:r>
    </w:p>
    <w:p>
      <w:pPr>
        <w:pStyle w:val="232"/>
      </w:pPr>
      <w:r>
        <w:rPr>
          <w:rFonts w:hint="eastAsia" w:hAnsi="宋体"/>
        </w:rPr>
        <w:t>安装在乘客舱内非太阳直射处的车载卫星定位系统不作要求。</w:t>
      </w:r>
    </w:p>
    <w:p>
      <w:pPr>
        <w:pStyle w:val="97"/>
        <w:spacing w:before="156" w:after="156"/>
      </w:pPr>
      <w:r>
        <w:rPr>
          <w:rFonts w:hint="eastAsia"/>
        </w:rPr>
        <w:t>防尘防水性能</w:t>
      </w:r>
    </w:p>
    <w:p>
      <w:pPr>
        <w:pStyle w:val="232"/>
        <w:rPr>
          <w:rFonts w:hAnsi="宋体" w:cs="Arial"/>
        </w:rPr>
      </w:pPr>
      <w:r>
        <w:rPr>
          <w:rFonts w:hint="eastAsia" w:hAnsi="宋体" w:cs="Arial"/>
        </w:rPr>
        <w:t>按照</w:t>
      </w:r>
      <w:r>
        <w:rPr>
          <w:rFonts w:hint="eastAsia"/>
        </w:rPr>
        <w:t>6.</w:t>
      </w:r>
      <w:r>
        <w:t>5</w:t>
      </w:r>
      <w:r>
        <w:rPr>
          <w:rFonts w:hint="eastAsia"/>
        </w:rPr>
        <w:t>.4.</w:t>
      </w:r>
      <w:r>
        <w:rPr>
          <w:rFonts w:hint="eastAsia" w:hAnsi="宋体" w:cs="Arial"/>
        </w:rPr>
        <w:t>11进行试验，安装于乘客舱内的</w:t>
      </w:r>
      <w:r>
        <w:rPr>
          <w:rFonts w:hint="eastAsia" w:hAnsi="宋体"/>
        </w:rPr>
        <w:t>车载卫星定位系统</w:t>
      </w:r>
      <w:r>
        <w:rPr>
          <w:rFonts w:hint="eastAsia" w:hAnsi="宋体" w:cs="Arial"/>
        </w:rPr>
        <w:t>其防护等级应符合GB/T 30038-2013中IP5K0的规定，试验后，</w:t>
      </w:r>
      <w:r>
        <w:rPr>
          <w:rFonts w:hint="eastAsia"/>
        </w:rPr>
        <w:t>车载卫星定位系统输出的位置、速度和时间</w:t>
      </w:r>
      <w:r>
        <w:rPr>
          <w:rFonts w:hint="eastAsia" w:hAnsi="宋体"/>
        </w:rPr>
        <w:t>应满足5</w:t>
      </w:r>
      <w:r>
        <w:rPr>
          <w:rFonts w:hAnsi="宋体"/>
        </w:rPr>
        <w:t>.2.1.2.2</w:t>
      </w:r>
      <w:r>
        <w:rPr>
          <w:rFonts w:hint="eastAsia" w:hAnsi="宋体"/>
        </w:rPr>
        <w:t>，</w:t>
      </w:r>
      <w:r>
        <w:rPr>
          <w:rFonts w:hAnsi="宋体"/>
        </w:rPr>
        <w:t>5.2.1.3.2</w:t>
      </w:r>
      <w:r>
        <w:rPr>
          <w:rFonts w:hint="eastAsia" w:hAnsi="宋体"/>
        </w:rPr>
        <w:t>和5.2.5.2的要求</w:t>
      </w:r>
      <w:r>
        <w:rPr>
          <w:rFonts w:hint="eastAsia" w:hAnsi="宋体" w:cs="Arial"/>
        </w:rPr>
        <w:t>。</w:t>
      </w:r>
    </w:p>
    <w:p>
      <w:pPr>
        <w:pStyle w:val="68"/>
        <w:spacing w:before="156" w:after="156"/>
      </w:pPr>
      <w:r>
        <w:rPr>
          <w:rFonts w:hint="eastAsia"/>
        </w:rPr>
        <w:t>化学负荷</w:t>
      </w:r>
    </w:p>
    <w:p>
      <w:pPr>
        <w:pStyle w:val="232"/>
        <w:rPr>
          <w:rFonts w:hAnsi="宋体"/>
        </w:rPr>
      </w:pPr>
      <w:r>
        <w:rPr>
          <w:rFonts w:hint="eastAsia" w:hAnsi="宋体"/>
        </w:rPr>
        <w:t>按照</w:t>
      </w:r>
      <w:r>
        <w:rPr>
          <w:rFonts w:hint="eastAsia"/>
        </w:rPr>
        <w:t>6.</w:t>
      </w:r>
      <w:r>
        <w:t>5</w:t>
      </w:r>
      <w:r>
        <w:rPr>
          <w:rFonts w:hint="eastAsia"/>
        </w:rPr>
        <w:t>.5</w:t>
      </w:r>
      <w:r>
        <w:rPr>
          <w:rFonts w:hint="eastAsia" w:hAnsi="宋体"/>
        </w:rPr>
        <w:t>进行试验，试验后，表面不应有起泡、龟裂、脱落、锈蚀，标志和标签应保持清晰可见，</w:t>
      </w:r>
      <w:r>
        <w:rPr>
          <w:rFonts w:hint="eastAsia"/>
        </w:rPr>
        <w:t>车载卫星定位系统输出的位置、速度和时间</w:t>
      </w:r>
      <w:r>
        <w:rPr>
          <w:rFonts w:hint="eastAsia" w:hAnsi="宋体"/>
        </w:rPr>
        <w:t>应满足5</w:t>
      </w:r>
      <w:r>
        <w:rPr>
          <w:rFonts w:hAnsi="宋体"/>
        </w:rPr>
        <w:t>.2.1.2.2</w:t>
      </w:r>
      <w:r>
        <w:rPr>
          <w:rFonts w:hint="eastAsia" w:hAnsi="宋体"/>
        </w:rPr>
        <w:t>，</w:t>
      </w:r>
      <w:r>
        <w:rPr>
          <w:rFonts w:hAnsi="宋体"/>
        </w:rPr>
        <w:t>5.2.1.3.2</w:t>
      </w:r>
      <w:r>
        <w:rPr>
          <w:rFonts w:hint="eastAsia" w:hAnsi="宋体"/>
        </w:rPr>
        <w:t>和5.2.5.2的要求。</w:t>
      </w:r>
    </w:p>
    <w:p>
      <w:pPr>
        <w:pStyle w:val="68"/>
        <w:spacing w:before="156" w:after="156"/>
      </w:pPr>
      <w:r>
        <w:rPr>
          <w:rFonts w:hint="eastAsia"/>
        </w:rPr>
        <w:t>耐久性要求</w:t>
      </w:r>
    </w:p>
    <w:p>
      <w:pPr>
        <w:pStyle w:val="59"/>
        <w:ind w:firstLine="420"/>
      </w:pPr>
      <w:r>
        <w:rPr>
          <w:rFonts w:hint="eastAsia"/>
        </w:rPr>
        <w:t>耐久性要求参见</w:t>
      </w:r>
      <w:r>
        <w:t>G.2</w:t>
      </w:r>
      <w:r>
        <w:rPr>
          <w:rFonts w:hint="eastAsia"/>
        </w:rPr>
        <w:t>。</w:t>
      </w:r>
    </w:p>
    <w:p>
      <w:pPr>
        <w:pStyle w:val="107"/>
        <w:spacing w:before="312" w:after="312"/>
      </w:pPr>
      <w:r>
        <w:rPr>
          <w:rFonts w:hint="eastAsia"/>
        </w:rPr>
        <w:t>试验方法</w:t>
      </w:r>
    </w:p>
    <w:p>
      <w:pPr>
        <w:pStyle w:val="108"/>
        <w:spacing w:before="156" w:after="156"/>
      </w:pPr>
      <w:r>
        <w:rPr>
          <w:rFonts w:hint="eastAsia"/>
        </w:rPr>
        <w:t>试验条件</w:t>
      </w:r>
    </w:p>
    <w:p>
      <w:pPr>
        <w:pStyle w:val="68"/>
        <w:spacing w:before="156" w:after="156"/>
      </w:pPr>
      <w:r>
        <w:rPr>
          <w:rFonts w:hint="eastAsia"/>
        </w:rPr>
        <w:t>试验环境条件</w:t>
      </w:r>
    </w:p>
    <w:p>
      <w:pPr>
        <w:pStyle w:val="232"/>
        <w:rPr>
          <w:rFonts w:hAnsi="宋体"/>
          <w:color w:val="000000"/>
        </w:rPr>
      </w:pPr>
      <w:r>
        <w:rPr>
          <w:rFonts w:hint="eastAsia" w:hAnsi="宋体"/>
          <w:color w:val="000000"/>
        </w:rPr>
        <w:t>如无其他规定，试验环境条件应符合表</w:t>
      </w:r>
      <w:r>
        <w:rPr>
          <w:rFonts w:hint="eastAsia"/>
          <w:color w:val="000000"/>
        </w:rPr>
        <w:t>4</w:t>
      </w:r>
      <w:r>
        <w:rPr>
          <w:rFonts w:hint="eastAsia" w:hAnsi="宋体"/>
          <w:color w:val="000000"/>
        </w:rPr>
        <w:t>的规定。</w:t>
      </w:r>
    </w:p>
    <w:p>
      <w:pPr>
        <w:pStyle w:val="115"/>
        <w:spacing w:before="156" w:after="156"/>
      </w:pPr>
      <w:r>
        <w:rPr>
          <w:rFonts w:hint="eastAsia"/>
        </w:rPr>
        <w:t>试验环境条件</w:t>
      </w:r>
    </w:p>
    <w:tbl>
      <w:tblPr>
        <w:tblStyle w:val="36"/>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110"/>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shd w:val="clear" w:color="auto" w:fill="auto"/>
          </w:tcPr>
          <w:p>
            <w:pPr>
              <w:pStyle w:val="232"/>
              <w:spacing w:line="240" w:lineRule="atLeast"/>
              <w:ind w:firstLine="0" w:firstLineChars="0"/>
              <w:jc w:val="center"/>
              <w:rPr>
                <w:rFonts w:hAnsi="宋体"/>
                <w:color w:val="000000"/>
                <w:sz w:val="18"/>
                <w:szCs w:val="18"/>
              </w:rPr>
            </w:pPr>
            <w:r>
              <w:rPr>
                <w:rFonts w:hint="eastAsia" w:hAnsi="宋体"/>
                <w:color w:val="000000"/>
                <w:sz w:val="18"/>
                <w:szCs w:val="18"/>
              </w:rPr>
              <w:t>温度</w:t>
            </w:r>
          </w:p>
          <w:p>
            <w:pPr>
              <w:pStyle w:val="181"/>
            </w:pPr>
            <w:r>
              <w:rPr>
                <w:rFonts w:hint="eastAsia" w:hAnsi="宋体"/>
                <w:color w:val="000000"/>
                <w:szCs w:val="18"/>
              </w:rPr>
              <w:t>℃</w:t>
            </w:r>
          </w:p>
        </w:tc>
        <w:tc>
          <w:tcPr>
            <w:tcW w:w="3112" w:type="dxa"/>
            <w:tcBorders>
              <w:top w:val="single" w:color="auto" w:sz="8" w:space="0"/>
              <w:bottom w:val="single" w:color="auto" w:sz="8" w:space="0"/>
            </w:tcBorders>
            <w:shd w:val="clear" w:color="auto" w:fill="auto"/>
          </w:tcPr>
          <w:p>
            <w:pPr>
              <w:pStyle w:val="232"/>
              <w:spacing w:line="240" w:lineRule="atLeast"/>
              <w:ind w:firstLine="0" w:firstLineChars="0"/>
              <w:jc w:val="center"/>
              <w:rPr>
                <w:rFonts w:hAnsi="宋体"/>
                <w:color w:val="000000"/>
                <w:sz w:val="18"/>
                <w:szCs w:val="18"/>
              </w:rPr>
            </w:pPr>
            <w:r>
              <w:rPr>
                <w:rFonts w:hint="eastAsia" w:hAnsi="宋体"/>
                <w:color w:val="000000"/>
                <w:sz w:val="18"/>
                <w:szCs w:val="18"/>
              </w:rPr>
              <w:t>相对湿度</w:t>
            </w:r>
          </w:p>
          <w:p>
            <w:pPr>
              <w:pStyle w:val="181"/>
            </w:pPr>
            <w:r>
              <w:rPr>
                <w:rFonts w:hint="eastAsia"/>
                <w:color w:val="000000"/>
                <w:szCs w:val="18"/>
              </w:rPr>
              <w:t>％</w:t>
            </w:r>
          </w:p>
        </w:tc>
        <w:tc>
          <w:tcPr>
            <w:tcW w:w="3112" w:type="dxa"/>
            <w:tcBorders>
              <w:top w:val="single" w:color="auto" w:sz="8" w:space="0"/>
              <w:bottom w:val="single" w:color="auto" w:sz="8" w:space="0"/>
            </w:tcBorders>
            <w:shd w:val="clear" w:color="auto" w:fill="auto"/>
          </w:tcPr>
          <w:p>
            <w:pPr>
              <w:pStyle w:val="232"/>
              <w:spacing w:line="240" w:lineRule="atLeast"/>
              <w:ind w:firstLine="0" w:firstLineChars="0"/>
              <w:jc w:val="center"/>
              <w:rPr>
                <w:color w:val="000000"/>
                <w:sz w:val="18"/>
                <w:szCs w:val="18"/>
              </w:rPr>
            </w:pPr>
            <w:r>
              <w:rPr>
                <w:rFonts w:hint="eastAsia"/>
                <w:color w:val="000000"/>
                <w:sz w:val="18"/>
                <w:szCs w:val="18"/>
              </w:rPr>
              <w:t>气压</w:t>
            </w:r>
          </w:p>
          <w:p>
            <w:pPr>
              <w:pStyle w:val="181"/>
            </w:pPr>
            <w:r>
              <w:rPr>
                <w:rFonts w:hint="eastAsia"/>
                <w:color w:val="000000"/>
                <w:szCs w:val="18"/>
              </w:rPr>
              <w:t>kPa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tcBorders>
              <w:top w:val="single" w:color="auto" w:sz="8" w:space="0"/>
            </w:tcBorders>
            <w:shd w:val="clear" w:color="auto" w:fill="auto"/>
          </w:tcPr>
          <w:p>
            <w:pPr>
              <w:pStyle w:val="181"/>
            </w:pPr>
            <w:r>
              <w:rPr>
                <w:rFonts w:hint="eastAsia" w:hAnsi="宋体"/>
                <w:color w:val="000000"/>
                <w:szCs w:val="18"/>
              </w:rPr>
              <w:t>23±5</w:t>
            </w:r>
          </w:p>
        </w:tc>
        <w:tc>
          <w:tcPr>
            <w:tcW w:w="3112" w:type="dxa"/>
            <w:tcBorders>
              <w:top w:val="single" w:color="auto" w:sz="8" w:space="0"/>
            </w:tcBorders>
            <w:shd w:val="clear" w:color="auto" w:fill="auto"/>
          </w:tcPr>
          <w:p>
            <w:pPr>
              <w:pStyle w:val="181"/>
            </w:pPr>
            <w:r>
              <w:rPr>
                <w:rFonts w:hint="eastAsia" w:hAnsi="宋体"/>
                <w:color w:val="000000"/>
                <w:szCs w:val="18"/>
              </w:rPr>
              <w:t>25～75</w:t>
            </w:r>
          </w:p>
        </w:tc>
        <w:tc>
          <w:tcPr>
            <w:tcW w:w="3112" w:type="dxa"/>
            <w:tcBorders>
              <w:top w:val="single" w:color="auto" w:sz="8" w:space="0"/>
            </w:tcBorders>
            <w:shd w:val="clear" w:color="auto" w:fill="auto"/>
          </w:tcPr>
          <w:p>
            <w:pPr>
              <w:pStyle w:val="181"/>
            </w:pPr>
            <w:r>
              <w:rPr>
                <w:rFonts w:hint="eastAsia"/>
                <w:color w:val="000000"/>
                <w:szCs w:val="18"/>
              </w:rPr>
              <w:t>86～106</w:t>
            </w:r>
          </w:p>
        </w:tc>
      </w:tr>
    </w:tbl>
    <w:p>
      <w:pPr>
        <w:pStyle w:val="68"/>
        <w:spacing w:before="156" w:after="156"/>
      </w:pPr>
      <w:r>
        <w:rPr>
          <w:rFonts w:hint="eastAsia"/>
        </w:rPr>
        <w:t>试验电压条件</w:t>
      </w:r>
    </w:p>
    <w:p>
      <w:pPr>
        <w:pStyle w:val="232"/>
        <w:rPr>
          <w:szCs w:val="21"/>
        </w:rPr>
      </w:pPr>
      <w:r>
        <w:rPr>
          <w:rFonts w:hint="eastAsia" w:hAnsi="宋体"/>
          <w:color w:val="000000"/>
        </w:rPr>
        <w:t>如无其他规定，</w:t>
      </w:r>
      <w:r>
        <w:rPr>
          <w:rFonts w:hint="eastAsia" w:hAnsi="宋体"/>
        </w:rPr>
        <w:t>试验电压条件应符合表</w:t>
      </w:r>
      <w:r>
        <w:t>5</w:t>
      </w:r>
      <w:r>
        <w:rPr>
          <w:rFonts w:hint="eastAsia" w:hAnsi="宋体"/>
        </w:rPr>
        <w:t>的规定。</w:t>
      </w:r>
    </w:p>
    <w:p>
      <w:pPr>
        <w:pStyle w:val="115"/>
        <w:spacing w:before="156" w:after="156"/>
      </w:pPr>
      <w:r>
        <w:rPr>
          <w:rFonts w:hint="eastAsia"/>
        </w:rPr>
        <w:t>试验电压条件</w:t>
      </w:r>
    </w:p>
    <w:p>
      <w:pPr>
        <w:pStyle w:val="59"/>
        <w:ind w:firstLine="420"/>
        <w:jc w:val="right"/>
      </w:pPr>
      <w:r>
        <w:rPr>
          <w:rFonts w:hint="eastAsia"/>
        </w:rPr>
        <w:t>单位为伏</w:t>
      </w:r>
    </w:p>
    <w:tbl>
      <w:tblPr>
        <w:tblStyle w:val="36"/>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667"/>
        <w:gridCol w:w="4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4667" w:type="dxa"/>
            <w:tcBorders>
              <w:top w:val="single" w:color="auto" w:sz="8" w:space="0"/>
              <w:bottom w:val="single" w:color="auto" w:sz="8" w:space="0"/>
            </w:tcBorders>
            <w:shd w:val="clear" w:color="auto" w:fill="auto"/>
          </w:tcPr>
          <w:p>
            <w:pPr>
              <w:pStyle w:val="181"/>
            </w:pPr>
            <w:r>
              <w:rPr>
                <w:rFonts w:hint="eastAsia" w:hAnsi="宋体"/>
                <w:color w:val="000000"/>
                <w:szCs w:val="18"/>
              </w:rPr>
              <w:t>车辆供电系统</w:t>
            </w:r>
          </w:p>
        </w:tc>
        <w:tc>
          <w:tcPr>
            <w:tcW w:w="4667" w:type="dxa"/>
            <w:tcBorders>
              <w:top w:val="single" w:color="auto" w:sz="8" w:space="0"/>
              <w:bottom w:val="single" w:color="auto" w:sz="8" w:space="0"/>
            </w:tcBorders>
            <w:shd w:val="clear" w:color="auto" w:fill="auto"/>
          </w:tcPr>
          <w:p>
            <w:pPr>
              <w:pStyle w:val="181"/>
            </w:pPr>
            <w:r>
              <w:rPr>
                <w:rFonts w:hint="eastAsia" w:hAnsi="宋体"/>
                <w:color w:val="000000"/>
                <w:szCs w:val="18"/>
              </w:rPr>
              <w:t>试验电压（U</w:t>
            </w:r>
            <w:r>
              <w:rPr>
                <w:rFonts w:hint="eastAsia" w:hAnsi="宋体"/>
                <w:color w:val="000000"/>
                <w:szCs w:val="18"/>
                <w:vertAlign w:val="subscript"/>
              </w:rPr>
              <w:t>t</w:t>
            </w:r>
            <w:r>
              <w:rPr>
                <w:rFonts w:hint="eastAsia" w:hAnsi="宋体"/>
                <w:color w:val="000000"/>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tcBorders>
              <w:top w:val="single" w:color="auto" w:sz="8" w:space="0"/>
            </w:tcBorders>
            <w:shd w:val="clear" w:color="auto" w:fill="auto"/>
          </w:tcPr>
          <w:p>
            <w:pPr>
              <w:pStyle w:val="181"/>
            </w:pPr>
            <w:r>
              <w:rPr>
                <w:rFonts w:hint="eastAsia" w:hAnsi="宋体"/>
                <w:color w:val="000000"/>
                <w:szCs w:val="18"/>
              </w:rPr>
              <w:t>12V系统</w:t>
            </w:r>
          </w:p>
        </w:tc>
        <w:tc>
          <w:tcPr>
            <w:tcW w:w="4667" w:type="dxa"/>
            <w:tcBorders>
              <w:top w:val="single" w:color="auto" w:sz="8" w:space="0"/>
            </w:tcBorders>
            <w:shd w:val="clear" w:color="auto" w:fill="auto"/>
          </w:tcPr>
          <w:p>
            <w:pPr>
              <w:pStyle w:val="181"/>
            </w:pPr>
            <w:r>
              <w:rPr>
                <w:rFonts w:hint="eastAsia"/>
                <w:color w:val="000000"/>
                <w:szCs w:val="18"/>
              </w:rPr>
              <w:t>14</w:t>
            </w:r>
            <w:r>
              <w:rPr>
                <w:rFonts w:hint="eastAsia" w:hAnsi="宋体"/>
                <w:color w:val="000000"/>
                <w:szCs w:val="18"/>
              </w:rP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81"/>
            </w:pPr>
            <w:r>
              <w:rPr>
                <w:rFonts w:hint="eastAsia" w:hAnsi="宋体"/>
                <w:color w:val="000000"/>
                <w:szCs w:val="18"/>
              </w:rPr>
              <w:t>24V系统</w:t>
            </w:r>
          </w:p>
        </w:tc>
        <w:tc>
          <w:tcPr>
            <w:tcW w:w="4667" w:type="dxa"/>
            <w:shd w:val="clear" w:color="auto" w:fill="auto"/>
          </w:tcPr>
          <w:p>
            <w:pPr>
              <w:pStyle w:val="181"/>
            </w:pPr>
            <w:r>
              <w:rPr>
                <w:rFonts w:hint="eastAsia"/>
                <w:color w:val="000000"/>
                <w:szCs w:val="18"/>
              </w:rPr>
              <w:t>28</w:t>
            </w:r>
            <w:r>
              <w:rPr>
                <w:rFonts w:hint="eastAsia" w:hAnsi="宋体"/>
                <w:color w:val="000000"/>
                <w:szCs w:val="18"/>
              </w:rPr>
              <w:t>±0.2</w:t>
            </w:r>
          </w:p>
        </w:tc>
      </w:tr>
    </w:tbl>
    <w:p>
      <w:pPr>
        <w:pStyle w:val="68"/>
        <w:spacing w:before="156" w:after="156"/>
      </w:pPr>
      <w:r>
        <w:rPr>
          <w:rFonts w:hint="eastAsia"/>
        </w:rPr>
        <w:t>试验连接一般要求</w:t>
      </w:r>
    </w:p>
    <w:p>
      <w:pPr>
        <w:pStyle w:val="97"/>
        <w:spacing w:before="156" w:after="156"/>
      </w:pPr>
      <w:r>
        <w:rPr>
          <w:rFonts w:hint="eastAsia"/>
        </w:rPr>
        <w:t>定位</w:t>
      </w:r>
    </w:p>
    <w:p>
      <w:pPr>
        <w:pStyle w:val="59"/>
        <w:ind w:firstLine="420"/>
      </w:pPr>
      <w:r>
        <w:rPr>
          <w:rFonts w:hint="eastAsia"/>
        </w:rPr>
        <w:t>按照图1示意图进行试验连接，试验环境应尽量避免存在同频或邻频干扰。</w:t>
      </w:r>
    </w:p>
    <w:p>
      <w:pPr>
        <w:pStyle w:val="59"/>
        <w:ind w:firstLine="0" w:firstLineChars="0"/>
        <w:jc w:val="center"/>
      </w:pPr>
      <w:bookmarkStart w:id="20" w:name="_Hlk74232756"/>
      <w:r>
        <w:object>
          <v:shape id="_x0000_i1025" o:spt="75" type="#_x0000_t75" style="height:78pt;width:238.5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bookmarkEnd w:id="20"/>
    </w:p>
    <w:p>
      <w:pPr>
        <w:pStyle w:val="117"/>
        <w:spacing w:before="156" w:after="156"/>
      </w:pPr>
      <w:r>
        <w:rPr>
          <w:rFonts w:hint="eastAsia"/>
        </w:rPr>
        <w:t>定位试验连接示意图</w:t>
      </w:r>
    </w:p>
    <w:p>
      <w:pPr>
        <w:pStyle w:val="97"/>
        <w:spacing w:before="156" w:after="156"/>
      </w:pPr>
      <w:r>
        <w:rPr>
          <w:rFonts w:hint="eastAsia"/>
        </w:rPr>
        <w:t>授时</w:t>
      </w:r>
    </w:p>
    <w:p>
      <w:pPr>
        <w:pStyle w:val="59"/>
        <w:ind w:firstLine="420"/>
      </w:pPr>
      <w:r>
        <w:rPr>
          <w:rFonts w:hint="eastAsia"/>
        </w:rPr>
        <w:t>按照图2示意图进行试验连接，保证DUT与测试系统</w:t>
      </w:r>
      <w:r>
        <w:t>1</w:t>
      </w:r>
      <w:r>
        <w:rPr>
          <w:rFonts w:hint="eastAsia"/>
        </w:rPr>
        <w:t>PPS连接线缆长度，与卫星信号模拟器到测试系统1PPS连接线缆长度相同，或对线缆时间延迟进行标定。试验环境应尽量避免存在同频或邻频干扰。</w:t>
      </w:r>
    </w:p>
    <w:p>
      <w:pPr>
        <w:pStyle w:val="232"/>
        <w:jc w:val="center"/>
      </w:pPr>
      <w:r>
        <w:object>
          <v:shape id="_x0000_i1026" o:spt="75" type="#_x0000_t75" style="height:123.75pt;width:346.5pt;" o:ole="t" filled="f" o:preferrelative="t" stroked="f" coordsize="21600,21600">
            <v:path/>
            <v:fill on="f" focussize="0,0"/>
            <v:stroke on="f" joinstyle="miter"/>
            <v:imagedata r:id="rId10" o:title=""/>
            <o:lock v:ext="edit" aspectratio="t"/>
            <w10:wrap type="none"/>
            <w10:anchorlock/>
          </v:shape>
          <o:OLEObject Type="Embed" ProgID="Visio.Drawing.15" ShapeID="_x0000_i1026" DrawAspect="Content" ObjectID="_1468075726" r:id="rId9">
            <o:LockedField>false</o:LockedField>
          </o:OLEObject>
        </w:object>
      </w:r>
    </w:p>
    <w:p>
      <w:pPr>
        <w:pStyle w:val="117"/>
        <w:spacing w:before="156" w:after="156"/>
        <w:ind w:firstLine="420"/>
      </w:pPr>
      <w:r>
        <w:rPr>
          <w:rFonts w:hint="eastAsia"/>
        </w:rPr>
        <w:t>授时试验连接示意图</w:t>
      </w:r>
    </w:p>
    <w:p>
      <w:pPr>
        <w:pStyle w:val="108"/>
        <w:spacing w:before="156" w:after="156"/>
      </w:pPr>
      <w:r>
        <w:rPr>
          <w:rFonts w:hint="eastAsia"/>
        </w:rPr>
        <w:t>试验设备</w:t>
      </w:r>
    </w:p>
    <w:p>
      <w:pPr>
        <w:pStyle w:val="68"/>
        <w:numPr>
          <w:ilvl w:val="3"/>
          <w:numId w:val="33"/>
        </w:numPr>
        <w:spacing w:before="156" w:after="156"/>
      </w:pPr>
      <w:r>
        <w:rPr>
          <w:rFonts w:hint="eastAsia"/>
        </w:rPr>
        <w:t>卫星信号模拟器</w:t>
      </w:r>
    </w:p>
    <w:p>
      <w:pPr>
        <w:pStyle w:val="97"/>
        <w:numPr>
          <w:ilvl w:val="4"/>
          <w:numId w:val="33"/>
        </w:numPr>
        <w:spacing w:before="156" w:after="156"/>
      </w:pPr>
      <w:r>
        <w:rPr>
          <w:rFonts w:hint="eastAsia"/>
        </w:rPr>
        <w:t>覆盖频段及信号种类要求</w:t>
      </w:r>
    </w:p>
    <w:p>
      <w:pPr>
        <w:pStyle w:val="232"/>
      </w:pPr>
      <w:r>
        <w:rPr>
          <w:rFonts w:hint="eastAsia"/>
        </w:rPr>
        <w:t>卫星信号模拟器产生的信号应具有与卫星信号相同的特性，在正常动态星座下，应能产生几何位置良好（PDOP≤</w:t>
      </w:r>
      <w:r>
        <w:t>2.5</w:t>
      </w:r>
      <w:r>
        <w:rPr>
          <w:rFonts w:hint="eastAsia"/>
        </w:rPr>
        <w:t>）的卫星信号，经纬度连续变化。</w:t>
      </w:r>
    </w:p>
    <w:p>
      <w:pPr>
        <w:pStyle w:val="97"/>
        <w:numPr>
          <w:ilvl w:val="4"/>
          <w:numId w:val="33"/>
        </w:numPr>
        <w:spacing w:before="156" w:after="156"/>
      </w:pPr>
      <w:r>
        <w:rPr>
          <w:rFonts w:hint="eastAsia"/>
        </w:rPr>
        <w:t>数学仿真功能要求</w:t>
      </w:r>
    </w:p>
    <w:p>
      <w:pPr>
        <w:pStyle w:val="232"/>
      </w:pPr>
      <w:r>
        <w:rPr>
          <w:rFonts w:hint="eastAsia"/>
        </w:rPr>
        <w:t>数学仿真功能应能完成星座仿真、大气传播仿真、用户轨迹仿真。具体包括：</w:t>
      </w:r>
    </w:p>
    <w:p>
      <w:pPr>
        <w:pStyle w:val="232"/>
      </w:pPr>
      <w:r>
        <w:rPr>
          <w:rFonts w:hint="eastAsia"/>
        </w:rPr>
        <w:t>a） 星座仿真：应能完成单卫星星座及混合卫星星座的仿真。</w:t>
      </w:r>
    </w:p>
    <w:p>
      <w:pPr>
        <w:pStyle w:val="232"/>
      </w:pPr>
      <w:r>
        <w:rPr>
          <w:rFonts w:hint="eastAsia"/>
        </w:rPr>
        <w:t>b） 大气传播仿真：应能完成电离层延迟仿真和对流层延迟仿真。</w:t>
      </w:r>
    </w:p>
    <w:p>
      <w:pPr>
        <w:pStyle w:val="232"/>
      </w:pPr>
      <w:r>
        <w:rPr>
          <w:rFonts w:hint="eastAsia"/>
        </w:rPr>
        <w:t>c） 用户轨迹仿真：应能仿真静态、动态运动轨迹。</w:t>
      </w:r>
    </w:p>
    <w:p>
      <w:pPr>
        <w:pStyle w:val="68"/>
        <w:spacing w:before="156" w:after="156"/>
      </w:pPr>
      <w:r>
        <w:rPr>
          <w:rFonts w:hint="eastAsia"/>
        </w:rPr>
        <w:t>原子钟</w:t>
      </w:r>
    </w:p>
    <w:p>
      <w:pPr>
        <w:pStyle w:val="59"/>
        <w:ind w:firstLine="420"/>
      </w:pPr>
      <w:r>
        <w:rPr>
          <w:rFonts w:hint="eastAsia"/>
        </w:rPr>
        <w:t>原子钟作为标准时间频率提供装置，应至少具备输出10MHz信号的能力，</w:t>
      </w:r>
      <w:r>
        <w:rPr>
          <w:rFonts w:hint="eastAsia" w:hAnsi="宋体"/>
          <w:szCs w:val="21"/>
        </w:rPr>
        <w:t>频率</w:t>
      </w:r>
      <w:r>
        <w:rPr>
          <w:rFonts w:hint="eastAsia"/>
        </w:rPr>
        <w:t>稳定性优于2×10</w:t>
      </w:r>
      <w:r>
        <w:rPr>
          <w:rFonts w:hint="eastAsia"/>
          <w:vertAlign w:val="superscript"/>
        </w:rPr>
        <w:t>-11</w:t>
      </w:r>
      <w:r>
        <w:rPr>
          <w:rFonts w:hint="eastAsia"/>
        </w:rPr>
        <w:t>。</w:t>
      </w:r>
    </w:p>
    <w:p>
      <w:pPr>
        <w:pStyle w:val="108"/>
        <w:spacing w:before="156" w:after="156"/>
      </w:pPr>
      <w:r>
        <w:rPr>
          <w:rFonts w:hint="eastAsia"/>
        </w:rPr>
        <w:t>功能一致性试验</w:t>
      </w:r>
    </w:p>
    <w:p>
      <w:pPr>
        <w:pStyle w:val="68"/>
        <w:numPr>
          <w:ilvl w:val="3"/>
          <w:numId w:val="33"/>
        </w:numPr>
        <w:spacing w:before="156" w:after="156"/>
      </w:pPr>
      <w:bookmarkStart w:id="21" w:name="_Hlk83395857"/>
      <w:r>
        <w:rPr>
          <w:rFonts w:hint="eastAsia"/>
        </w:rPr>
        <w:t>输出</w:t>
      </w:r>
    </w:p>
    <w:p>
      <w:pPr>
        <w:pStyle w:val="59"/>
        <w:ind w:firstLine="420"/>
      </w:pPr>
      <w:r>
        <w:rPr>
          <w:rFonts w:hint="eastAsia"/>
        </w:rPr>
        <w:t>根据附录</w:t>
      </w:r>
      <w:r>
        <w:t>B</w:t>
      </w:r>
      <w:r>
        <w:rPr>
          <w:rFonts w:hint="eastAsia"/>
        </w:rPr>
        <w:t>使车载卫星定位系统处于冷启动状态。</w:t>
      </w:r>
      <w:bookmarkStart w:id="22" w:name="_Hlk76473597"/>
      <w:r>
        <w:rPr>
          <w:rFonts w:hint="eastAsia"/>
        </w:rPr>
        <w:t>卫星信号模拟器按C.1.1和表C.2运行开阔天空动态试验场景。</w:t>
      </w:r>
      <w:bookmarkEnd w:id="22"/>
      <w:r>
        <w:rPr>
          <w:rFonts w:hint="eastAsia"/>
        </w:rPr>
        <w:t>当车载卫星定位系统首次连续10次输出三维定位误差不超过100</w:t>
      </w:r>
      <w:r>
        <w:t>M</w:t>
      </w:r>
      <w:r>
        <w:rPr>
          <w:rFonts w:hint="eastAsia"/>
        </w:rPr>
        <w:t>的定位数据时，检查其输出的N</w:t>
      </w:r>
      <w:r>
        <w:t>MEA</w:t>
      </w:r>
      <w:r>
        <w:rPr>
          <w:rFonts w:hint="eastAsia"/>
        </w:rPr>
        <w:t>信息及更新率。</w:t>
      </w:r>
    </w:p>
    <w:p>
      <w:pPr>
        <w:pStyle w:val="59"/>
        <w:ind w:firstLine="420"/>
      </w:pPr>
      <w:r>
        <w:rPr>
          <w:rFonts w:hint="eastAsia"/>
        </w:rPr>
        <w:t>在车载卫星定位系统实现正常动态定位的情况下，减少可视卫星的数量至2颗，检查GGA,VTG，G</w:t>
      </w:r>
      <w:r>
        <w:t>SA</w:t>
      </w:r>
      <w:r>
        <w:rPr>
          <w:rFonts w:hint="eastAsia"/>
        </w:rPr>
        <w:t>和R</w:t>
      </w:r>
      <w:r>
        <w:t>MC</w:t>
      </w:r>
      <w:r>
        <w:rPr>
          <w:rFonts w:hint="eastAsia"/>
        </w:rPr>
        <w:t>输出的有效性标识或模式指示位。</w:t>
      </w:r>
    </w:p>
    <w:p>
      <w:pPr>
        <w:pStyle w:val="68"/>
        <w:numPr>
          <w:ilvl w:val="3"/>
          <w:numId w:val="33"/>
        </w:numPr>
        <w:spacing w:before="156" w:after="156"/>
      </w:pPr>
      <w:r>
        <w:rPr>
          <w:rFonts w:hint="eastAsia"/>
        </w:rPr>
        <w:t>支持卫星信号一致性</w:t>
      </w:r>
    </w:p>
    <w:p>
      <w:pPr>
        <w:pStyle w:val="232"/>
      </w:pPr>
      <w:r>
        <w:rPr>
          <w:rFonts w:hint="eastAsia" w:hAnsi="宋体"/>
        </w:rPr>
        <w:t>根据附录B使车载卫星定位系统处于冷启动状态。</w:t>
      </w:r>
      <w:r>
        <w:rPr>
          <w:rFonts w:hint="eastAsia"/>
        </w:rPr>
        <w:t>卫星信号模拟器按C.1.1和表C.2运行开阔天空动态试验场景。当车载卫星定位系统首次连续10次输出三维定位误差不超过100m的定位数据时，检查其输出的</w:t>
      </w:r>
      <w:r>
        <w:t>GSV</w:t>
      </w:r>
      <w:r>
        <w:rPr>
          <w:rFonts w:hint="eastAsia"/>
        </w:rPr>
        <w:t>和G</w:t>
      </w:r>
      <w:r>
        <w:t>SA</w:t>
      </w:r>
      <w:r>
        <w:rPr>
          <w:rFonts w:hint="eastAsia"/>
        </w:rPr>
        <w:t>信息。</w:t>
      </w:r>
    </w:p>
    <w:bookmarkEnd w:id="21"/>
    <w:p>
      <w:pPr>
        <w:pStyle w:val="68"/>
        <w:spacing w:before="156" w:after="156"/>
      </w:pPr>
      <w:r>
        <w:rPr>
          <w:rFonts w:hint="eastAsia" w:hAnsi="黑体"/>
        </w:rPr>
        <w:t>接收独立</w:t>
      </w:r>
      <w:r>
        <w:rPr>
          <w:rFonts w:hint="eastAsia"/>
        </w:rPr>
        <w:t>北斗信号工作</w:t>
      </w:r>
    </w:p>
    <w:p>
      <w:pPr>
        <w:pStyle w:val="97"/>
        <w:numPr>
          <w:ilvl w:val="4"/>
          <w:numId w:val="33"/>
        </w:numPr>
        <w:spacing w:before="156" w:after="156"/>
      </w:pPr>
      <w:r>
        <w:t>独立北斗</w:t>
      </w:r>
      <w:r>
        <w:rPr>
          <w:rFonts w:hint="eastAsia"/>
        </w:rPr>
        <w:t>静态定位精度</w:t>
      </w:r>
    </w:p>
    <w:p>
      <w:pPr>
        <w:pStyle w:val="101"/>
        <w:spacing w:before="156" w:after="156"/>
      </w:pPr>
      <w:bookmarkStart w:id="23" w:name="_Hlk76386793"/>
      <w:r>
        <w:rPr>
          <w:rFonts w:hint="eastAsia"/>
        </w:rPr>
        <w:t>开阔天空场景</w:t>
      </w:r>
    </w:p>
    <w:p>
      <w:pPr>
        <w:pStyle w:val="59"/>
        <w:ind w:firstLine="420"/>
        <w:rPr>
          <w:rFonts w:hAnsi="宋体"/>
        </w:rPr>
      </w:pPr>
      <w:bookmarkStart w:id="24" w:name="_Hlk76377917"/>
      <w:r>
        <w:rPr>
          <w:rFonts w:hint="eastAsia" w:hAnsi="宋体"/>
        </w:rPr>
        <w:t>根据附录</w:t>
      </w:r>
      <w:r>
        <w:rPr>
          <w:rFonts w:hAnsi="宋体"/>
        </w:rPr>
        <w:t>B</w:t>
      </w:r>
      <w:r>
        <w:rPr>
          <w:rFonts w:hint="eastAsia" w:hAnsi="宋体"/>
        </w:rPr>
        <w:t>使车载卫星定位系统处于冷启动状态。</w:t>
      </w:r>
      <w:r>
        <w:rPr>
          <w:rFonts w:hint="eastAsia"/>
        </w:rPr>
        <w:t>卫星信号模拟器按C.1.1和表C.</w:t>
      </w:r>
      <w:r>
        <w:t>3</w:t>
      </w:r>
      <w:r>
        <w:rPr>
          <w:rFonts w:hint="eastAsia"/>
        </w:rPr>
        <w:t>运行开阔天空独立北斗静态试验场景。</w:t>
      </w:r>
      <w:r>
        <w:rPr>
          <w:rFonts w:hint="eastAsia" w:hAnsi="宋体"/>
        </w:rPr>
        <w:t>以卫星信号模拟器仿真的位置作为标准位置，将车载卫星定位系统输出的定位数据与标准位置进行比较，根据附录</w:t>
      </w:r>
      <w:r>
        <w:rPr>
          <w:rFonts w:hAnsi="宋体"/>
        </w:rPr>
        <w:t>D</w:t>
      </w:r>
      <w:r>
        <w:rPr>
          <w:rFonts w:hint="eastAsia" w:hAnsi="宋体"/>
        </w:rPr>
        <w:t>计算定位精度。</w:t>
      </w:r>
    </w:p>
    <w:p>
      <w:pPr>
        <w:pStyle w:val="101"/>
        <w:spacing w:before="156" w:after="156"/>
      </w:pPr>
      <w:r>
        <w:rPr>
          <w:rFonts w:hint="eastAsia"/>
        </w:rPr>
        <w:t>城市峡谷场景</w:t>
      </w:r>
    </w:p>
    <w:p>
      <w:pPr>
        <w:pStyle w:val="59"/>
        <w:ind w:firstLine="420"/>
      </w:pPr>
      <w:r>
        <w:rPr>
          <w:rFonts w:hint="eastAsia"/>
        </w:rPr>
        <w:t>根据附录B使车载卫星定位系统处于冷启动状态。卫星信号模拟器按C.1.2和表C.</w:t>
      </w:r>
      <w:r>
        <w:t>3</w:t>
      </w:r>
      <w:r>
        <w:rPr>
          <w:rFonts w:hint="eastAsia"/>
        </w:rPr>
        <w:t>运行城市峡谷独立北斗静态试验场景。以卫星信号模拟器仿真的位置作为标准位置，将车载卫星定位系统输出的定位数据与标准位置进行比较，根据附录D计算定位精度。</w:t>
      </w:r>
    </w:p>
    <w:bookmarkEnd w:id="23"/>
    <w:bookmarkEnd w:id="24"/>
    <w:p>
      <w:pPr>
        <w:pStyle w:val="97"/>
        <w:numPr>
          <w:ilvl w:val="4"/>
          <w:numId w:val="33"/>
        </w:numPr>
        <w:spacing w:before="156" w:after="156"/>
      </w:pPr>
      <w:r>
        <w:rPr>
          <w:rFonts w:hint="eastAsia"/>
        </w:rPr>
        <w:t>独立北斗动态定位精度</w:t>
      </w:r>
    </w:p>
    <w:p>
      <w:pPr>
        <w:pStyle w:val="101"/>
        <w:numPr>
          <w:ilvl w:val="5"/>
          <w:numId w:val="33"/>
        </w:numPr>
        <w:spacing w:before="156" w:after="156"/>
      </w:pPr>
      <w:r>
        <w:rPr>
          <w:rFonts w:hint="eastAsia"/>
        </w:rPr>
        <w:t>开阔天空场景</w:t>
      </w:r>
    </w:p>
    <w:p>
      <w:pPr>
        <w:pStyle w:val="232"/>
        <w:rPr>
          <w:rFonts w:hAnsi="宋体"/>
        </w:rPr>
      </w:pPr>
      <w:r>
        <w:rPr>
          <w:rFonts w:hint="eastAsia" w:hAnsi="宋体"/>
        </w:rPr>
        <w:t>根据附录</w:t>
      </w:r>
      <w:r>
        <w:rPr>
          <w:rFonts w:hAnsi="宋体"/>
        </w:rPr>
        <w:t>B</w:t>
      </w:r>
      <w:r>
        <w:rPr>
          <w:rFonts w:hint="eastAsia" w:hAnsi="宋体"/>
        </w:rPr>
        <w:t>使车载卫星定位系统处于冷启动状态。</w:t>
      </w:r>
      <w:r>
        <w:rPr>
          <w:rFonts w:hint="eastAsia"/>
        </w:rPr>
        <w:t>卫星信号模拟器按C.1.1和表C.</w:t>
      </w:r>
      <w:r>
        <w:t>4</w:t>
      </w:r>
      <w:r>
        <w:rPr>
          <w:rFonts w:hint="eastAsia"/>
        </w:rPr>
        <w:t>运行开阔天空独立北斗动态试验场景。</w:t>
      </w:r>
      <w:r>
        <w:rPr>
          <w:rFonts w:hint="eastAsia" w:hAnsi="宋体"/>
        </w:rPr>
        <w:t>以卫星信号模拟器仿真的位置作为标准位置，将车载卫星定位系统输出的定位数据与标准位置进行比较，根据附录</w:t>
      </w:r>
      <w:r>
        <w:rPr>
          <w:rFonts w:hAnsi="宋体"/>
        </w:rPr>
        <w:t>D</w:t>
      </w:r>
      <w:r>
        <w:rPr>
          <w:rFonts w:hint="eastAsia" w:hAnsi="宋体"/>
        </w:rPr>
        <w:t>计算定位精度。</w:t>
      </w:r>
    </w:p>
    <w:p>
      <w:pPr>
        <w:pStyle w:val="101"/>
        <w:spacing w:before="156" w:after="156"/>
      </w:pPr>
      <w:r>
        <w:rPr>
          <w:rFonts w:hint="eastAsia"/>
        </w:rPr>
        <w:t>城市峡谷场景</w:t>
      </w:r>
    </w:p>
    <w:p>
      <w:pPr>
        <w:pStyle w:val="232"/>
      </w:pPr>
      <w:r>
        <w:rPr>
          <w:rFonts w:hint="eastAsia"/>
        </w:rPr>
        <w:t>根据附录B使车载卫星定位系统处于冷启动状态。</w:t>
      </w:r>
      <w:bookmarkStart w:id="25" w:name="_Hlk76473928"/>
      <w:r>
        <w:rPr>
          <w:rFonts w:hint="eastAsia"/>
        </w:rPr>
        <w:t>卫星信号模拟器按C.1.</w:t>
      </w:r>
      <w:r>
        <w:t>2</w:t>
      </w:r>
      <w:r>
        <w:rPr>
          <w:rFonts w:hint="eastAsia"/>
        </w:rPr>
        <w:t>和表C.</w:t>
      </w:r>
      <w:r>
        <w:t>4</w:t>
      </w:r>
      <w:r>
        <w:rPr>
          <w:rFonts w:hint="eastAsia"/>
        </w:rPr>
        <w:t>运行城市峡谷</w:t>
      </w:r>
      <w:r>
        <w:rPr>
          <w:rFonts w:hint="eastAsia" w:hAnsi="宋体"/>
        </w:rPr>
        <w:t>独立北斗</w:t>
      </w:r>
      <w:r>
        <w:rPr>
          <w:rFonts w:hint="eastAsia"/>
        </w:rPr>
        <w:t>动态试验场景。</w:t>
      </w:r>
      <w:bookmarkEnd w:id="25"/>
      <w:r>
        <w:rPr>
          <w:rFonts w:hint="eastAsia"/>
        </w:rPr>
        <w:t>以卫星信号模拟器仿真的位置作为标准位置，将车载卫星定位系统输出的定位数据与标准位置进行比较，根据附录D计算定位精度。</w:t>
      </w:r>
    </w:p>
    <w:p>
      <w:pPr>
        <w:pStyle w:val="97"/>
        <w:numPr>
          <w:ilvl w:val="4"/>
          <w:numId w:val="33"/>
        </w:numPr>
        <w:spacing w:before="156" w:after="156"/>
      </w:pPr>
      <w:r>
        <w:rPr>
          <w:rFonts w:hint="eastAsia"/>
        </w:rPr>
        <w:t>独立北斗测速精度</w:t>
      </w:r>
    </w:p>
    <w:p>
      <w:pPr>
        <w:pStyle w:val="101"/>
        <w:numPr>
          <w:ilvl w:val="5"/>
          <w:numId w:val="33"/>
        </w:numPr>
        <w:spacing w:before="156" w:after="156"/>
        <w:rPr>
          <w:rFonts w:hAnsi="宋体"/>
        </w:rPr>
      </w:pPr>
      <w:r>
        <w:rPr>
          <w:rFonts w:hint="eastAsia"/>
        </w:rPr>
        <w:t>开阔天空场景</w:t>
      </w:r>
    </w:p>
    <w:p>
      <w:pPr>
        <w:pStyle w:val="232"/>
      </w:pPr>
      <w:r>
        <w:rPr>
          <w:rFonts w:hint="eastAsia" w:hAnsi="宋体"/>
        </w:rPr>
        <w:t>根据附录</w:t>
      </w:r>
      <w:r>
        <w:rPr>
          <w:rFonts w:hAnsi="宋体"/>
        </w:rPr>
        <w:t>B</w:t>
      </w:r>
      <w:r>
        <w:rPr>
          <w:rFonts w:hint="eastAsia" w:hAnsi="宋体"/>
        </w:rPr>
        <w:t>使车载卫星定位系统处于冷启动状态。</w:t>
      </w:r>
      <w:r>
        <w:rPr>
          <w:rFonts w:hint="eastAsia"/>
        </w:rPr>
        <w:t>卫星信号模拟器按C.1.1和表C.</w:t>
      </w:r>
      <w:r>
        <w:t>4</w:t>
      </w:r>
      <w:r>
        <w:rPr>
          <w:rFonts w:hint="eastAsia"/>
        </w:rPr>
        <w:t>运行开阔天空</w:t>
      </w:r>
      <w:r>
        <w:rPr>
          <w:rFonts w:hint="eastAsia" w:hAnsi="宋体"/>
        </w:rPr>
        <w:t>独立北斗</w:t>
      </w:r>
      <w:r>
        <w:rPr>
          <w:rFonts w:hint="eastAsia"/>
        </w:rPr>
        <w:t>动态试验场景</w:t>
      </w:r>
      <w:r>
        <w:rPr>
          <w:rFonts w:hint="eastAsia" w:hAnsi="宋体"/>
        </w:rPr>
        <w:t>。</w:t>
      </w:r>
      <w:r>
        <w:rPr>
          <w:rFonts w:hint="eastAsia"/>
        </w:rPr>
        <w:t>以卫星信号模拟器仿真的速度作为标准速度，将车载卫星定位系统输出的速度数据与标准速度进行比较，</w:t>
      </w:r>
      <w:r>
        <w:rPr>
          <w:rFonts w:hint="eastAsia" w:hAnsi="宋体"/>
        </w:rPr>
        <w:t>根据</w:t>
      </w:r>
      <w:r>
        <w:rPr>
          <w:rFonts w:hint="eastAsia"/>
        </w:rPr>
        <w:t>附录</w:t>
      </w:r>
      <w:r>
        <w:t>E</w:t>
      </w:r>
      <w:r>
        <w:rPr>
          <w:rFonts w:hint="eastAsia"/>
        </w:rPr>
        <w:t>计算测速精度。</w:t>
      </w:r>
    </w:p>
    <w:p>
      <w:pPr>
        <w:pStyle w:val="101"/>
        <w:spacing w:before="156" w:after="156"/>
      </w:pPr>
      <w:r>
        <w:rPr>
          <w:rFonts w:hint="eastAsia"/>
        </w:rPr>
        <w:t>城市峡谷场景</w:t>
      </w:r>
    </w:p>
    <w:p>
      <w:pPr>
        <w:pStyle w:val="232"/>
      </w:pPr>
      <w:r>
        <w:rPr>
          <w:rFonts w:hint="eastAsia"/>
        </w:rPr>
        <w:t>根据附录B使车载卫星定位系统处于冷启动状态。卫星信号模拟器按C.1.</w:t>
      </w:r>
      <w:r>
        <w:t>2</w:t>
      </w:r>
      <w:r>
        <w:rPr>
          <w:rFonts w:hint="eastAsia"/>
        </w:rPr>
        <w:t>和表C.</w:t>
      </w:r>
      <w:r>
        <w:t>4</w:t>
      </w:r>
      <w:r>
        <w:rPr>
          <w:rFonts w:hint="eastAsia"/>
        </w:rPr>
        <w:t>运行城市峡谷</w:t>
      </w:r>
      <w:r>
        <w:rPr>
          <w:rFonts w:hint="eastAsia" w:hAnsi="宋体"/>
        </w:rPr>
        <w:t>独立北斗</w:t>
      </w:r>
      <w:r>
        <w:rPr>
          <w:rFonts w:hint="eastAsia"/>
        </w:rPr>
        <w:t>动态试验场景。以卫星信号模拟器仿真的速度作为标准速度，将车载卫星定位系统输出的速度数据与标准速度进行比较，根据附录E计算测速精度。</w:t>
      </w:r>
    </w:p>
    <w:p>
      <w:pPr>
        <w:pStyle w:val="97"/>
        <w:numPr>
          <w:ilvl w:val="4"/>
          <w:numId w:val="33"/>
        </w:numPr>
        <w:spacing w:before="156" w:after="156"/>
      </w:pPr>
      <w:r>
        <w:rPr>
          <w:rFonts w:hint="eastAsia"/>
        </w:rPr>
        <w:t>独立北斗首次定位时间</w:t>
      </w:r>
    </w:p>
    <w:p>
      <w:pPr>
        <w:pStyle w:val="101"/>
        <w:spacing w:before="156" w:after="156"/>
      </w:pPr>
      <w:r>
        <w:rPr>
          <w:rFonts w:hint="eastAsia"/>
        </w:rPr>
        <w:t>独立北斗冷启动首次定位时间</w:t>
      </w:r>
    </w:p>
    <w:p>
      <w:pPr>
        <w:pStyle w:val="232"/>
      </w:pPr>
      <w:r>
        <w:rPr>
          <w:rFonts w:hint="eastAsia" w:hAnsi="宋体"/>
        </w:rPr>
        <w:t>根据附录</w:t>
      </w:r>
      <w:r>
        <w:rPr>
          <w:rFonts w:hAnsi="宋体"/>
        </w:rPr>
        <w:t>B</w:t>
      </w:r>
      <w:r>
        <w:rPr>
          <w:rFonts w:hint="eastAsia" w:hAnsi="宋体"/>
        </w:rPr>
        <w:t>使车载卫星定位系统处于冷启动状态。</w:t>
      </w:r>
      <w:r>
        <w:rPr>
          <w:rFonts w:hint="eastAsia"/>
        </w:rPr>
        <w:t>卫星信号模拟器按C.1.1和表C.</w:t>
      </w:r>
      <w:r>
        <w:t>3</w:t>
      </w:r>
      <w:r>
        <w:rPr>
          <w:rFonts w:hint="eastAsia"/>
        </w:rPr>
        <w:t>运行开阔天空</w:t>
      </w:r>
      <w:r>
        <w:rPr>
          <w:rFonts w:hint="eastAsia" w:hAnsi="宋体"/>
        </w:rPr>
        <w:t>独立北斗</w:t>
      </w:r>
      <w:r>
        <w:rPr>
          <w:rFonts w:hint="eastAsia"/>
        </w:rPr>
        <w:t>静态试验场景</w:t>
      </w:r>
      <w:r>
        <w:rPr>
          <w:rFonts w:hint="eastAsia" w:hAnsi="宋体"/>
        </w:rPr>
        <w:t>。</w:t>
      </w:r>
      <w:r>
        <w:rPr>
          <w:rFonts w:hint="eastAsia"/>
        </w:rPr>
        <w:t>识别出车载卫星定位系统首次连续10次输出三维定位误差不超过100m的定位数据的时刻，计算从开始运行试验场景到上述10个输出时刻中第1个时刻的时间间隔。</w:t>
      </w:r>
    </w:p>
    <w:p>
      <w:pPr>
        <w:pStyle w:val="101"/>
        <w:spacing w:before="156" w:after="156"/>
      </w:pPr>
      <w:r>
        <w:rPr>
          <w:rFonts w:hint="eastAsia"/>
        </w:rPr>
        <w:t>独立北斗热启动首次定位时间</w:t>
      </w:r>
    </w:p>
    <w:p>
      <w:pPr>
        <w:pStyle w:val="59"/>
        <w:ind w:firstLine="420"/>
      </w:pPr>
      <w:r>
        <w:rPr>
          <w:rFonts w:hint="eastAsia"/>
        </w:rPr>
        <w:t>卫星信号模拟器按C.1.1和表C.</w:t>
      </w:r>
      <w:r>
        <w:t>3</w:t>
      </w:r>
      <w:r>
        <w:rPr>
          <w:rFonts w:hint="eastAsia"/>
        </w:rPr>
        <w:t>运行开阔天空</w:t>
      </w:r>
      <w:r>
        <w:rPr>
          <w:rFonts w:hint="eastAsia" w:hAnsi="宋体"/>
        </w:rPr>
        <w:t>独立北斗</w:t>
      </w:r>
      <w:r>
        <w:rPr>
          <w:rFonts w:hint="eastAsia"/>
        </w:rPr>
        <w:t>静态试验场景。</w:t>
      </w:r>
      <w:r>
        <w:rPr>
          <w:rFonts w:hint="eastAsia" w:hAnsi="宋体"/>
        </w:rPr>
        <w:t>在车载卫星定位系统正常定位状态下，对车载卫星定位系统进行关闭或休眠操作，60s后打开或唤醒车载卫星定位系统</w:t>
      </w:r>
      <w:r>
        <w:rPr>
          <w:rFonts w:hint="eastAsia"/>
        </w:rPr>
        <w:t>。识别出车载卫星定位系统首次连续10次输出三维定位误差不超过100m定位数据的时刻，计算从开始运行试验场景到上述10个输出时刻中第1个时刻的时间间隔。</w:t>
      </w:r>
    </w:p>
    <w:p>
      <w:pPr>
        <w:pStyle w:val="97"/>
        <w:numPr>
          <w:ilvl w:val="4"/>
          <w:numId w:val="33"/>
        </w:numPr>
        <w:spacing w:before="156" w:after="156"/>
      </w:pPr>
      <w:r>
        <w:rPr>
          <w:rFonts w:hint="eastAsia"/>
        </w:rPr>
        <w:t>独立北斗重捕获时间</w:t>
      </w:r>
    </w:p>
    <w:p>
      <w:pPr>
        <w:pStyle w:val="232"/>
        <w:rPr>
          <w:rFonts w:hAnsi="宋体"/>
        </w:rPr>
      </w:pPr>
      <w:r>
        <w:rPr>
          <w:rFonts w:hint="eastAsia"/>
        </w:rPr>
        <w:t>卫星信号模拟器按C.1.1和表C.</w:t>
      </w:r>
      <w:r>
        <w:t>3</w:t>
      </w:r>
      <w:r>
        <w:rPr>
          <w:rFonts w:hint="eastAsia"/>
        </w:rPr>
        <w:t>运行开阔天空</w:t>
      </w:r>
      <w:r>
        <w:rPr>
          <w:rFonts w:hint="eastAsia" w:hAnsi="宋体"/>
        </w:rPr>
        <w:t>独立北斗</w:t>
      </w:r>
      <w:r>
        <w:rPr>
          <w:rFonts w:hint="eastAsia"/>
        </w:rPr>
        <w:t>静态试验场景</w:t>
      </w:r>
      <w:r>
        <w:rPr>
          <w:rFonts w:hint="eastAsia" w:hAnsi="宋体"/>
        </w:rPr>
        <w:t>。在车载卫星定位系统正常定位状态下，中断卫星信号模拟器输出信号</w:t>
      </w:r>
      <w:r>
        <w:rPr>
          <w:rFonts w:hint="eastAsia"/>
        </w:rPr>
        <w:t>，30s后恢复输出。识别出车载卫星定位系统首次连续10次输出三维定位误差不超过100m定位数据的时刻，计算从卫星信号恢复到上述10个输出时刻中第1个时刻的时间间隔</w:t>
      </w:r>
      <w:r>
        <w:rPr>
          <w:rFonts w:hint="eastAsia" w:hAnsi="宋体"/>
        </w:rPr>
        <w:t>。</w:t>
      </w:r>
    </w:p>
    <w:p>
      <w:pPr>
        <w:pStyle w:val="97"/>
        <w:numPr>
          <w:ilvl w:val="4"/>
          <w:numId w:val="33"/>
        </w:numPr>
        <w:spacing w:before="156" w:after="156"/>
      </w:pPr>
      <w:r>
        <w:rPr>
          <w:rFonts w:hint="eastAsia"/>
        </w:rPr>
        <w:t>独立北斗灵敏度</w:t>
      </w:r>
    </w:p>
    <w:p>
      <w:pPr>
        <w:pStyle w:val="101"/>
        <w:spacing w:before="156" w:after="156"/>
      </w:pPr>
      <w:r>
        <w:rPr>
          <w:rFonts w:hint="eastAsia"/>
        </w:rPr>
        <w:t>独立北斗捕获灵敏度</w:t>
      </w:r>
    </w:p>
    <w:p>
      <w:pPr>
        <w:pStyle w:val="59"/>
        <w:ind w:firstLine="420"/>
      </w:pPr>
      <w:bookmarkStart w:id="26" w:name="_Hlk74212086"/>
      <w:r>
        <w:rPr>
          <w:rFonts w:hint="eastAsia"/>
        </w:rPr>
        <w:t>根据附录</w:t>
      </w:r>
      <w:r>
        <w:t>B</w:t>
      </w:r>
      <w:r>
        <w:rPr>
          <w:rFonts w:hint="eastAsia"/>
        </w:rPr>
        <w:t>使车载卫星定位系统处于冷启动状态。卫星信号模拟器按C.1.1和表C.</w:t>
      </w:r>
      <w:r>
        <w:t>3</w:t>
      </w:r>
      <w:r>
        <w:rPr>
          <w:rFonts w:hint="eastAsia"/>
        </w:rPr>
        <w:t>运行开阔天空</w:t>
      </w:r>
      <w:r>
        <w:rPr>
          <w:rFonts w:hint="eastAsia" w:hAnsi="宋体"/>
        </w:rPr>
        <w:t>独立北斗</w:t>
      </w:r>
      <w:r>
        <w:rPr>
          <w:rFonts w:hint="eastAsia"/>
        </w:rPr>
        <w:t>静态试验场景。设置卫星信号模拟器输出的所有通道信号功率电平从车载卫星定位系统不能捕获的量值开始，以1dB步进增加。若车载卫星定位系统技术文件声明的捕获灵敏度量值低于5.2.4.1要求的限值，可以从比其声明的灵敏度量值低2dB的功率电平值开始。</w:t>
      </w:r>
    </w:p>
    <w:p>
      <w:pPr>
        <w:pStyle w:val="59"/>
        <w:ind w:firstLine="420"/>
      </w:pPr>
      <w:r>
        <w:rPr>
          <w:rFonts w:hint="eastAsia"/>
        </w:rPr>
        <w:t>在卫星信号模拟器输出的每个信号功率电平下，判断车载卫星定位系统能否在300s内捕获卫星信号，并连续10次输出三维定位误差小于100m的定位数据，记录首次满足该条件的功率电平值。</w:t>
      </w:r>
    </w:p>
    <w:bookmarkEnd w:id="26"/>
    <w:p>
      <w:pPr>
        <w:pStyle w:val="101"/>
        <w:spacing w:before="156" w:after="156"/>
      </w:pPr>
      <w:r>
        <w:rPr>
          <w:rFonts w:hint="eastAsia"/>
        </w:rPr>
        <w:t>独立北斗重捕获灵敏度</w:t>
      </w:r>
    </w:p>
    <w:p>
      <w:pPr>
        <w:pStyle w:val="232"/>
      </w:pPr>
      <w:r>
        <w:rPr>
          <w:rFonts w:hint="eastAsia"/>
        </w:rPr>
        <w:t>卫星信号模拟器按C.1.1和表C.</w:t>
      </w:r>
      <w:r>
        <w:t>3</w:t>
      </w:r>
      <w:r>
        <w:rPr>
          <w:rFonts w:hint="eastAsia"/>
        </w:rPr>
        <w:t>运行开阔天空</w:t>
      </w:r>
      <w:r>
        <w:rPr>
          <w:rFonts w:hint="eastAsia" w:hAnsi="宋体"/>
        </w:rPr>
        <w:t>独立北斗</w:t>
      </w:r>
      <w:r>
        <w:rPr>
          <w:rFonts w:hint="eastAsia"/>
        </w:rPr>
        <w:t>静态试验场景</w:t>
      </w:r>
      <w:r>
        <w:rPr>
          <w:rFonts w:hint="eastAsia" w:hAnsi="宋体"/>
        </w:rPr>
        <w:t>，使</w:t>
      </w:r>
      <w:r>
        <w:rPr>
          <w:rFonts w:hint="eastAsia"/>
        </w:rPr>
        <w:t>车载卫星定位系统正常定位。控制卫星信号模拟器中断信号30s，随后设置卫星信号模拟器输出的所有通道信号功率电平从车载卫星定位系统不能捕获的量值开始，以1dB步进增加。若车载卫星定位系统技术文件声明的重捕获灵敏度量值低于5.2.4.2要求的限值，可以从比其声明的灵敏度量值低2dB的功率电平值开始。</w:t>
      </w:r>
    </w:p>
    <w:p>
      <w:pPr>
        <w:pStyle w:val="232"/>
      </w:pPr>
      <w:r>
        <w:rPr>
          <w:rFonts w:hint="eastAsia"/>
        </w:rPr>
        <w:t>在卫星信号模拟器输出的每个信号功率电平下，判断车载卫星定位系统能否在信号恢复后</w:t>
      </w:r>
      <w:r>
        <w:t>180</w:t>
      </w:r>
      <w:r>
        <w:rPr>
          <w:rFonts w:hint="eastAsia"/>
        </w:rPr>
        <w:t>s内捕获卫星信号，并连续10次输出三维定位误差小于100m的定位数据，记录首次满足该条件的功率电平值。</w:t>
      </w:r>
    </w:p>
    <w:p>
      <w:pPr>
        <w:pStyle w:val="101"/>
        <w:spacing w:before="156" w:after="156"/>
      </w:pPr>
      <w:r>
        <w:rPr>
          <w:rFonts w:hint="eastAsia"/>
        </w:rPr>
        <w:t>独立北斗跟踪灵敏度</w:t>
      </w:r>
    </w:p>
    <w:p>
      <w:pPr>
        <w:pStyle w:val="232"/>
        <w:rPr>
          <w:rFonts w:hAnsi="宋体"/>
        </w:rPr>
      </w:pPr>
      <w:r>
        <w:rPr>
          <w:rFonts w:hint="eastAsia"/>
        </w:rPr>
        <w:t>卫星信号模拟器按C.1.1和表C.</w:t>
      </w:r>
      <w:r>
        <w:t>3</w:t>
      </w:r>
      <w:r>
        <w:rPr>
          <w:rFonts w:hint="eastAsia"/>
        </w:rPr>
        <w:t>运行开阔天空</w:t>
      </w:r>
      <w:r>
        <w:rPr>
          <w:rFonts w:hint="eastAsia" w:hAnsi="宋体"/>
        </w:rPr>
        <w:t>独立北斗</w:t>
      </w:r>
      <w:r>
        <w:rPr>
          <w:rFonts w:hint="eastAsia"/>
        </w:rPr>
        <w:t>静态试验场景</w:t>
      </w:r>
      <w:r>
        <w:rPr>
          <w:rFonts w:hint="eastAsia" w:hAnsi="宋体"/>
        </w:rPr>
        <w:t>，使</w:t>
      </w:r>
      <w:r>
        <w:rPr>
          <w:rFonts w:hint="eastAsia"/>
        </w:rPr>
        <w:t>车载卫星定位系统正常定位。</w:t>
      </w:r>
      <w:r>
        <w:rPr>
          <w:rFonts w:hint="eastAsia" w:hAnsi="宋体"/>
        </w:rPr>
        <w:t>设置卫星信号模拟器输出的所有通道信号功率电平以1dB步进降低。</w:t>
      </w:r>
    </w:p>
    <w:p>
      <w:pPr>
        <w:pStyle w:val="232"/>
      </w:pPr>
      <w:r>
        <w:rPr>
          <w:rFonts w:hint="eastAsia"/>
        </w:rPr>
        <w:t>在模拟器输出的每个信号功率电平下，判断车载卫星定位系统能否在</w:t>
      </w:r>
      <w:r>
        <w:t>120</w:t>
      </w:r>
      <w:r>
        <w:rPr>
          <w:rFonts w:hint="eastAsia"/>
        </w:rPr>
        <w:t>s内连续10次输出三维定位误差小于100m的定位数据，记录首次不满足该条件的功率电平值。</w:t>
      </w:r>
    </w:p>
    <w:p>
      <w:pPr>
        <w:pStyle w:val="97"/>
        <w:numPr>
          <w:ilvl w:val="4"/>
          <w:numId w:val="33"/>
        </w:numPr>
        <w:spacing w:before="156" w:after="156"/>
      </w:pPr>
      <w:r>
        <w:rPr>
          <w:rFonts w:hint="eastAsia"/>
        </w:rPr>
        <w:t>独立北斗授时性能</w:t>
      </w:r>
    </w:p>
    <w:p>
      <w:pPr>
        <w:pStyle w:val="101"/>
        <w:numPr>
          <w:ilvl w:val="5"/>
          <w:numId w:val="33"/>
        </w:numPr>
        <w:spacing w:before="156" w:after="156"/>
      </w:pPr>
      <w:r>
        <w:rPr>
          <w:rFonts w:hint="eastAsia"/>
        </w:rPr>
        <w:t>开阔天空场景</w:t>
      </w:r>
    </w:p>
    <w:p>
      <w:pPr>
        <w:pStyle w:val="232"/>
      </w:pPr>
      <w:r>
        <w:rPr>
          <w:rFonts w:hint="eastAsia"/>
        </w:rPr>
        <w:t>根据图1搭建测试环境。根据附录B使车载卫星定位系统处于冷启动状态。卫星信号模拟器按C.1.1和表C.</w:t>
      </w:r>
      <w:r>
        <w:t>3</w:t>
      </w:r>
      <w:r>
        <w:rPr>
          <w:rFonts w:hint="eastAsia"/>
        </w:rPr>
        <w:t>运行开阔天空独立北斗静态试验场景。当车载卫星定位系统连续10次输出三维定位误差不超过100m的定位数据时，记录车载卫星定位系统输出的GGA信息。</w:t>
      </w:r>
    </w:p>
    <w:p>
      <w:pPr>
        <w:pStyle w:val="232"/>
      </w:pPr>
      <w:r>
        <w:rPr>
          <w:rFonts w:hint="eastAsia"/>
        </w:rPr>
        <w:t>若车载卫星定位系统具备输出1PPS信息能力，则按照图2搭建授时测试环境。根据附录</w:t>
      </w:r>
      <w:r>
        <w:t>B</w:t>
      </w:r>
      <w:r>
        <w:rPr>
          <w:rFonts w:hint="eastAsia"/>
        </w:rPr>
        <w:t>使车载卫星定位系统处于冷启动状态。卫星信号模拟器按C.1.1和表C.</w:t>
      </w:r>
      <w:r>
        <w:t>3</w:t>
      </w:r>
      <w:r>
        <w:rPr>
          <w:rFonts w:hint="eastAsia"/>
        </w:rPr>
        <w:t>运行开阔天空</w:t>
      </w:r>
      <w:r>
        <w:rPr>
          <w:rFonts w:hint="eastAsia" w:hAnsi="宋体"/>
        </w:rPr>
        <w:t>独立北斗</w:t>
      </w:r>
      <w:r>
        <w:rPr>
          <w:rFonts w:hint="eastAsia"/>
        </w:rPr>
        <w:t>静态试验场景。当车载卫星定位系统连续10次输出三维定位误差不超过100m的定位数据时，记录车载卫星定位系统输出的1PPS上升沿与卫星信号模拟器输出1PPS上升沿的时间差，试验时长为2</w:t>
      </w:r>
      <w:r>
        <w:t>4h</w:t>
      </w:r>
      <w:r>
        <w:rPr>
          <w:rFonts w:hint="eastAsia"/>
        </w:rPr>
        <w:t>，</w:t>
      </w:r>
      <w:r>
        <w:rPr>
          <w:rFonts w:hint="eastAsia" w:hAnsi="宋体"/>
        </w:rPr>
        <w:t>根据附录</w:t>
      </w:r>
      <w:r>
        <w:rPr>
          <w:rFonts w:hAnsi="宋体"/>
        </w:rPr>
        <w:t>F</w:t>
      </w:r>
      <w:r>
        <w:rPr>
          <w:rFonts w:hint="eastAsia" w:hAnsi="宋体"/>
        </w:rPr>
        <w:t>计算授时精度</w:t>
      </w:r>
      <w:r>
        <w:rPr>
          <w:rFonts w:hint="eastAsia"/>
        </w:rPr>
        <w:t>。</w:t>
      </w:r>
    </w:p>
    <w:p>
      <w:pPr>
        <w:pStyle w:val="101"/>
        <w:spacing w:before="156" w:after="156"/>
      </w:pPr>
      <w:r>
        <w:rPr>
          <w:rFonts w:hint="eastAsia"/>
        </w:rPr>
        <w:t>城市峡谷场景</w:t>
      </w:r>
    </w:p>
    <w:p>
      <w:pPr>
        <w:pStyle w:val="232"/>
      </w:pPr>
      <w:r>
        <w:rPr>
          <w:rFonts w:hint="eastAsia"/>
        </w:rPr>
        <w:t>按照图1搭建测试环境。根据附录B使车载卫星定位系统处于冷启动状态。卫星信号模拟器按C.1.2和表C.3运行城市峡谷独立北斗静态试验场景。当车载卫星定位系统连续10次输出三维定位误差不超过100m的定位数据时，记录车载卫星定位系统输出的GGA信息。</w:t>
      </w:r>
    </w:p>
    <w:p>
      <w:pPr>
        <w:pStyle w:val="232"/>
      </w:pPr>
      <w:r>
        <w:rPr>
          <w:rFonts w:hint="eastAsia"/>
        </w:rPr>
        <w:t>若车载卫星定位系统具备输出1PPS信息能力，则按照图2搭建授时测试环境。按照图2搭建测试环境。根据附录B使车载卫星定位系统处于冷启动状态。卫星信号模拟器按C.1.</w:t>
      </w:r>
      <w:r>
        <w:t>2</w:t>
      </w:r>
      <w:r>
        <w:rPr>
          <w:rFonts w:hint="eastAsia"/>
        </w:rPr>
        <w:t>和表C.</w:t>
      </w:r>
      <w:r>
        <w:t>3</w:t>
      </w:r>
      <w:r>
        <w:rPr>
          <w:rFonts w:hint="eastAsia"/>
        </w:rPr>
        <w:t>运行城市峡谷</w:t>
      </w:r>
      <w:r>
        <w:rPr>
          <w:rFonts w:hint="eastAsia" w:hAnsi="宋体"/>
        </w:rPr>
        <w:t>独立北斗</w:t>
      </w:r>
      <w:r>
        <w:rPr>
          <w:rFonts w:hint="eastAsia"/>
        </w:rPr>
        <w:t>静态试验场景。当车载卫星定位系统连续10次输出三维定位误差不超过100m的定位数据时，记录车载卫星定位系统输出的1PPS上升沿与卫星信号模拟器输出1PPS上升沿的时间差，试验时长为2</w:t>
      </w:r>
      <w:r>
        <w:t>4h</w:t>
      </w:r>
      <w:r>
        <w:rPr>
          <w:rFonts w:hint="eastAsia"/>
        </w:rPr>
        <w:t>，</w:t>
      </w:r>
      <w:r>
        <w:rPr>
          <w:rFonts w:hint="eastAsia" w:hAnsi="宋体"/>
        </w:rPr>
        <w:t>根据附录</w:t>
      </w:r>
      <w:r>
        <w:rPr>
          <w:rFonts w:hAnsi="宋体"/>
        </w:rPr>
        <w:t>F</w:t>
      </w:r>
      <w:r>
        <w:rPr>
          <w:rFonts w:hint="eastAsia" w:hAnsi="宋体"/>
        </w:rPr>
        <w:t>计算授时精度</w:t>
      </w:r>
      <w:r>
        <w:rPr>
          <w:rFonts w:hint="eastAsia"/>
        </w:rPr>
        <w:t>。</w:t>
      </w:r>
    </w:p>
    <w:p>
      <w:pPr>
        <w:pStyle w:val="108"/>
        <w:numPr>
          <w:ilvl w:val="2"/>
          <w:numId w:val="33"/>
        </w:numPr>
        <w:spacing w:before="156" w:after="156"/>
      </w:pPr>
      <w:r>
        <w:rPr>
          <w:rFonts w:hint="eastAsia"/>
        </w:rPr>
        <w:t>性能试验</w:t>
      </w:r>
    </w:p>
    <w:p>
      <w:pPr>
        <w:pStyle w:val="68"/>
        <w:numPr>
          <w:ilvl w:val="3"/>
          <w:numId w:val="33"/>
        </w:numPr>
        <w:spacing w:before="156" w:after="156"/>
      </w:pPr>
      <w:r>
        <w:rPr>
          <w:rFonts w:hint="eastAsia"/>
        </w:rPr>
        <w:t>精度试验</w:t>
      </w:r>
    </w:p>
    <w:p>
      <w:pPr>
        <w:pStyle w:val="97"/>
        <w:numPr>
          <w:ilvl w:val="4"/>
          <w:numId w:val="33"/>
        </w:numPr>
        <w:spacing w:before="156" w:after="156"/>
      </w:pPr>
      <w:r>
        <w:rPr>
          <w:rFonts w:hint="eastAsia"/>
        </w:rPr>
        <w:t>静态定位精度</w:t>
      </w:r>
    </w:p>
    <w:p>
      <w:pPr>
        <w:pStyle w:val="101"/>
        <w:numPr>
          <w:ilvl w:val="5"/>
          <w:numId w:val="33"/>
        </w:numPr>
        <w:spacing w:before="156" w:after="156"/>
      </w:pPr>
      <w:r>
        <w:rPr>
          <w:rFonts w:hint="eastAsia"/>
        </w:rPr>
        <w:t>开阔天空场景</w:t>
      </w:r>
    </w:p>
    <w:p>
      <w:pPr>
        <w:pStyle w:val="59"/>
        <w:ind w:firstLine="420"/>
        <w:rPr>
          <w:rFonts w:hAnsi="宋体"/>
        </w:rPr>
      </w:pPr>
      <w:r>
        <w:rPr>
          <w:rFonts w:hint="eastAsia" w:hAnsi="宋体"/>
        </w:rPr>
        <w:t>根据附录</w:t>
      </w:r>
      <w:r>
        <w:rPr>
          <w:rFonts w:hAnsi="宋体"/>
        </w:rPr>
        <w:t>B</w:t>
      </w:r>
      <w:r>
        <w:rPr>
          <w:rFonts w:hint="eastAsia" w:hAnsi="宋体"/>
        </w:rPr>
        <w:t>使车载卫星定位系统处于冷启动状态。</w:t>
      </w:r>
      <w:r>
        <w:rPr>
          <w:rFonts w:hint="eastAsia"/>
        </w:rPr>
        <w:t>卫星信号模拟器按C.1.1和表C.</w:t>
      </w:r>
      <w:r>
        <w:t>1</w:t>
      </w:r>
      <w:r>
        <w:rPr>
          <w:rFonts w:hint="eastAsia"/>
        </w:rPr>
        <w:t>运行开阔天空静态试验场景</w:t>
      </w:r>
      <w:r>
        <w:rPr>
          <w:rFonts w:hint="eastAsia" w:hAnsi="宋体"/>
        </w:rPr>
        <w:t>。以卫星信号模拟器仿真的位置作为标准位置，将车载卫星定位系统输出的定位数据与标准位置进行比较，根据附录</w:t>
      </w:r>
      <w:r>
        <w:rPr>
          <w:rFonts w:hAnsi="宋体"/>
        </w:rPr>
        <w:t>D</w:t>
      </w:r>
      <w:r>
        <w:rPr>
          <w:rFonts w:hint="eastAsia" w:hAnsi="宋体"/>
        </w:rPr>
        <w:t>计算定位精度。</w:t>
      </w:r>
    </w:p>
    <w:p>
      <w:pPr>
        <w:pStyle w:val="101"/>
        <w:spacing w:before="156" w:after="156"/>
      </w:pPr>
      <w:r>
        <w:rPr>
          <w:rFonts w:hint="eastAsia"/>
        </w:rPr>
        <w:t>城市峡谷场景</w:t>
      </w:r>
    </w:p>
    <w:p>
      <w:pPr>
        <w:pStyle w:val="59"/>
        <w:ind w:firstLine="420"/>
        <w:rPr>
          <w:rFonts w:hAnsi="宋体"/>
        </w:rPr>
      </w:pPr>
      <w:r>
        <w:rPr>
          <w:rFonts w:hint="eastAsia" w:hAnsi="宋体"/>
        </w:rPr>
        <w:t>根据附录B使车载卫星定位系统处于冷启动状态。</w:t>
      </w:r>
      <w:r>
        <w:rPr>
          <w:rFonts w:hint="eastAsia"/>
        </w:rPr>
        <w:t>卫星信号模拟器按C.1.</w:t>
      </w:r>
      <w:r>
        <w:t>2</w:t>
      </w:r>
      <w:r>
        <w:rPr>
          <w:rFonts w:hint="eastAsia"/>
        </w:rPr>
        <w:t>和表C.</w:t>
      </w:r>
      <w:r>
        <w:t>1</w:t>
      </w:r>
      <w:r>
        <w:rPr>
          <w:rFonts w:hint="eastAsia"/>
        </w:rPr>
        <w:t>运行城市峡谷静态试验场景</w:t>
      </w:r>
      <w:r>
        <w:rPr>
          <w:rFonts w:hint="eastAsia" w:hAnsi="宋体"/>
        </w:rPr>
        <w:t>。以卫星信号模拟器仿真的位置作为标准位置，将车载卫星定位系统输出的定位数据与标准位置进行比较，根据附录D计算定位精度。</w:t>
      </w:r>
    </w:p>
    <w:p>
      <w:pPr>
        <w:pStyle w:val="97"/>
        <w:numPr>
          <w:ilvl w:val="4"/>
          <w:numId w:val="33"/>
        </w:numPr>
        <w:spacing w:before="156" w:after="156"/>
      </w:pPr>
      <w:r>
        <w:rPr>
          <w:rFonts w:hint="eastAsia"/>
        </w:rPr>
        <w:t>动态定位精度</w:t>
      </w:r>
    </w:p>
    <w:p>
      <w:pPr>
        <w:pStyle w:val="101"/>
        <w:numPr>
          <w:ilvl w:val="5"/>
          <w:numId w:val="33"/>
        </w:numPr>
        <w:spacing w:before="156" w:after="156"/>
      </w:pPr>
      <w:r>
        <w:rPr>
          <w:rFonts w:hint="eastAsia"/>
        </w:rPr>
        <w:t>开阔天空场景</w:t>
      </w:r>
    </w:p>
    <w:p>
      <w:pPr>
        <w:pStyle w:val="232"/>
        <w:rPr>
          <w:rFonts w:hAnsi="宋体"/>
        </w:rPr>
      </w:pPr>
      <w:bookmarkStart w:id="27" w:name="_Hlk76404513"/>
      <w:r>
        <w:rPr>
          <w:rFonts w:hint="eastAsia" w:hAnsi="宋体"/>
        </w:rPr>
        <w:t>根据附录</w:t>
      </w:r>
      <w:r>
        <w:rPr>
          <w:rFonts w:hAnsi="宋体"/>
        </w:rPr>
        <w:t>B</w:t>
      </w:r>
      <w:r>
        <w:rPr>
          <w:rFonts w:hint="eastAsia" w:hAnsi="宋体"/>
        </w:rPr>
        <w:t>使车载卫星定位系统处于冷启动状态。</w:t>
      </w:r>
      <w:r>
        <w:rPr>
          <w:rFonts w:hint="eastAsia"/>
        </w:rPr>
        <w:t>卫星信号模拟器按C.1.1和表C.2运行开阔天空动态试验场景</w:t>
      </w:r>
      <w:r>
        <w:rPr>
          <w:rFonts w:hint="eastAsia" w:hAnsi="宋体"/>
        </w:rPr>
        <w:t>。以卫星信号模拟器仿真的位置作为标准位置，将车载卫星定位系统输出的定位数据与标准位置进行比较，根据附录</w:t>
      </w:r>
      <w:r>
        <w:rPr>
          <w:rFonts w:hAnsi="宋体"/>
        </w:rPr>
        <w:t>D</w:t>
      </w:r>
      <w:r>
        <w:rPr>
          <w:rFonts w:hint="eastAsia" w:hAnsi="宋体"/>
        </w:rPr>
        <w:t>计算定位精度。</w:t>
      </w:r>
    </w:p>
    <w:bookmarkEnd w:id="27"/>
    <w:p>
      <w:pPr>
        <w:pStyle w:val="101"/>
        <w:spacing w:before="156" w:after="156"/>
      </w:pPr>
      <w:r>
        <w:rPr>
          <w:rFonts w:hint="eastAsia"/>
        </w:rPr>
        <w:t>城市峡谷场景</w:t>
      </w:r>
    </w:p>
    <w:p>
      <w:pPr>
        <w:pStyle w:val="232"/>
        <w:rPr>
          <w:rFonts w:hAnsi="宋体"/>
        </w:rPr>
      </w:pPr>
      <w:r>
        <w:rPr>
          <w:rFonts w:hint="eastAsia" w:hAnsi="宋体"/>
        </w:rPr>
        <w:t>根据附录B使车载卫星定位系统处于冷启动状态。</w:t>
      </w:r>
      <w:r>
        <w:rPr>
          <w:rFonts w:hint="eastAsia"/>
        </w:rPr>
        <w:t>卫星信号模拟器按C.1.</w:t>
      </w:r>
      <w:r>
        <w:t>2</w:t>
      </w:r>
      <w:r>
        <w:rPr>
          <w:rFonts w:hint="eastAsia"/>
        </w:rPr>
        <w:t>和表C.2运行城市峡谷动态试验场景</w:t>
      </w:r>
      <w:r>
        <w:rPr>
          <w:rFonts w:hint="eastAsia" w:hAnsi="宋体"/>
        </w:rPr>
        <w:t>。以卫星信号模拟器仿真的位置作为标准位置，将车载卫星定位系统输出的定位数据与标准位置进行比较，根据附录D计算定位精度。</w:t>
      </w:r>
    </w:p>
    <w:p>
      <w:pPr>
        <w:pStyle w:val="97"/>
        <w:numPr>
          <w:ilvl w:val="4"/>
          <w:numId w:val="33"/>
        </w:numPr>
        <w:spacing w:before="156" w:after="156"/>
      </w:pPr>
      <w:r>
        <w:rPr>
          <w:rFonts w:hint="eastAsia"/>
        </w:rPr>
        <w:t>测速精度</w:t>
      </w:r>
    </w:p>
    <w:p>
      <w:pPr>
        <w:pStyle w:val="101"/>
        <w:numPr>
          <w:ilvl w:val="5"/>
          <w:numId w:val="33"/>
        </w:numPr>
        <w:spacing w:before="156" w:after="156"/>
      </w:pPr>
      <w:r>
        <w:rPr>
          <w:rFonts w:hint="eastAsia"/>
        </w:rPr>
        <w:t>开阔天空场景</w:t>
      </w:r>
    </w:p>
    <w:p>
      <w:pPr>
        <w:pStyle w:val="232"/>
      </w:pPr>
      <w:r>
        <w:rPr>
          <w:rFonts w:hint="eastAsia" w:hAnsi="宋体"/>
        </w:rPr>
        <w:t>根据附录</w:t>
      </w:r>
      <w:r>
        <w:rPr>
          <w:rFonts w:hAnsi="宋体"/>
        </w:rPr>
        <w:t>B</w:t>
      </w:r>
      <w:r>
        <w:rPr>
          <w:rFonts w:hint="eastAsia" w:hAnsi="宋体"/>
        </w:rPr>
        <w:t>使车载卫星定位系统处于冷启动状态。</w:t>
      </w:r>
      <w:r>
        <w:rPr>
          <w:rFonts w:hint="eastAsia"/>
        </w:rPr>
        <w:t>卫星信号模拟器按C.1.1和表C.2运行开阔天空动态试验场景</w:t>
      </w:r>
      <w:r>
        <w:rPr>
          <w:rFonts w:hint="eastAsia" w:hAnsi="宋体"/>
        </w:rPr>
        <w:t>。</w:t>
      </w:r>
      <w:r>
        <w:rPr>
          <w:rFonts w:hint="eastAsia"/>
        </w:rPr>
        <w:t>以卫星信号模拟器仿真的速度作为标准速度，</w:t>
      </w:r>
      <w:r>
        <w:rPr>
          <w:rFonts w:hint="eastAsia" w:hAnsi="宋体"/>
        </w:rPr>
        <w:t>将车载卫星定位系统输出的速度数据与标准速度进行比较，根据</w:t>
      </w:r>
      <w:r>
        <w:rPr>
          <w:rFonts w:hint="eastAsia"/>
        </w:rPr>
        <w:t>附录</w:t>
      </w:r>
      <w:r>
        <w:t>E</w:t>
      </w:r>
      <w:r>
        <w:rPr>
          <w:rFonts w:hint="eastAsia"/>
        </w:rPr>
        <w:t>计算测速精度。</w:t>
      </w:r>
    </w:p>
    <w:p>
      <w:pPr>
        <w:pStyle w:val="101"/>
        <w:spacing w:before="156" w:after="156"/>
      </w:pPr>
      <w:r>
        <w:rPr>
          <w:rFonts w:hint="eastAsia"/>
        </w:rPr>
        <w:t>城市峡谷场景</w:t>
      </w:r>
    </w:p>
    <w:p>
      <w:pPr>
        <w:pStyle w:val="232"/>
        <w:rPr>
          <w:rFonts w:hAnsi="宋体"/>
        </w:rPr>
      </w:pPr>
      <w:r>
        <w:rPr>
          <w:rFonts w:hint="eastAsia" w:hAnsi="宋体"/>
        </w:rPr>
        <w:t>根据附录B使车载卫星定位系统处于冷启动状态。</w:t>
      </w:r>
      <w:r>
        <w:rPr>
          <w:rFonts w:hint="eastAsia"/>
        </w:rPr>
        <w:t>卫星信号模拟器按C.1.</w:t>
      </w:r>
      <w:r>
        <w:t>2</w:t>
      </w:r>
      <w:r>
        <w:rPr>
          <w:rFonts w:hint="eastAsia"/>
        </w:rPr>
        <w:t>和表C.2运行城市峡谷动态试验场景</w:t>
      </w:r>
      <w:r>
        <w:rPr>
          <w:rFonts w:hint="eastAsia" w:hAnsi="宋体"/>
        </w:rPr>
        <w:t>。以卫星信号模拟器仿真的速度作为标准速度，将车载卫星定位系统输出的速度数据与标准速度进行比较，根据附录E计算测速精度。</w:t>
      </w:r>
    </w:p>
    <w:p>
      <w:pPr>
        <w:pStyle w:val="68"/>
        <w:numPr>
          <w:ilvl w:val="3"/>
          <w:numId w:val="33"/>
        </w:numPr>
        <w:spacing w:before="156" w:after="156"/>
      </w:pPr>
      <w:r>
        <w:rPr>
          <w:rFonts w:hint="eastAsia"/>
        </w:rPr>
        <w:t>首次定位时间</w:t>
      </w:r>
    </w:p>
    <w:p>
      <w:pPr>
        <w:pStyle w:val="97"/>
        <w:numPr>
          <w:ilvl w:val="4"/>
          <w:numId w:val="33"/>
        </w:numPr>
        <w:spacing w:before="156" w:after="156"/>
      </w:pPr>
      <w:r>
        <w:rPr>
          <w:rFonts w:hint="eastAsia"/>
        </w:rPr>
        <w:t>冷启动首次定位时间</w:t>
      </w:r>
    </w:p>
    <w:p>
      <w:pPr>
        <w:pStyle w:val="232"/>
      </w:pPr>
      <w:r>
        <w:rPr>
          <w:rFonts w:hint="eastAsia" w:hAnsi="宋体"/>
        </w:rPr>
        <w:t>根据附录</w:t>
      </w:r>
      <w:r>
        <w:rPr>
          <w:rFonts w:hAnsi="宋体"/>
        </w:rPr>
        <w:t>B</w:t>
      </w:r>
      <w:r>
        <w:rPr>
          <w:rFonts w:hint="eastAsia" w:hAnsi="宋体"/>
        </w:rPr>
        <w:t>使车载卫星定位系统处于冷启动状态。</w:t>
      </w:r>
      <w:r>
        <w:rPr>
          <w:rFonts w:hint="eastAsia"/>
        </w:rPr>
        <w:t>卫星信号模拟器按C.1.1和表C.</w:t>
      </w:r>
      <w:r>
        <w:t>1</w:t>
      </w:r>
      <w:r>
        <w:rPr>
          <w:rFonts w:hint="eastAsia"/>
        </w:rPr>
        <w:t>运行开阔天空静态试验场景</w:t>
      </w:r>
      <w:r>
        <w:rPr>
          <w:rFonts w:hint="eastAsia" w:hAnsi="宋体"/>
        </w:rPr>
        <w:t>。</w:t>
      </w:r>
      <w:r>
        <w:rPr>
          <w:rFonts w:hint="eastAsia"/>
        </w:rPr>
        <w:t>识别车载卫星定位系统首次连续10次输出三维定位误差不超过100m的定位数据的时刻，计算从开始运行</w:t>
      </w:r>
      <w:r>
        <w:rPr>
          <w:rFonts w:hint="eastAsia" w:hAnsi="宋体"/>
        </w:rPr>
        <w:t>试验场景</w:t>
      </w:r>
      <w:r>
        <w:rPr>
          <w:rFonts w:hint="eastAsia"/>
        </w:rPr>
        <w:t>到上述10个输出时刻中第1个时刻的时间间隔。</w:t>
      </w:r>
    </w:p>
    <w:p>
      <w:pPr>
        <w:pStyle w:val="97"/>
        <w:numPr>
          <w:ilvl w:val="4"/>
          <w:numId w:val="33"/>
        </w:numPr>
        <w:spacing w:before="156" w:after="156"/>
      </w:pPr>
      <w:r>
        <w:rPr>
          <w:rFonts w:hint="eastAsia"/>
        </w:rPr>
        <w:t>热启动首次定位时间</w:t>
      </w:r>
    </w:p>
    <w:p>
      <w:pPr>
        <w:pStyle w:val="232"/>
        <w:rPr>
          <w:rFonts w:hAnsi="宋体"/>
        </w:rPr>
      </w:pPr>
      <w:r>
        <w:rPr>
          <w:rFonts w:hint="eastAsia"/>
        </w:rPr>
        <w:t>卫星信号模拟器按C.1.1和表C.</w:t>
      </w:r>
      <w:r>
        <w:t>1</w:t>
      </w:r>
      <w:r>
        <w:rPr>
          <w:rFonts w:hint="eastAsia"/>
        </w:rPr>
        <w:t>运行开阔天空静态试验场景</w:t>
      </w:r>
      <w:r>
        <w:rPr>
          <w:rFonts w:hint="eastAsia" w:hAnsi="宋体"/>
        </w:rPr>
        <w:t>，在车载卫星定位系统正常定位状态下，对车载卫星定位系统进行关闭或休眠操作，60s后打开或唤醒车载卫星定位系统。识别车载卫星定位系统首次连续10次输出三维定位误差不超过100m的定位数据的时刻，计算从打开或唤醒到上述10个输出时刻中第1个时刻的时间间隔。</w:t>
      </w:r>
    </w:p>
    <w:p>
      <w:pPr>
        <w:pStyle w:val="68"/>
        <w:numPr>
          <w:ilvl w:val="3"/>
          <w:numId w:val="33"/>
        </w:numPr>
        <w:spacing w:before="156" w:after="156"/>
      </w:pPr>
      <w:r>
        <w:rPr>
          <w:rFonts w:hint="eastAsia"/>
        </w:rPr>
        <w:t>重捕获时间</w:t>
      </w:r>
    </w:p>
    <w:p>
      <w:pPr>
        <w:pStyle w:val="232"/>
        <w:rPr>
          <w:rFonts w:hAnsi="宋体"/>
        </w:rPr>
      </w:pPr>
      <w:r>
        <w:rPr>
          <w:rFonts w:hint="eastAsia"/>
        </w:rPr>
        <w:t>卫星信号模拟器按C.1.1和表C.</w:t>
      </w:r>
      <w:r>
        <w:t>1</w:t>
      </w:r>
      <w:r>
        <w:rPr>
          <w:rFonts w:hint="eastAsia"/>
        </w:rPr>
        <w:t>运行开阔天空静态试验场景</w:t>
      </w:r>
      <w:r>
        <w:rPr>
          <w:rFonts w:hint="eastAsia" w:hAnsi="宋体"/>
        </w:rPr>
        <w:t>。在车载卫星定位系统正常定位状态下，中断卫星信号模拟器输出信号</w:t>
      </w:r>
      <w:r>
        <w:rPr>
          <w:rFonts w:hint="eastAsia"/>
        </w:rPr>
        <w:t>，30s后恢复输出。识别自卫星信号恢复后，车载卫星定位系统首次连续10次输出三维定位误差不超过100m的定位数据的时刻，计算从卫星信号恢复到上述10个输出时刻中第1个时刻的时间间隔</w:t>
      </w:r>
      <w:r>
        <w:rPr>
          <w:rFonts w:hint="eastAsia" w:hAnsi="宋体"/>
        </w:rPr>
        <w:t>。</w:t>
      </w:r>
    </w:p>
    <w:p>
      <w:pPr>
        <w:pStyle w:val="68"/>
        <w:numPr>
          <w:ilvl w:val="3"/>
          <w:numId w:val="33"/>
        </w:numPr>
        <w:spacing w:before="156" w:after="156"/>
      </w:pPr>
      <w:r>
        <w:rPr>
          <w:rFonts w:hint="eastAsia"/>
        </w:rPr>
        <w:t>灵敏度</w:t>
      </w:r>
    </w:p>
    <w:p>
      <w:pPr>
        <w:pStyle w:val="97"/>
        <w:numPr>
          <w:ilvl w:val="4"/>
          <w:numId w:val="33"/>
        </w:numPr>
        <w:spacing w:before="156" w:after="156"/>
      </w:pPr>
      <w:r>
        <w:rPr>
          <w:rFonts w:hint="eastAsia"/>
        </w:rPr>
        <w:t>捕获灵敏度</w:t>
      </w:r>
    </w:p>
    <w:p>
      <w:pPr>
        <w:pStyle w:val="232"/>
        <w:rPr>
          <w:rFonts w:hAnsi="宋体"/>
        </w:rPr>
      </w:pPr>
      <w:r>
        <w:rPr>
          <w:rFonts w:hint="eastAsia" w:hAnsi="宋体"/>
        </w:rPr>
        <w:t>根据附录</w:t>
      </w:r>
      <w:r>
        <w:rPr>
          <w:rFonts w:hAnsi="宋体"/>
        </w:rPr>
        <w:t>B</w:t>
      </w:r>
      <w:r>
        <w:rPr>
          <w:rFonts w:hint="eastAsia" w:hAnsi="宋体"/>
        </w:rPr>
        <w:t>使车载卫星定位系统处于冷启动状态。</w:t>
      </w:r>
      <w:r>
        <w:rPr>
          <w:rFonts w:hint="eastAsia"/>
        </w:rPr>
        <w:t>卫星信号模拟器按C.1.1和表C.</w:t>
      </w:r>
      <w:r>
        <w:t>1</w:t>
      </w:r>
      <w:r>
        <w:rPr>
          <w:rFonts w:hint="eastAsia"/>
        </w:rPr>
        <w:t>运行开阔天空静态试验场景，</w:t>
      </w:r>
      <w:r>
        <w:rPr>
          <w:rFonts w:hint="eastAsia" w:hAnsi="宋体"/>
        </w:rPr>
        <w:t>每次设置卫星信号模拟器输出所有通道信号功率电平从车载卫星定位系统不能捕获的量值开始，以1dB步进增加。若车载卫星定位系统技术文件声明的捕获灵敏度量值低于5.2.4.1要求的限值，可以从比其声明的灵敏度量值低2dB的功率电平值开始。</w:t>
      </w:r>
    </w:p>
    <w:p>
      <w:pPr>
        <w:pStyle w:val="232"/>
        <w:rPr>
          <w:rFonts w:hAnsi="宋体"/>
        </w:rPr>
      </w:pPr>
      <w:r>
        <w:rPr>
          <w:rFonts w:hint="eastAsia"/>
        </w:rPr>
        <w:t>在卫星信号模拟器输出的每个信号功率电平下，判断车载卫星定位系统</w:t>
      </w:r>
      <w:r>
        <w:rPr>
          <w:rFonts w:hint="eastAsia" w:hAnsi="宋体"/>
        </w:rPr>
        <w:t>能否在300s内捕获卫星信号，并连续10次输出三维定位误差小于100m的定位数据，</w:t>
      </w:r>
      <w:r>
        <w:rPr>
          <w:rFonts w:hint="eastAsia"/>
        </w:rPr>
        <w:t>记录首次满足该条件的功率电平值，</w:t>
      </w:r>
      <w:r>
        <w:rPr>
          <w:rFonts w:hint="eastAsia" w:ascii="Times New Roman"/>
          <w:szCs w:val="18"/>
        </w:rPr>
        <w:t>作为捕获灵敏度</w:t>
      </w:r>
      <w:r>
        <w:rPr>
          <w:rFonts w:hint="eastAsia" w:hAnsi="宋体"/>
        </w:rPr>
        <w:t>。</w:t>
      </w:r>
    </w:p>
    <w:p>
      <w:pPr>
        <w:pStyle w:val="97"/>
        <w:numPr>
          <w:ilvl w:val="4"/>
          <w:numId w:val="33"/>
        </w:numPr>
        <w:spacing w:before="156" w:after="156"/>
      </w:pPr>
      <w:r>
        <w:rPr>
          <w:rFonts w:hint="eastAsia"/>
        </w:rPr>
        <w:t>重捕获灵敏度</w:t>
      </w:r>
    </w:p>
    <w:p>
      <w:pPr>
        <w:pStyle w:val="232"/>
        <w:rPr>
          <w:rFonts w:hAnsi="宋体"/>
        </w:rPr>
      </w:pPr>
      <w:bookmarkStart w:id="28" w:name="_Hlk74207296"/>
      <w:r>
        <w:rPr>
          <w:rFonts w:hint="eastAsia"/>
        </w:rPr>
        <w:t>卫星信号模拟器按C.1.1和表C.</w:t>
      </w:r>
      <w:r>
        <w:t>1</w:t>
      </w:r>
      <w:r>
        <w:rPr>
          <w:rFonts w:hint="eastAsia"/>
        </w:rPr>
        <w:t>运行开阔天空静态试验场景，</w:t>
      </w:r>
      <w:r>
        <w:rPr>
          <w:rFonts w:hint="eastAsia" w:hAnsi="宋体"/>
        </w:rPr>
        <w:t>使车载卫星定位系统正常定位。控制卫星信号模拟器中断卫星信号30s，随后每次设置卫星信号模拟器输出的所有通道信号功率电平从车载卫星定位系统不能捕获的量值开始，以1dB步进增加。若车载卫星定位系统技术文件声明的重捕获灵敏度量值低于5.2.4.2要求的限值，可以从比其声明的灵敏度数值低2dB的功率电平值开始。</w:t>
      </w:r>
    </w:p>
    <w:p>
      <w:pPr>
        <w:pStyle w:val="232"/>
        <w:rPr>
          <w:rFonts w:hAnsi="宋体"/>
        </w:rPr>
      </w:pPr>
      <w:r>
        <w:rPr>
          <w:rFonts w:hint="eastAsia"/>
        </w:rPr>
        <w:t>在卫星信号模拟器输出的每个信号功率电平下，判断车载卫星定位系统能否在信号恢复后</w:t>
      </w:r>
      <w:r>
        <w:t>180s</w:t>
      </w:r>
      <w:r>
        <w:rPr>
          <w:rFonts w:hint="eastAsia"/>
        </w:rPr>
        <w:t>内捕获卫星信号，并连续10次输出三维定位误差小于100m的定位数据，记录首次满足该条件的功率电平值，</w:t>
      </w:r>
      <w:r>
        <w:rPr>
          <w:rFonts w:hint="eastAsia" w:ascii="Times New Roman"/>
          <w:szCs w:val="18"/>
        </w:rPr>
        <w:t>作为重捕获灵敏度</w:t>
      </w:r>
      <w:r>
        <w:rPr>
          <w:rFonts w:hint="eastAsia"/>
        </w:rPr>
        <w:t>。</w:t>
      </w:r>
    </w:p>
    <w:bookmarkEnd w:id="28"/>
    <w:p>
      <w:pPr>
        <w:pStyle w:val="97"/>
        <w:numPr>
          <w:ilvl w:val="4"/>
          <w:numId w:val="33"/>
        </w:numPr>
        <w:spacing w:before="156" w:after="156"/>
      </w:pPr>
      <w:r>
        <w:rPr>
          <w:rFonts w:hint="eastAsia"/>
        </w:rPr>
        <w:t>跟踪灵敏度</w:t>
      </w:r>
    </w:p>
    <w:p>
      <w:pPr>
        <w:pStyle w:val="232"/>
        <w:rPr>
          <w:rFonts w:hAnsi="宋体"/>
        </w:rPr>
      </w:pPr>
      <w:r>
        <w:rPr>
          <w:rFonts w:hint="eastAsia"/>
        </w:rPr>
        <w:t>卫星信号模拟器按C.1.1和表C.</w:t>
      </w:r>
      <w:r>
        <w:t>1</w:t>
      </w:r>
      <w:r>
        <w:rPr>
          <w:rFonts w:hint="eastAsia"/>
        </w:rPr>
        <w:t>运行开阔天空静态试验场景</w:t>
      </w:r>
      <w:r>
        <w:rPr>
          <w:rFonts w:hint="eastAsia" w:hAnsi="宋体"/>
        </w:rPr>
        <w:t>，使车载卫星定位系统正常定位。设置卫星信号模拟器输出的所有通道信号功率电平以1dB步进降低。</w:t>
      </w:r>
    </w:p>
    <w:p>
      <w:pPr>
        <w:pStyle w:val="232"/>
        <w:rPr>
          <w:rFonts w:hAnsi="宋体"/>
        </w:rPr>
      </w:pPr>
      <w:r>
        <w:rPr>
          <w:rFonts w:hint="eastAsia"/>
        </w:rPr>
        <w:t>在卫星信号模拟器输出的每个信号功率电平下，判断车载卫星定位系统能否在</w:t>
      </w:r>
      <w:r>
        <w:t>120s</w:t>
      </w:r>
      <w:r>
        <w:rPr>
          <w:rFonts w:hint="eastAsia"/>
        </w:rPr>
        <w:t>内连续10次输出三维定位误差小于100m的定位数据，</w:t>
      </w:r>
      <w:r>
        <w:rPr>
          <w:rFonts w:hint="eastAsia" w:ascii="Times New Roman"/>
          <w:szCs w:val="21"/>
        </w:rPr>
        <w:t>记录首次不满足该条件的前一测试功率电平值，作为跟踪灵敏度。</w:t>
      </w:r>
    </w:p>
    <w:p>
      <w:pPr>
        <w:pStyle w:val="68"/>
        <w:numPr>
          <w:ilvl w:val="3"/>
          <w:numId w:val="33"/>
        </w:numPr>
        <w:spacing w:before="156" w:after="156"/>
      </w:pPr>
      <w:r>
        <w:t>授时</w:t>
      </w:r>
      <w:r>
        <w:rPr>
          <w:rFonts w:hint="eastAsia"/>
        </w:rPr>
        <w:t>性能</w:t>
      </w:r>
    </w:p>
    <w:p>
      <w:pPr>
        <w:pStyle w:val="97"/>
        <w:spacing w:before="156" w:after="156"/>
      </w:pPr>
      <w:r>
        <w:rPr>
          <w:rFonts w:hint="eastAsia"/>
        </w:rPr>
        <w:t>开阔天空场景</w:t>
      </w:r>
    </w:p>
    <w:p>
      <w:pPr>
        <w:pStyle w:val="232"/>
      </w:pPr>
      <w:bookmarkStart w:id="29" w:name="_Hlk76387200"/>
      <w:r>
        <w:rPr>
          <w:rFonts w:hint="eastAsia"/>
        </w:rPr>
        <w:t>根据图1搭建测试环境。根据附录B使车载卫星定位系统处于冷启动状态。卫星信号模拟器按C.1.1和表C.1运行开阔天空静态试验场景。当车载卫星定位系统连续10次输出三维定位误差不超过100m的定位数据时，记录车载卫星定位系统输出的GGA信息。</w:t>
      </w:r>
    </w:p>
    <w:p>
      <w:pPr>
        <w:pStyle w:val="232"/>
      </w:pPr>
      <w:r>
        <w:rPr>
          <w:rFonts w:hint="eastAsia"/>
        </w:rPr>
        <w:t>若车载卫星定位系统具备输出1PPS信息能力，则按照图2搭建授时测试环境。根据附录</w:t>
      </w:r>
      <w:r>
        <w:t>B</w:t>
      </w:r>
      <w:r>
        <w:rPr>
          <w:rFonts w:hint="eastAsia"/>
        </w:rPr>
        <w:t>使车载卫星定位系统处于冷启动状态。卫星信号模拟器按C.1.1和表C.</w:t>
      </w:r>
      <w:r>
        <w:t>1</w:t>
      </w:r>
      <w:r>
        <w:rPr>
          <w:rFonts w:hint="eastAsia"/>
        </w:rPr>
        <w:t>运行开阔天空静态试验场景</w:t>
      </w:r>
      <w:r>
        <w:rPr>
          <w:rFonts w:hint="eastAsia" w:hAnsi="宋体"/>
        </w:rPr>
        <w:t>。</w:t>
      </w:r>
      <w:r>
        <w:rPr>
          <w:rFonts w:hint="eastAsia"/>
        </w:rPr>
        <w:t>当车载卫星定位系统连续10次输出三维定位误差不超过100m的定位数据时，记录车载卫星定位系统输出的1PPS上升沿与卫星信号模拟器输出1PPS上升沿的时间差，试验时长为2</w:t>
      </w:r>
      <w:r>
        <w:t>4h</w:t>
      </w:r>
      <w:r>
        <w:rPr>
          <w:rFonts w:hint="eastAsia"/>
        </w:rPr>
        <w:t>，</w:t>
      </w:r>
      <w:r>
        <w:rPr>
          <w:rFonts w:hint="eastAsia" w:hAnsi="宋体"/>
        </w:rPr>
        <w:t>根据附录</w:t>
      </w:r>
      <w:r>
        <w:rPr>
          <w:rFonts w:hAnsi="宋体"/>
        </w:rPr>
        <w:t>F</w:t>
      </w:r>
      <w:r>
        <w:rPr>
          <w:rFonts w:hint="eastAsia" w:hAnsi="宋体"/>
        </w:rPr>
        <w:t>计算授时精度</w:t>
      </w:r>
      <w:r>
        <w:rPr>
          <w:rFonts w:hint="eastAsia"/>
        </w:rPr>
        <w:t>。</w:t>
      </w:r>
    </w:p>
    <w:bookmarkEnd w:id="29"/>
    <w:p>
      <w:pPr>
        <w:pStyle w:val="97"/>
        <w:spacing w:before="156" w:after="156"/>
      </w:pPr>
      <w:r>
        <w:rPr>
          <w:rFonts w:hint="eastAsia"/>
        </w:rPr>
        <w:t>城市峡谷场景</w:t>
      </w:r>
    </w:p>
    <w:p>
      <w:pPr>
        <w:pStyle w:val="232"/>
      </w:pPr>
      <w:r>
        <w:rPr>
          <w:rFonts w:hint="eastAsia"/>
        </w:rPr>
        <w:t>根据图1搭建测试环境。根据附录B使车载卫星定位系统处于冷启动状态。卫星信号模拟器按C.1.2和表C.1运行城市峡谷静态试验场景。当车载卫星定位系统连续10次输出三维定位误差不超过100m的定位数据时，记录车载卫星定位系统输出的GGA信息。</w:t>
      </w:r>
    </w:p>
    <w:p>
      <w:pPr>
        <w:pStyle w:val="232"/>
      </w:pPr>
      <w:r>
        <w:rPr>
          <w:rFonts w:hint="eastAsia"/>
        </w:rPr>
        <w:t>若车载卫星定位系统具备输出1PPS信息能力，则按照图2搭建授时测试环境。根据附录B使车载卫星定位系统处于冷启动状态。卫星信号模拟器按C.1.</w:t>
      </w:r>
      <w:r>
        <w:t>2</w:t>
      </w:r>
      <w:r>
        <w:rPr>
          <w:rFonts w:hint="eastAsia"/>
        </w:rPr>
        <w:t>和表C.</w:t>
      </w:r>
      <w:r>
        <w:t>1</w:t>
      </w:r>
      <w:r>
        <w:rPr>
          <w:rFonts w:hint="eastAsia"/>
        </w:rPr>
        <w:t>运行城市峡谷静态试验场景。当车载卫星定位系统连续10次输出三维定位误差不超过100m的定位数据时，记录车载卫星定位系统输出的1PPS上升沿与卫星信号模拟器输出1PPS上升沿的时间差，试验时长为24h，根据附录F计算授时精度。</w:t>
      </w:r>
    </w:p>
    <w:p>
      <w:pPr>
        <w:pStyle w:val="108"/>
        <w:numPr>
          <w:ilvl w:val="2"/>
          <w:numId w:val="33"/>
        </w:numPr>
        <w:spacing w:before="156" w:after="156"/>
      </w:pPr>
      <w:r>
        <w:rPr>
          <w:rFonts w:hint="eastAsia"/>
        </w:rPr>
        <w:t>环境评价试验</w:t>
      </w:r>
    </w:p>
    <w:p>
      <w:pPr>
        <w:pStyle w:val="68"/>
        <w:numPr>
          <w:ilvl w:val="3"/>
          <w:numId w:val="33"/>
        </w:numPr>
        <w:spacing w:before="156" w:after="156"/>
        <w:rPr>
          <w:rFonts w:hAnsi="宋体"/>
        </w:rPr>
      </w:pPr>
      <w:r>
        <w:rPr>
          <w:rFonts w:hint="eastAsia"/>
        </w:rPr>
        <w:t>电气性能试验</w:t>
      </w:r>
    </w:p>
    <w:p>
      <w:pPr>
        <w:pStyle w:val="97"/>
        <w:numPr>
          <w:ilvl w:val="4"/>
          <w:numId w:val="33"/>
        </w:numPr>
        <w:spacing w:before="156" w:after="156"/>
      </w:pPr>
      <w:r>
        <w:rPr>
          <w:rFonts w:hint="eastAsia"/>
        </w:rPr>
        <w:t>直流供电电压试验</w:t>
      </w:r>
    </w:p>
    <w:p>
      <w:pPr>
        <w:pStyle w:val="232"/>
      </w:pPr>
      <w:r>
        <w:rPr>
          <w:rFonts w:hint="eastAsia" w:hAnsi="宋体"/>
        </w:rPr>
        <w:t>车载卫星定位系统以</w:t>
      </w:r>
      <w:r>
        <w:rPr>
          <w:rFonts w:hint="eastAsia"/>
        </w:rPr>
        <w:t>GB/T 28046.1-2011定义的工作模式3.2，先将</w:t>
      </w:r>
      <w:r>
        <w:rPr>
          <w:rFonts w:hint="eastAsia" w:hAnsi="宋体"/>
        </w:rPr>
        <w:t>直流稳压电源电压调至</w:t>
      </w:r>
      <w:r>
        <w:rPr>
          <w:rFonts w:hint="eastAsia"/>
        </w:rPr>
        <w:t>U</w:t>
      </w:r>
      <w:r>
        <w:rPr>
          <w:rFonts w:hint="eastAsia"/>
          <w:vertAlign w:val="subscript"/>
        </w:rPr>
        <w:t>N</w:t>
      </w:r>
      <w:r>
        <w:rPr>
          <w:rFonts w:hint="eastAsia" w:hAnsi="宋体"/>
        </w:rPr>
        <w:t>，然后逐渐将电压调至</w:t>
      </w:r>
      <w:r>
        <w:rPr>
          <w:rFonts w:hint="eastAsia"/>
        </w:rPr>
        <w:t>U</w:t>
      </w:r>
      <w:r>
        <w:rPr>
          <w:rFonts w:hint="eastAsia"/>
          <w:vertAlign w:val="subscript"/>
        </w:rPr>
        <w:t>Smin</w:t>
      </w:r>
      <w:r>
        <w:rPr>
          <w:rFonts w:hint="eastAsia" w:hAnsi="宋体"/>
        </w:rPr>
        <w:t>稳定</w:t>
      </w:r>
      <w:r>
        <w:rPr>
          <w:rFonts w:hint="eastAsia"/>
        </w:rPr>
        <w:t>10min，</w:t>
      </w:r>
      <w:r>
        <w:rPr>
          <w:rFonts w:hint="eastAsia" w:hAnsi="宋体"/>
        </w:rPr>
        <w:t>再逐渐将电压调至</w:t>
      </w:r>
      <w:r>
        <w:rPr>
          <w:rFonts w:hint="eastAsia"/>
        </w:rPr>
        <w:t>U</w:t>
      </w:r>
      <w:r>
        <w:rPr>
          <w:rFonts w:hint="eastAsia"/>
          <w:vertAlign w:val="subscript"/>
        </w:rPr>
        <w:t>Smax</w:t>
      </w:r>
      <w:r>
        <w:rPr>
          <w:rFonts w:hint="eastAsia" w:hAnsi="宋体"/>
        </w:rPr>
        <w:t>稳定</w:t>
      </w:r>
      <w:r>
        <w:rPr>
          <w:rFonts w:hint="eastAsia"/>
        </w:rPr>
        <w:t>10min。</w:t>
      </w:r>
    </w:p>
    <w:p>
      <w:pPr>
        <w:pStyle w:val="97"/>
        <w:numPr>
          <w:ilvl w:val="4"/>
          <w:numId w:val="33"/>
        </w:numPr>
        <w:spacing w:before="156" w:after="156"/>
      </w:pPr>
      <w:r>
        <w:rPr>
          <w:rFonts w:hint="eastAsia"/>
        </w:rPr>
        <w:t>过电压试验</w:t>
      </w:r>
    </w:p>
    <w:p>
      <w:pPr>
        <w:pStyle w:val="101"/>
        <w:numPr>
          <w:ilvl w:val="5"/>
          <w:numId w:val="33"/>
        </w:numPr>
        <w:spacing w:before="156" w:after="156"/>
      </w:pPr>
      <w:r>
        <w:rPr>
          <w:rFonts w:hint="eastAsia" w:hAnsi="黑体"/>
        </w:rPr>
        <w:t>（</w:t>
      </w:r>
      <w:r>
        <w:rPr>
          <w:rFonts w:hint="eastAsia"/>
        </w:rPr>
        <w:t>Tmax-20℃</w:t>
      </w:r>
      <w:r>
        <w:rPr>
          <w:rFonts w:hint="eastAsia" w:hAnsi="黑体"/>
        </w:rPr>
        <w:t>）条件下试验</w:t>
      </w:r>
    </w:p>
    <w:p>
      <w:pPr>
        <w:pStyle w:val="232"/>
      </w:pPr>
      <w:r>
        <w:rPr>
          <w:rFonts w:hint="eastAsia" w:hAnsi="宋体"/>
        </w:rPr>
        <w:t>车载卫星定位系统以</w:t>
      </w:r>
      <w:r>
        <w:rPr>
          <w:rFonts w:hint="eastAsia"/>
        </w:rPr>
        <w:t>GB/T 28046.1-2011定义的工作模式3.2，12V系统按照GB/T 28046.2—2019</w:t>
      </w:r>
      <w:r>
        <w:rPr>
          <w:rFonts w:hint="eastAsia" w:hAnsi="宋体"/>
        </w:rPr>
        <w:t>中</w:t>
      </w:r>
      <w:r>
        <w:rPr>
          <w:rFonts w:hint="eastAsia"/>
        </w:rPr>
        <w:t>4.3.1.1.2的方法进行试验</w:t>
      </w:r>
      <w:r>
        <w:rPr>
          <w:rFonts w:hint="eastAsia" w:hAnsi="宋体"/>
        </w:rPr>
        <w:t>，</w:t>
      </w:r>
      <w:r>
        <w:rPr>
          <w:rFonts w:hint="eastAsia"/>
        </w:rPr>
        <w:t>24V系统按照GB/T 28046.2—2019</w:t>
      </w:r>
      <w:r>
        <w:rPr>
          <w:rFonts w:hint="eastAsia" w:hAnsi="宋体"/>
        </w:rPr>
        <w:t>中</w:t>
      </w:r>
      <w:r>
        <w:rPr>
          <w:rFonts w:hint="eastAsia"/>
        </w:rPr>
        <w:t>4.3.2.2的方法进行试验。</w:t>
      </w:r>
    </w:p>
    <w:p>
      <w:pPr>
        <w:pStyle w:val="101"/>
        <w:numPr>
          <w:ilvl w:val="5"/>
          <w:numId w:val="33"/>
        </w:numPr>
        <w:spacing w:before="156" w:after="156"/>
      </w:pPr>
      <w:r>
        <w:rPr>
          <w:rFonts w:hint="eastAsia"/>
        </w:rPr>
        <w:t>室温条件下试验</w:t>
      </w:r>
    </w:p>
    <w:p>
      <w:pPr>
        <w:pStyle w:val="232"/>
      </w:pPr>
      <w:r>
        <w:rPr>
          <w:rFonts w:hint="eastAsia" w:hAnsi="宋体"/>
        </w:rPr>
        <w:t>车载卫星定位系统以</w:t>
      </w:r>
      <w:r>
        <w:rPr>
          <w:rFonts w:hint="eastAsia"/>
        </w:rPr>
        <w:t>GB/T 28046.1-2011定义的工作模式3.2，按照GB/T 28046.2—2019</w:t>
      </w:r>
      <w:r>
        <w:rPr>
          <w:rFonts w:hint="eastAsia" w:hAnsi="宋体"/>
        </w:rPr>
        <w:t>中</w:t>
      </w:r>
      <w:r>
        <w:rPr>
          <w:rFonts w:hint="eastAsia"/>
        </w:rPr>
        <w:t>4.3.1.2.2的方法进行试验</w:t>
      </w:r>
      <w:r>
        <w:rPr>
          <w:rFonts w:hint="eastAsia" w:hAnsi="宋体" w:cs="Arial"/>
        </w:rPr>
        <w:t>。</w:t>
      </w:r>
    </w:p>
    <w:p>
      <w:pPr>
        <w:pStyle w:val="97"/>
        <w:numPr>
          <w:ilvl w:val="4"/>
          <w:numId w:val="33"/>
        </w:numPr>
        <w:spacing w:before="156" w:after="156"/>
      </w:pPr>
      <w:r>
        <w:rPr>
          <w:rFonts w:hint="eastAsia"/>
        </w:rPr>
        <w:t>叠加交流电压试验</w:t>
      </w:r>
    </w:p>
    <w:p>
      <w:pPr>
        <w:pStyle w:val="232"/>
      </w:pPr>
      <w:r>
        <w:rPr>
          <w:rFonts w:hint="eastAsia" w:hAnsi="宋体"/>
        </w:rPr>
        <w:t>车载卫星定位系统以</w:t>
      </w:r>
      <w:r>
        <w:rPr>
          <w:rFonts w:hint="eastAsia"/>
        </w:rPr>
        <w:t>GB/T 28046.1-2011定义的工作模式3.2，按照GB/T 28046.2-2019中4.4.2严酷度1的方法进行试验。</w:t>
      </w:r>
    </w:p>
    <w:p>
      <w:pPr>
        <w:pStyle w:val="97"/>
        <w:numPr>
          <w:ilvl w:val="4"/>
          <w:numId w:val="33"/>
        </w:numPr>
        <w:spacing w:before="156" w:after="156"/>
      </w:pPr>
      <w:r>
        <w:rPr>
          <w:rFonts w:hint="eastAsia"/>
        </w:rPr>
        <w:t>供电电压缓降和缓升试验</w:t>
      </w:r>
    </w:p>
    <w:p>
      <w:pPr>
        <w:pStyle w:val="232"/>
        <w:rPr>
          <w:rFonts w:hAnsi="宋体"/>
          <w:color w:val="000000"/>
        </w:rPr>
      </w:pPr>
      <w:r>
        <w:rPr>
          <w:rFonts w:hint="eastAsia" w:hAnsi="宋体"/>
          <w:color w:val="000000"/>
        </w:rPr>
        <w:t>车载卫星定位系统</w:t>
      </w:r>
      <w:r>
        <w:rPr>
          <w:rFonts w:hint="eastAsia" w:hAnsi="宋体"/>
        </w:rPr>
        <w:t>以</w:t>
      </w:r>
      <w:r>
        <w:rPr>
          <w:rFonts w:hint="eastAsia"/>
        </w:rPr>
        <w:t>GB/T 28046.1-2011定义的工作模式3.2，</w:t>
      </w:r>
      <w:r>
        <w:rPr>
          <w:rFonts w:hint="eastAsia" w:hAnsi="宋体"/>
          <w:color w:val="000000"/>
        </w:rPr>
        <w:t>按照GB/T 28046.2-2019中4.5.2的方法进行试验。</w:t>
      </w:r>
    </w:p>
    <w:p>
      <w:pPr>
        <w:pStyle w:val="97"/>
        <w:numPr>
          <w:ilvl w:val="4"/>
          <w:numId w:val="33"/>
        </w:numPr>
        <w:spacing w:before="156" w:after="156"/>
      </w:pPr>
      <w:r>
        <w:rPr>
          <w:rFonts w:hint="eastAsia"/>
        </w:rPr>
        <w:t>供电电压瞬态变化试验</w:t>
      </w:r>
    </w:p>
    <w:p>
      <w:pPr>
        <w:pStyle w:val="101"/>
        <w:numPr>
          <w:ilvl w:val="5"/>
          <w:numId w:val="33"/>
        </w:numPr>
        <w:spacing w:before="156" w:after="156"/>
      </w:pPr>
      <w:r>
        <w:rPr>
          <w:rFonts w:hint="eastAsia"/>
        </w:rPr>
        <w:t>电压瞬时下降试验</w:t>
      </w:r>
    </w:p>
    <w:p>
      <w:pPr>
        <w:pStyle w:val="232"/>
        <w:rPr>
          <w:rFonts w:hAnsi="宋体"/>
          <w:color w:val="000000"/>
        </w:rPr>
      </w:pPr>
      <w:r>
        <w:rPr>
          <w:rFonts w:hint="eastAsia" w:hAnsi="宋体"/>
          <w:color w:val="000000"/>
        </w:rPr>
        <w:t>车载卫星定位系统</w:t>
      </w:r>
      <w:r>
        <w:rPr>
          <w:rFonts w:hint="eastAsia" w:hAnsi="宋体"/>
        </w:rPr>
        <w:t>以</w:t>
      </w:r>
      <w:r>
        <w:rPr>
          <w:rFonts w:hint="eastAsia"/>
        </w:rPr>
        <w:t>GB/T 28046.1-2011定义的工作模式3.2，</w:t>
      </w:r>
      <w:r>
        <w:rPr>
          <w:rFonts w:hint="eastAsia" w:hAnsi="宋体"/>
          <w:color w:val="000000"/>
        </w:rPr>
        <w:t>按照GB/T 28046.2-2019中4.6.1.2的方法进行试验。</w:t>
      </w:r>
    </w:p>
    <w:p>
      <w:pPr>
        <w:pStyle w:val="101"/>
        <w:numPr>
          <w:ilvl w:val="5"/>
          <w:numId w:val="33"/>
        </w:numPr>
        <w:spacing w:before="156" w:after="156"/>
      </w:pPr>
      <w:r>
        <w:rPr>
          <w:rFonts w:hint="eastAsia"/>
        </w:rPr>
        <w:t>对电压骤降的复位性能试验</w:t>
      </w:r>
    </w:p>
    <w:p>
      <w:pPr>
        <w:pStyle w:val="232"/>
        <w:rPr>
          <w:color w:val="000000"/>
        </w:rPr>
      </w:pPr>
      <w:r>
        <w:rPr>
          <w:rFonts w:hint="eastAsia" w:hAnsi="宋体"/>
          <w:color w:val="000000"/>
        </w:rPr>
        <w:t>车载卫星定位系统</w:t>
      </w:r>
      <w:r>
        <w:rPr>
          <w:rFonts w:hint="eastAsia" w:hAnsi="宋体"/>
        </w:rPr>
        <w:t>以</w:t>
      </w:r>
      <w:r>
        <w:rPr>
          <w:rFonts w:hint="eastAsia"/>
        </w:rPr>
        <w:t>GB/T 28046.1-2011定义的工作模式3.2，</w:t>
      </w:r>
      <w:r>
        <w:rPr>
          <w:rFonts w:hint="eastAsia" w:hAnsi="宋体"/>
          <w:color w:val="000000"/>
        </w:rPr>
        <w:t>按照GB/T 28046.2-2019中4.6.2.2的方法进行试验。</w:t>
      </w:r>
    </w:p>
    <w:p>
      <w:pPr>
        <w:pStyle w:val="101"/>
        <w:numPr>
          <w:ilvl w:val="5"/>
          <w:numId w:val="33"/>
        </w:numPr>
        <w:spacing w:before="156" w:after="156"/>
      </w:pPr>
      <w:r>
        <w:rPr>
          <w:rFonts w:hint="eastAsia"/>
        </w:rPr>
        <w:t>启动特性试验</w:t>
      </w:r>
    </w:p>
    <w:p>
      <w:pPr>
        <w:pStyle w:val="232"/>
      </w:pPr>
      <w:r>
        <w:rPr>
          <w:rFonts w:hint="eastAsia" w:hAnsi="宋体"/>
        </w:rPr>
        <w:t>车载卫星定位系统以</w:t>
      </w:r>
      <w:r>
        <w:rPr>
          <w:rFonts w:hint="eastAsia"/>
        </w:rPr>
        <w:t>GB/T 28046.1-2011定义的工作模式3.2，按照GB/T 28046.2-2019中4.6.3.2等级Ⅱ的方法进行试验。</w:t>
      </w:r>
    </w:p>
    <w:p>
      <w:pPr>
        <w:pStyle w:val="101"/>
        <w:numPr>
          <w:ilvl w:val="5"/>
          <w:numId w:val="33"/>
        </w:numPr>
        <w:spacing w:before="156" w:after="156"/>
      </w:pPr>
      <w:r>
        <w:rPr>
          <w:rFonts w:hint="eastAsia"/>
        </w:rPr>
        <w:t>抛负载试验</w:t>
      </w:r>
    </w:p>
    <w:p>
      <w:pPr>
        <w:pStyle w:val="232"/>
      </w:pPr>
      <w:r>
        <w:rPr>
          <w:rFonts w:hint="eastAsia"/>
        </w:rPr>
        <w:t>车载卫星定位系统以GB/T 28046.1-2011定义的工作模式3.2，按照GB/T 28046.2-2019中4.6.4.2的方法进行试验。</w:t>
      </w:r>
    </w:p>
    <w:p>
      <w:pPr>
        <w:pStyle w:val="97"/>
        <w:numPr>
          <w:ilvl w:val="4"/>
          <w:numId w:val="33"/>
        </w:numPr>
        <w:spacing w:before="156" w:after="156"/>
      </w:pPr>
      <w:r>
        <w:rPr>
          <w:rFonts w:hint="eastAsia"/>
        </w:rPr>
        <w:t>反向电压试验</w:t>
      </w:r>
    </w:p>
    <w:p>
      <w:pPr>
        <w:pStyle w:val="232"/>
      </w:pPr>
      <w:r>
        <w:rPr>
          <w:rFonts w:hint="eastAsia" w:hAnsi="宋体"/>
        </w:rPr>
        <w:t>车载卫星定位系统以</w:t>
      </w:r>
      <w:r>
        <w:rPr>
          <w:rFonts w:hint="eastAsia"/>
        </w:rPr>
        <w:t>GB/T 28046.1-2011定义的工作模式1.2，按照GB/T 28046.2—2019中4.7.2.3的方法进行试验</w:t>
      </w:r>
      <w:r>
        <w:rPr>
          <w:rFonts w:hint="eastAsia" w:hAnsi="宋体"/>
        </w:rPr>
        <w:t>。试验后以</w:t>
      </w:r>
      <w:r>
        <w:rPr>
          <w:rFonts w:hint="eastAsia"/>
        </w:rPr>
        <w:t>GB/T 28046.1-2011定义的工作模式3.2进行试验。</w:t>
      </w:r>
    </w:p>
    <w:p>
      <w:pPr>
        <w:pStyle w:val="97"/>
        <w:numPr>
          <w:ilvl w:val="4"/>
          <w:numId w:val="33"/>
        </w:numPr>
        <w:spacing w:before="156" w:after="156"/>
      </w:pPr>
      <w:r>
        <w:rPr>
          <w:rFonts w:hint="eastAsia"/>
        </w:rPr>
        <w:t>参考接地和供电偏移试验</w:t>
      </w:r>
    </w:p>
    <w:p>
      <w:pPr>
        <w:pStyle w:val="232"/>
      </w:pPr>
      <w:r>
        <w:rPr>
          <w:rFonts w:hint="eastAsia" w:hAnsi="宋体"/>
        </w:rPr>
        <w:t>车载卫星定位系统以</w:t>
      </w:r>
      <w:r>
        <w:rPr>
          <w:rFonts w:hint="eastAsia"/>
        </w:rPr>
        <w:t>GB/T 28046.1-2011定义的工作模式3.2，按照GB/T 28046.2-2019中4.8.2的方法进行试验。</w:t>
      </w:r>
    </w:p>
    <w:p>
      <w:pPr>
        <w:pStyle w:val="97"/>
        <w:numPr>
          <w:ilvl w:val="4"/>
          <w:numId w:val="33"/>
        </w:numPr>
        <w:spacing w:before="156" w:after="156"/>
      </w:pPr>
      <w:r>
        <w:rPr>
          <w:rFonts w:hint="eastAsia"/>
        </w:rPr>
        <w:t>开路试验</w:t>
      </w:r>
    </w:p>
    <w:p>
      <w:pPr>
        <w:pStyle w:val="101"/>
        <w:numPr>
          <w:ilvl w:val="5"/>
          <w:numId w:val="33"/>
        </w:numPr>
        <w:spacing w:before="156" w:after="156"/>
      </w:pPr>
      <w:r>
        <w:rPr>
          <w:rFonts w:hint="eastAsia"/>
        </w:rPr>
        <w:t>单线开路试验</w:t>
      </w:r>
    </w:p>
    <w:p>
      <w:pPr>
        <w:pStyle w:val="232"/>
        <w:rPr>
          <w:rFonts w:hAnsi="宋体"/>
          <w:color w:val="000000"/>
        </w:rPr>
      </w:pPr>
      <w:r>
        <w:rPr>
          <w:rFonts w:hint="eastAsia" w:hAnsi="宋体"/>
          <w:color w:val="000000"/>
        </w:rPr>
        <w:t>车载卫星定位系统</w:t>
      </w:r>
      <w:r>
        <w:rPr>
          <w:rFonts w:hint="eastAsia" w:hAnsi="宋体"/>
        </w:rPr>
        <w:t>以</w:t>
      </w:r>
      <w:r>
        <w:rPr>
          <w:rFonts w:hint="eastAsia"/>
        </w:rPr>
        <w:t>GB/T 28046.1-2011定义的工作模式3.2，</w:t>
      </w:r>
      <w:r>
        <w:rPr>
          <w:rFonts w:hint="eastAsia" w:hAnsi="宋体"/>
          <w:color w:val="000000"/>
        </w:rPr>
        <w:t>按照GB/T 28046.2-2019中4.9.1.2的方法进行试验。</w:t>
      </w:r>
    </w:p>
    <w:p>
      <w:pPr>
        <w:pStyle w:val="101"/>
        <w:numPr>
          <w:ilvl w:val="5"/>
          <w:numId w:val="33"/>
        </w:numPr>
        <w:spacing w:before="156" w:after="156"/>
      </w:pPr>
      <w:r>
        <w:rPr>
          <w:rFonts w:hint="eastAsia"/>
        </w:rPr>
        <w:t>多线开路试验</w:t>
      </w:r>
    </w:p>
    <w:p>
      <w:pPr>
        <w:pStyle w:val="232"/>
        <w:rPr>
          <w:rFonts w:hAnsi="宋体"/>
          <w:color w:val="000000"/>
        </w:rPr>
      </w:pPr>
      <w:r>
        <w:rPr>
          <w:rFonts w:hint="eastAsia" w:hAnsi="宋体"/>
          <w:color w:val="000000"/>
        </w:rPr>
        <w:t>车载卫星定位系统</w:t>
      </w:r>
      <w:r>
        <w:rPr>
          <w:rFonts w:hint="eastAsia" w:hAnsi="宋体"/>
        </w:rPr>
        <w:t>以</w:t>
      </w:r>
      <w:r>
        <w:rPr>
          <w:rFonts w:hint="eastAsia"/>
        </w:rPr>
        <w:t>GB/T 28046.1-2011定义的工作模式3.2，</w:t>
      </w:r>
      <w:r>
        <w:rPr>
          <w:rFonts w:hint="eastAsia" w:hAnsi="宋体"/>
          <w:color w:val="000000"/>
        </w:rPr>
        <w:t>按照GB/T 28046.2-2019中4.9.2.2的方法进行试验。</w:t>
      </w:r>
    </w:p>
    <w:p>
      <w:pPr>
        <w:pStyle w:val="97"/>
        <w:numPr>
          <w:ilvl w:val="4"/>
          <w:numId w:val="33"/>
        </w:numPr>
        <w:spacing w:before="156" w:after="156"/>
      </w:pPr>
      <w:r>
        <w:rPr>
          <w:rFonts w:hint="eastAsia"/>
        </w:rPr>
        <w:t>短路保护试验</w:t>
      </w:r>
    </w:p>
    <w:p>
      <w:pPr>
        <w:pStyle w:val="232"/>
        <w:rPr>
          <w:rFonts w:hAnsi="宋体"/>
          <w:color w:val="000000"/>
        </w:rPr>
      </w:pPr>
      <w:r>
        <w:rPr>
          <w:rFonts w:hint="eastAsia" w:hAnsi="宋体"/>
          <w:color w:val="000000"/>
        </w:rPr>
        <w:t>车载卫星定位系统</w:t>
      </w:r>
      <w:r>
        <w:rPr>
          <w:rFonts w:hint="eastAsia" w:hAnsi="宋体"/>
        </w:rPr>
        <w:t>以</w:t>
      </w:r>
      <w:r>
        <w:rPr>
          <w:rFonts w:hint="eastAsia"/>
        </w:rPr>
        <w:t>GB/T 28046.1-2011定义的工作模式3.2，</w:t>
      </w:r>
      <w:r>
        <w:rPr>
          <w:rFonts w:hint="eastAsia" w:hAnsi="宋体"/>
          <w:color w:val="000000"/>
        </w:rPr>
        <w:t>按照GB/T 28046.2-2019中4.10.2.1的方法进行试验。</w:t>
      </w:r>
    </w:p>
    <w:p>
      <w:pPr>
        <w:pStyle w:val="97"/>
        <w:numPr>
          <w:ilvl w:val="4"/>
          <w:numId w:val="33"/>
        </w:numPr>
        <w:spacing w:before="156" w:after="156"/>
      </w:pPr>
      <w:r>
        <w:rPr>
          <w:rFonts w:hint="eastAsia"/>
        </w:rPr>
        <w:t>绝缘电阻试验</w:t>
      </w:r>
    </w:p>
    <w:p>
      <w:pPr>
        <w:pStyle w:val="232"/>
        <w:rPr>
          <w:rFonts w:hAnsi="宋体"/>
          <w:color w:val="000000"/>
        </w:rPr>
      </w:pPr>
      <w:r>
        <w:rPr>
          <w:rFonts w:hint="eastAsia" w:hAnsi="宋体"/>
          <w:color w:val="000000"/>
        </w:rPr>
        <w:t>车载卫星定位系统</w:t>
      </w:r>
      <w:r>
        <w:rPr>
          <w:rFonts w:hint="eastAsia" w:hAnsi="宋体"/>
        </w:rPr>
        <w:t>以</w:t>
      </w:r>
      <w:r>
        <w:rPr>
          <w:rFonts w:hint="eastAsia"/>
        </w:rPr>
        <w:t>GB/T 28046.1-2011定义的工作模式1.1</w:t>
      </w:r>
      <w:r>
        <w:rPr>
          <w:rFonts w:hint="eastAsia" w:hAnsi="宋体"/>
          <w:color w:val="000000"/>
        </w:rPr>
        <w:t>，按照GB/T 28046.2-2019中4.12.2的方法进行试验。试验后</w:t>
      </w:r>
      <w:r>
        <w:rPr>
          <w:rFonts w:hint="eastAsia" w:hAnsi="宋体"/>
        </w:rPr>
        <w:t>以</w:t>
      </w:r>
      <w:r>
        <w:rPr>
          <w:rFonts w:hint="eastAsia"/>
        </w:rPr>
        <w:t>GB/T 28046.1-2011定义的工作模式3.2</w:t>
      </w:r>
      <w:r>
        <w:rPr>
          <w:rFonts w:hint="eastAsia" w:hAnsi="宋体"/>
          <w:color w:val="000000"/>
        </w:rPr>
        <w:t>进行试验。</w:t>
      </w:r>
    </w:p>
    <w:p>
      <w:pPr>
        <w:pStyle w:val="68"/>
        <w:numPr>
          <w:ilvl w:val="3"/>
          <w:numId w:val="33"/>
        </w:numPr>
        <w:spacing w:before="156" w:after="156"/>
      </w:pPr>
      <w:r>
        <w:rPr>
          <w:rFonts w:hint="eastAsia"/>
        </w:rPr>
        <w:t>电磁兼容性试验</w:t>
      </w:r>
    </w:p>
    <w:p>
      <w:pPr>
        <w:pStyle w:val="97"/>
        <w:numPr>
          <w:ilvl w:val="4"/>
          <w:numId w:val="33"/>
        </w:numPr>
        <w:spacing w:before="156" w:after="156"/>
      </w:pPr>
      <w:r>
        <w:rPr>
          <w:rFonts w:hint="eastAsia"/>
        </w:rPr>
        <w:t>无线电骚扰特性试验</w:t>
      </w:r>
    </w:p>
    <w:p>
      <w:pPr>
        <w:pStyle w:val="101"/>
        <w:numPr>
          <w:ilvl w:val="5"/>
          <w:numId w:val="33"/>
        </w:numPr>
        <w:spacing w:before="156" w:after="156"/>
      </w:pPr>
      <w:r>
        <w:rPr>
          <w:rFonts w:hint="eastAsia"/>
        </w:rPr>
        <w:t>传导发射</w:t>
      </w:r>
    </w:p>
    <w:p>
      <w:pPr>
        <w:pStyle w:val="232"/>
        <w:rPr>
          <w:rFonts w:hAnsi="宋体"/>
          <w:color w:val="000000"/>
        </w:rPr>
      </w:pPr>
      <w:r>
        <w:rPr>
          <w:rFonts w:hint="eastAsia" w:hAnsi="宋体"/>
          <w:color w:val="000000"/>
        </w:rPr>
        <w:t>车载卫星定位系统以GB/T 28046.1-2011定义的工作模式3.2，按照GB/T 18655-2018中6.3和6.4的方法进行试验。</w:t>
      </w:r>
    </w:p>
    <w:p>
      <w:pPr>
        <w:pStyle w:val="101"/>
        <w:numPr>
          <w:ilvl w:val="5"/>
          <w:numId w:val="33"/>
        </w:numPr>
        <w:spacing w:before="156" w:after="156"/>
      </w:pPr>
      <w:r>
        <w:rPr>
          <w:rFonts w:hint="eastAsia"/>
        </w:rPr>
        <w:t>辐射发射</w:t>
      </w:r>
    </w:p>
    <w:p>
      <w:pPr>
        <w:pStyle w:val="232"/>
        <w:rPr>
          <w:rFonts w:hAnsi="宋体"/>
          <w:color w:val="000000"/>
        </w:rPr>
      </w:pPr>
      <w:r>
        <w:rPr>
          <w:rFonts w:hint="eastAsia" w:hAnsi="宋体"/>
          <w:color w:val="000000"/>
        </w:rPr>
        <w:t>车载卫星定位系统以GB/T 28046.1-2011定义的工作模式3.2，按照GB/T 18655-2018中6.5的方法进行试验。</w:t>
      </w:r>
    </w:p>
    <w:p>
      <w:pPr>
        <w:pStyle w:val="97"/>
        <w:numPr>
          <w:ilvl w:val="4"/>
          <w:numId w:val="33"/>
        </w:numPr>
        <w:spacing w:before="156" w:after="156"/>
      </w:pPr>
      <w:r>
        <w:rPr>
          <w:rFonts w:hint="eastAsia"/>
        </w:rPr>
        <w:t>对由传导和耦合引起的电骚扰抗扰试验</w:t>
      </w:r>
    </w:p>
    <w:p>
      <w:pPr>
        <w:pStyle w:val="101"/>
        <w:numPr>
          <w:ilvl w:val="5"/>
          <w:numId w:val="33"/>
        </w:numPr>
        <w:spacing w:before="156" w:after="156"/>
      </w:pPr>
      <w:r>
        <w:rPr>
          <w:rFonts w:hint="eastAsia"/>
        </w:rPr>
        <w:t>沿电源线的电瞬态传导抗扰</w:t>
      </w:r>
    </w:p>
    <w:p>
      <w:pPr>
        <w:pStyle w:val="232"/>
        <w:rPr>
          <w:rFonts w:hAnsi="宋体"/>
          <w:color w:val="000000"/>
        </w:rPr>
      </w:pPr>
      <w:r>
        <w:rPr>
          <w:rFonts w:hint="eastAsia" w:hAnsi="宋体"/>
          <w:color w:val="000000"/>
        </w:rPr>
        <w:t>车载卫星定位系统以GB/T 28046.1-2011定义的工作模式3.2，按照表6规定的抗扰试验等级和GB/T 21437.2-</w:t>
      </w:r>
      <w:r>
        <w:rPr>
          <w:rFonts w:hAnsi="宋体"/>
          <w:color w:val="000000"/>
        </w:rPr>
        <w:t>2008</w:t>
      </w:r>
      <w:r>
        <w:rPr>
          <w:rFonts w:hint="eastAsia" w:hAnsi="宋体"/>
          <w:color w:val="000000"/>
        </w:rPr>
        <w:t>中的脉冲1,2a,2b,3a,3b的方法进行试验。</w:t>
      </w:r>
    </w:p>
    <w:p>
      <w:pPr>
        <w:pStyle w:val="101"/>
        <w:numPr>
          <w:ilvl w:val="5"/>
          <w:numId w:val="33"/>
        </w:numPr>
        <w:spacing w:before="156" w:after="156"/>
      </w:pPr>
      <w:r>
        <w:rPr>
          <w:rFonts w:hint="eastAsia"/>
        </w:rPr>
        <w:t>除电源线外的导线通过容性耦合的电瞬态抗扰</w:t>
      </w:r>
    </w:p>
    <w:p>
      <w:pPr>
        <w:pStyle w:val="232"/>
        <w:rPr>
          <w:rFonts w:hAnsi="宋体"/>
          <w:color w:val="000000"/>
        </w:rPr>
      </w:pPr>
      <w:r>
        <w:rPr>
          <w:rFonts w:hint="eastAsia" w:hAnsi="宋体"/>
          <w:color w:val="000000"/>
        </w:rPr>
        <w:t>车载卫星定位系统以GB/T 28046.1-2011定义的工作模式3.2，按照GB/T 21437.3-</w:t>
      </w:r>
      <w:r>
        <w:rPr>
          <w:rFonts w:hAnsi="宋体"/>
          <w:color w:val="000000"/>
        </w:rPr>
        <w:t>2012</w:t>
      </w:r>
      <w:r>
        <w:rPr>
          <w:rFonts w:hint="eastAsia" w:hAnsi="宋体"/>
          <w:color w:val="000000"/>
        </w:rPr>
        <w:t>中表B.1、表B.2中CCC模式以及等级III的要求和</w:t>
      </w:r>
      <w:r>
        <w:rPr>
          <w:rFonts w:hAnsi="宋体"/>
          <w:color w:val="000000"/>
        </w:rPr>
        <w:t>3.4.2</w:t>
      </w:r>
      <w:r>
        <w:rPr>
          <w:rFonts w:hint="eastAsia" w:hAnsi="宋体"/>
          <w:color w:val="000000"/>
        </w:rPr>
        <w:t>的方法进行试验。</w:t>
      </w:r>
    </w:p>
    <w:p>
      <w:pPr>
        <w:pStyle w:val="97"/>
        <w:numPr>
          <w:ilvl w:val="4"/>
          <w:numId w:val="33"/>
        </w:numPr>
        <w:spacing w:before="156" w:after="156"/>
      </w:pPr>
      <w:r>
        <w:rPr>
          <w:rFonts w:hint="eastAsia"/>
        </w:rPr>
        <w:t>对电磁辐射的抗扰试验</w:t>
      </w:r>
    </w:p>
    <w:p>
      <w:pPr>
        <w:pStyle w:val="232"/>
        <w:rPr>
          <w:rFonts w:hAnsi="宋体"/>
        </w:rPr>
      </w:pPr>
      <w:r>
        <w:rPr>
          <w:rFonts w:hint="eastAsia" w:hAnsi="宋体"/>
        </w:rPr>
        <w:t>车载卫星定位系统以GB/T 28046.1-2011定义的工作模式3.2，按照GB 34660-2017中4.7的电波暗室法、大电流注入法的抗扰试验强度和5.7的方法进行试验。</w:t>
      </w:r>
    </w:p>
    <w:p>
      <w:pPr>
        <w:pStyle w:val="97"/>
        <w:numPr>
          <w:ilvl w:val="4"/>
          <w:numId w:val="33"/>
        </w:numPr>
        <w:spacing w:before="156" w:after="156"/>
      </w:pPr>
      <w:r>
        <w:rPr>
          <w:rFonts w:hint="eastAsia"/>
        </w:rPr>
        <w:t>对静电放电产生的电骚扰抗扰试验</w:t>
      </w:r>
    </w:p>
    <w:p>
      <w:pPr>
        <w:pStyle w:val="101"/>
        <w:numPr>
          <w:ilvl w:val="5"/>
          <w:numId w:val="33"/>
        </w:numPr>
        <w:spacing w:before="156" w:after="156"/>
      </w:pPr>
      <w:r>
        <w:rPr>
          <w:rFonts w:hint="eastAsia"/>
        </w:rPr>
        <w:t>车载卫星定位系统不通电</w:t>
      </w:r>
    </w:p>
    <w:p>
      <w:pPr>
        <w:pStyle w:val="232"/>
        <w:rPr>
          <w:rFonts w:hAnsi="宋体"/>
        </w:rPr>
      </w:pPr>
      <w:r>
        <w:rPr>
          <w:rFonts w:hint="eastAsia" w:hAnsi="宋体"/>
        </w:rPr>
        <w:t>车载卫星定位系统以GB/T 28046.1-2011定义的工作模式1.1，按照GB/T 19951-2019附录C中表C.1、表C.2的类别1试验严酷等级不低于L3的测试电压要求和第9章规定的方法进行试验，试验后以GB/T 28046.1-2011定义的工作模式3.2进行试验。</w:t>
      </w:r>
    </w:p>
    <w:p>
      <w:pPr>
        <w:pStyle w:val="101"/>
        <w:numPr>
          <w:ilvl w:val="5"/>
          <w:numId w:val="33"/>
        </w:numPr>
        <w:spacing w:before="156" w:after="156"/>
      </w:pPr>
      <w:r>
        <w:rPr>
          <w:rFonts w:hint="eastAsia"/>
        </w:rPr>
        <w:t>车载卫星定位系统通电</w:t>
      </w:r>
    </w:p>
    <w:p>
      <w:pPr>
        <w:pStyle w:val="232"/>
      </w:pPr>
      <w:r>
        <w:rPr>
          <w:rFonts w:hint="eastAsia" w:hAnsi="宋体"/>
        </w:rPr>
        <w:t>车载卫星定位系统以GB/T 28046.1-2011定义的工作模式3.2，按照GB/T 19951-2019附录C中表C.1、表C.2、表C.3的类别1试验严酷等级不低于L3的测试电压要求和第8章规定的方法进行试验。</w:t>
      </w:r>
    </w:p>
    <w:p>
      <w:pPr>
        <w:pStyle w:val="68"/>
        <w:numPr>
          <w:ilvl w:val="3"/>
          <w:numId w:val="33"/>
        </w:numPr>
        <w:spacing w:before="156" w:after="156"/>
        <w:rPr>
          <w:rFonts w:hAnsi="宋体"/>
        </w:rPr>
      </w:pPr>
      <w:r>
        <w:rPr>
          <w:rFonts w:hint="eastAsia"/>
        </w:rPr>
        <w:t>机械性能试验</w:t>
      </w:r>
    </w:p>
    <w:p>
      <w:pPr>
        <w:pStyle w:val="97"/>
        <w:numPr>
          <w:ilvl w:val="4"/>
          <w:numId w:val="33"/>
        </w:numPr>
        <w:spacing w:before="156" w:after="156"/>
      </w:pPr>
      <w:r>
        <w:rPr>
          <w:rFonts w:hint="eastAsia"/>
        </w:rPr>
        <w:t>机械振动试验</w:t>
      </w:r>
    </w:p>
    <w:p>
      <w:pPr>
        <w:pStyle w:val="232"/>
      </w:pPr>
      <w:r>
        <w:rPr>
          <w:rFonts w:hint="eastAsia" w:hAnsi="宋体"/>
          <w:color w:val="000000"/>
        </w:rPr>
        <w:t>车载卫星定位系统模拟在车辆上的安装方式在振动台上安装固定，</w:t>
      </w:r>
      <w:r>
        <w:rPr>
          <w:rFonts w:hint="eastAsia" w:hAnsi="宋体"/>
        </w:rPr>
        <w:t>以</w:t>
      </w:r>
      <w:r>
        <w:rPr>
          <w:rFonts w:hint="eastAsia"/>
        </w:rPr>
        <w:t>GB/T 28046.1-2011定义的工作模式3.2</w:t>
      </w:r>
      <w:r>
        <w:rPr>
          <w:rFonts w:hint="eastAsia" w:hAnsi="宋体"/>
          <w:color w:val="000000"/>
        </w:rPr>
        <w:t>，按照</w:t>
      </w:r>
      <w:r>
        <w:rPr>
          <w:rFonts w:hint="eastAsia"/>
          <w:color w:val="000000"/>
        </w:rPr>
        <w:t>GB/T 28046.3</w:t>
      </w:r>
      <w:r>
        <w:rPr>
          <w:rFonts w:hint="eastAsia" w:hAnsi="宋体"/>
          <w:color w:val="000000"/>
        </w:rPr>
        <w:t>-2011中</w:t>
      </w:r>
      <w:r>
        <w:rPr>
          <w:rFonts w:hint="eastAsia"/>
          <w:color w:val="000000"/>
        </w:rPr>
        <w:t>4.1.2.4.2或4.1.2.7.2的方法进行试验。</w:t>
      </w:r>
    </w:p>
    <w:p>
      <w:pPr>
        <w:pStyle w:val="97"/>
        <w:numPr>
          <w:ilvl w:val="4"/>
          <w:numId w:val="33"/>
        </w:numPr>
        <w:spacing w:before="156" w:after="156"/>
      </w:pPr>
      <w:r>
        <w:rPr>
          <w:rFonts w:hint="eastAsia"/>
        </w:rPr>
        <w:t>机械冲击试验</w:t>
      </w:r>
    </w:p>
    <w:p>
      <w:pPr>
        <w:pStyle w:val="232"/>
      </w:pPr>
      <w:r>
        <w:rPr>
          <w:rFonts w:hint="eastAsia" w:hAnsi="宋体"/>
          <w:color w:val="000000"/>
        </w:rPr>
        <w:t>车载卫星定位系统</w:t>
      </w:r>
      <w:r>
        <w:rPr>
          <w:rFonts w:hint="eastAsia" w:hAnsi="宋体"/>
        </w:rPr>
        <w:t>以</w:t>
      </w:r>
      <w:r>
        <w:rPr>
          <w:rFonts w:hint="eastAsia"/>
        </w:rPr>
        <w:t>GB/T 28046.1-2011定义的工作模式3.2</w:t>
      </w:r>
      <w:r>
        <w:rPr>
          <w:rFonts w:hint="eastAsia" w:hAnsi="宋体"/>
          <w:color w:val="000000"/>
        </w:rPr>
        <w:t>，按照</w:t>
      </w:r>
      <w:r>
        <w:rPr>
          <w:rFonts w:hint="eastAsia"/>
          <w:color w:val="000000"/>
        </w:rPr>
        <w:t>GB/T 28046.3</w:t>
      </w:r>
      <w:r>
        <w:rPr>
          <w:rFonts w:hint="eastAsia" w:hAnsi="宋体"/>
          <w:color w:val="000000"/>
        </w:rPr>
        <w:t>-2011中</w:t>
      </w:r>
      <w:r>
        <w:rPr>
          <w:rFonts w:hint="eastAsia"/>
          <w:color w:val="000000"/>
        </w:rPr>
        <w:t>4.2.2.2的方法进行试验。</w:t>
      </w:r>
    </w:p>
    <w:p>
      <w:pPr>
        <w:pStyle w:val="97"/>
        <w:numPr>
          <w:ilvl w:val="4"/>
          <w:numId w:val="33"/>
        </w:numPr>
        <w:spacing w:before="156" w:after="156"/>
      </w:pPr>
      <w:r>
        <w:rPr>
          <w:rFonts w:hint="eastAsia"/>
        </w:rPr>
        <w:t>自由跌落试验</w:t>
      </w:r>
    </w:p>
    <w:p>
      <w:pPr>
        <w:pStyle w:val="232"/>
      </w:pPr>
      <w:r>
        <w:rPr>
          <w:rFonts w:hint="eastAsia" w:hAnsi="宋体"/>
        </w:rPr>
        <w:t>车载卫星定位系统以</w:t>
      </w:r>
      <w:r>
        <w:rPr>
          <w:rFonts w:hint="eastAsia"/>
        </w:rPr>
        <w:t>GB/T 28046.1-2011定义的工作模式1.1</w:t>
      </w:r>
      <w:r>
        <w:rPr>
          <w:rFonts w:hint="eastAsia" w:hAnsi="宋体"/>
          <w:color w:val="000000"/>
        </w:rPr>
        <w:t>，</w:t>
      </w:r>
      <w:r>
        <w:rPr>
          <w:rFonts w:hint="eastAsia" w:hAnsi="宋体"/>
        </w:rPr>
        <w:t>按照</w:t>
      </w:r>
      <w:r>
        <w:rPr>
          <w:rFonts w:hint="eastAsia"/>
        </w:rPr>
        <w:t>GB/T 28046.3</w:t>
      </w:r>
      <w:r>
        <w:rPr>
          <w:rFonts w:hint="eastAsia" w:hAnsi="宋体"/>
          <w:color w:val="000000"/>
        </w:rPr>
        <w:t>-2011</w:t>
      </w:r>
      <w:r>
        <w:rPr>
          <w:rFonts w:hint="eastAsia" w:hAnsi="宋体"/>
        </w:rPr>
        <w:t>中</w:t>
      </w:r>
      <w:r>
        <w:rPr>
          <w:rFonts w:hint="eastAsia"/>
        </w:rPr>
        <w:t>4.3.2的方法进行试验。试验后，检查外观，以GB/T 28046.1-2011定义的工作模式3.2进行试验。</w:t>
      </w:r>
    </w:p>
    <w:p>
      <w:pPr>
        <w:pStyle w:val="97"/>
        <w:numPr>
          <w:ilvl w:val="4"/>
          <w:numId w:val="33"/>
        </w:numPr>
        <w:spacing w:before="156" w:after="156"/>
      </w:pPr>
      <w:r>
        <w:rPr>
          <w:rFonts w:hint="eastAsia"/>
        </w:rPr>
        <w:t>线束拉脱力试验</w:t>
      </w:r>
    </w:p>
    <w:p>
      <w:pPr>
        <w:pStyle w:val="232"/>
      </w:pPr>
      <w:r>
        <w:rPr>
          <w:rFonts w:hint="eastAsia" w:hAnsi="宋体"/>
        </w:rPr>
        <w:t>车载卫星定位系统以</w:t>
      </w:r>
      <w:r>
        <w:rPr>
          <w:rFonts w:hint="eastAsia"/>
        </w:rPr>
        <w:t>GB/T 28046.1-2011定义的工作模式1.</w:t>
      </w:r>
      <w:r>
        <w:t>2</w:t>
      </w:r>
      <w:r>
        <w:rPr>
          <w:rFonts w:hint="eastAsia"/>
        </w:rPr>
        <w:t>，将产品或连接器固定，用拉力计分别沿线束施加产品设计文件规定的轴向拉力进行试验。</w:t>
      </w:r>
    </w:p>
    <w:p>
      <w:pPr>
        <w:pStyle w:val="68"/>
        <w:numPr>
          <w:ilvl w:val="3"/>
          <w:numId w:val="33"/>
        </w:numPr>
        <w:spacing w:before="156" w:after="156"/>
        <w:rPr>
          <w:rFonts w:hAnsi="宋体"/>
        </w:rPr>
      </w:pPr>
      <w:r>
        <w:rPr>
          <w:rFonts w:hint="eastAsia"/>
        </w:rPr>
        <w:t>环境耐候性试验</w:t>
      </w:r>
    </w:p>
    <w:p>
      <w:pPr>
        <w:pStyle w:val="97"/>
        <w:numPr>
          <w:ilvl w:val="4"/>
          <w:numId w:val="33"/>
        </w:numPr>
        <w:spacing w:before="156" w:after="156"/>
      </w:pPr>
      <w:r>
        <w:rPr>
          <w:rFonts w:hint="eastAsia"/>
        </w:rPr>
        <w:t>低温贮存试验</w:t>
      </w:r>
    </w:p>
    <w:p>
      <w:pPr>
        <w:pStyle w:val="232"/>
        <w:rPr>
          <w:color w:val="000000"/>
        </w:rPr>
      </w:pPr>
      <w:r>
        <w:rPr>
          <w:rFonts w:hint="eastAsia" w:hAnsi="宋体"/>
          <w:color w:val="000000"/>
        </w:rPr>
        <w:t>车载卫星定位系统以表</w:t>
      </w:r>
      <w:r>
        <w:rPr>
          <w:rFonts w:hAnsi="宋体"/>
          <w:color w:val="000000"/>
        </w:rPr>
        <w:t>3</w:t>
      </w:r>
      <w:r>
        <w:rPr>
          <w:rFonts w:hint="eastAsia" w:hAnsi="宋体"/>
          <w:color w:val="000000"/>
        </w:rPr>
        <w:t>的</w:t>
      </w:r>
      <w:r>
        <w:rPr>
          <w:rFonts w:hint="eastAsia" w:hAnsi="宋体"/>
        </w:rPr>
        <w:t>贮</w:t>
      </w:r>
      <w:r>
        <w:rPr>
          <w:rFonts w:hint="eastAsia" w:hAnsi="宋体"/>
          <w:color w:val="000000"/>
        </w:rPr>
        <w:t>存温度下限和</w:t>
      </w:r>
      <w:r>
        <w:rPr>
          <w:rFonts w:hint="eastAsia" w:hAnsi="宋体"/>
        </w:rPr>
        <w:t>以</w:t>
      </w:r>
      <w:r>
        <w:rPr>
          <w:rFonts w:hint="eastAsia"/>
        </w:rPr>
        <w:t>GB/T 28046.1-2011定义的工作模式1.1</w:t>
      </w:r>
      <w:r>
        <w:rPr>
          <w:rFonts w:hint="eastAsia" w:hAnsi="宋体"/>
          <w:color w:val="000000"/>
        </w:rPr>
        <w:t>，按照</w:t>
      </w:r>
      <w:r>
        <w:rPr>
          <w:rFonts w:hint="eastAsia"/>
          <w:color w:val="000000"/>
        </w:rPr>
        <w:t>GB/T 28046.4</w:t>
      </w:r>
      <w:r>
        <w:rPr>
          <w:rFonts w:hint="eastAsia" w:hAnsi="宋体"/>
          <w:color w:val="000000"/>
        </w:rPr>
        <w:t>-2011中</w:t>
      </w:r>
      <w:r>
        <w:rPr>
          <w:rFonts w:hint="eastAsia"/>
          <w:color w:val="000000"/>
        </w:rPr>
        <w:t>5.1.1.1.2的方法进行试验。试验后静置2h恢复常温，</w:t>
      </w:r>
      <w:r>
        <w:rPr>
          <w:rFonts w:hint="eastAsia" w:hAnsi="宋体"/>
        </w:rPr>
        <w:t>以</w:t>
      </w:r>
      <w:r>
        <w:rPr>
          <w:rFonts w:hint="eastAsia"/>
        </w:rPr>
        <w:t>GB/T 28046.1-2011定义的工作模式3.2</w:t>
      </w:r>
      <w:r>
        <w:rPr>
          <w:rFonts w:hint="eastAsia" w:hAnsi="宋体"/>
          <w:color w:val="000000"/>
        </w:rPr>
        <w:t>进行试验。</w:t>
      </w:r>
    </w:p>
    <w:p>
      <w:pPr>
        <w:pStyle w:val="97"/>
        <w:numPr>
          <w:ilvl w:val="4"/>
          <w:numId w:val="33"/>
        </w:numPr>
        <w:spacing w:before="156" w:after="156"/>
      </w:pPr>
      <w:r>
        <w:rPr>
          <w:rFonts w:hint="eastAsia"/>
        </w:rPr>
        <w:t>低温工作试验</w:t>
      </w:r>
    </w:p>
    <w:p>
      <w:pPr>
        <w:pStyle w:val="232"/>
        <w:rPr>
          <w:color w:val="000000"/>
        </w:rPr>
      </w:pPr>
      <w:r>
        <w:rPr>
          <w:rFonts w:hint="eastAsia" w:hAnsi="宋体"/>
          <w:color w:val="000000"/>
        </w:rPr>
        <w:t>车载卫星定位系统以</w:t>
      </w:r>
      <w:r>
        <w:rPr>
          <w:rFonts w:hint="eastAsia"/>
          <w:color w:val="000000"/>
        </w:rPr>
        <w:t>T</w:t>
      </w:r>
      <w:r>
        <w:rPr>
          <w:rFonts w:hint="eastAsia"/>
          <w:color w:val="000000"/>
          <w:vertAlign w:val="subscript"/>
        </w:rPr>
        <w:t>min</w:t>
      </w:r>
      <w:r>
        <w:rPr>
          <w:rFonts w:hint="eastAsia" w:hAnsi="宋体"/>
          <w:color w:val="000000"/>
        </w:rPr>
        <w:t>和</w:t>
      </w:r>
      <w:r>
        <w:rPr>
          <w:rFonts w:hint="eastAsia"/>
        </w:rPr>
        <w:t>GB/T 28046.1-2011定义的工作模式3.2</w:t>
      </w:r>
      <w:r>
        <w:rPr>
          <w:rFonts w:hint="eastAsia" w:hAnsi="宋体"/>
          <w:color w:val="000000"/>
        </w:rPr>
        <w:t>，按照</w:t>
      </w:r>
      <w:r>
        <w:rPr>
          <w:rFonts w:hint="eastAsia"/>
          <w:color w:val="000000"/>
        </w:rPr>
        <w:t>GB/T 28046.4</w:t>
      </w:r>
      <w:r>
        <w:rPr>
          <w:rFonts w:hint="eastAsia" w:hAnsi="宋体"/>
          <w:color w:val="000000"/>
        </w:rPr>
        <w:t>-2011中</w:t>
      </w:r>
      <w:r>
        <w:rPr>
          <w:rFonts w:hint="eastAsia"/>
          <w:color w:val="000000"/>
        </w:rPr>
        <w:t>5.1.1.2.2的方法进行试验</w:t>
      </w:r>
      <w:r>
        <w:rPr>
          <w:rFonts w:hint="eastAsia" w:hAnsi="宋体"/>
        </w:rPr>
        <w:t>。</w:t>
      </w:r>
    </w:p>
    <w:p>
      <w:pPr>
        <w:pStyle w:val="97"/>
        <w:numPr>
          <w:ilvl w:val="4"/>
          <w:numId w:val="33"/>
        </w:numPr>
        <w:spacing w:before="156" w:after="156"/>
      </w:pPr>
      <w:r>
        <w:rPr>
          <w:rFonts w:hint="eastAsia"/>
        </w:rPr>
        <w:t>高温贮存试验</w:t>
      </w:r>
    </w:p>
    <w:p>
      <w:pPr>
        <w:pStyle w:val="232"/>
        <w:rPr>
          <w:color w:val="000000"/>
        </w:rPr>
      </w:pPr>
      <w:r>
        <w:rPr>
          <w:rFonts w:hint="eastAsia" w:hAnsi="宋体"/>
          <w:color w:val="000000"/>
        </w:rPr>
        <w:t>车载卫星定位系统以表</w:t>
      </w:r>
      <w:r>
        <w:rPr>
          <w:rFonts w:hAnsi="宋体"/>
          <w:color w:val="000000"/>
        </w:rPr>
        <w:t>3</w:t>
      </w:r>
      <w:r>
        <w:rPr>
          <w:rFonts w:hint="eastAsia" w:hAnsi="宋体"/>
          <w:color w:val="000000"/>
        </w:rPr>
        <w:t>的</w:t>
      </w:r>
      <w:r>
        <w:rPr>
          <w:rFonts w:hint="eastAsia" w:hAnsi="宋体"/>
        </w:rPr>
        <w:t>贮</w:t>
      </w:r>
      <w:r>
        <w:rPr>
          <w:rFonts w:hint="eastAsia" w:hAnsi="宋体"/>
          <w:color w:val="000000"/>
        </w:rPr>
        <w:t>存温度上限和</w:t>
      </w:r>
      <w:r>
        <w:rPr>
          <w:rFonts w:hint="eastAsia" w:hAnsi="宋体"/>
        </w:rPr>
        <w:t>以</w:t>
      </w:r>
      <w:r>
        <w:rPr>
          <w:rFonts w:hint="eastAsia"/>
        </w:rPr>
        <w:t>GB/T 28046.1-2011定义的工作模式1.1</w:t>
      </w:r>
      <w:r>
        <w:rPr>
          <w:rFonts w:hint="eastAsia" w:hAnsi="宋体"/>
          <w:color w:val="000000"/>
        </w:rPr>
        <w:t>，按照</w:t>
      </w:r>
      <w:r>
        <w:rPr>
          <w:rFonts w:hint="eastAsia"/>
          <w:color w:val="000000"/>
        </w:rPr>
        <w:t>GB/T 28046.4</w:t>
      </w:r>
      <w:r>
        <w:rPr>
          <w:rFonts w:hint="eastAsia" w:hAnsi="宋体"/>
          <w:color w:val="000000"/>
        </w:rPr>
        <w:t>-2011中</w:t>
      </w:r>
      <w:r>
        <w:rPr>
          <w:rFonts w:hint="eastAsia"/>
          <w:color w:val="000000"/>
        </w:rPr>
        <w:t>5.1.2.1.2的方法进行试验。试验后静置2h恢复常温，</w:t>
      </w:r>
      <w:r>
        <w:rPr>
          <w:rFonts w:hint="eastAsia" w:hAnsi="宋体"/>
        </w:rPr>
        <w:t>以</w:t>
      </w:r>
      <w:r>
        <w:rPr>
          <w:rFonts w:hint="eastAsia"/>
        </w:rPr>
        <w:t>GB/T 28046.1-2011定义的工作模式3.2</w:t>
      </w:r>
      <w:r>
        <w:rPr>
          <w:rFonts w:hint="eastAsia" w:hAnsi="宋体"/>
          <w:color w:val="000000"/>
        </w:rPr>
        <w:t>进行试验。</w:t>
      </w:r>
    </w:p>
    <w:p>
      <w:pPr>
        <w:pStyle w:val="97"/>
        <w:numPr>
          <w:ilvl w:val="4"/>
          <w:numId w:val="33"/>
        </w:numPr>
        <w:spacing w:before="156" w:after="156"/>
      </w:pPr>
      <w:r>
        <w:rPr>
          <w:rFonts w:hint="eastAsia"/>
        </w:rPr>
        <w:t>高温工作试验</w:t>
      </w:r>
    </w:p>
    <w:p>
      <w:pPr>
        <w:pStyle w:val="232"/>
      </w:pPr>
      <w:r>
        <w:rPr>
          <w:rFonts w:hint="eastAsia" w:hAnsi="宋体"/>
        </w:rPr>
        <w:t>车载卫星定位系统以</w:t>
      </w:r>
      <w:r>
        <w:rPr>
          <w:rFonts w:hint="eastAsia"/>
        </w:rPr>
        <w:t>T</w:t>
      </w:r>
      <w:r>
        <w:rPr>
          <w:rFonts w:hint="eastAsia"/>
          <w:vertAlign w:val="subscript"/>
        </w:rPr>
        <w:t>max</w:t>
      </w:r>
      <w:r>
        <w:rPr>
          <w:rFonts w:hint="eastAsia" w:hAnsi="宋体"/>
        </w:rPr>
        <w:t>和</w:t>
      </w:r>
      <w:r>
        <w:rPr>
          <w:rFonts w:hint="eastAsia"/>
        </w:rPr>
        <w:t>GB/T 28046.1-2011定义的工作模式3.2</w:t>
      </w:r>
      <w:r>
        <w:rPr>
          <w:rFonts w:hint="eastAsia" w:hAnsi="宋体"/>
        </w:rPr>
        <w:t>，按照</w:t>
      </w:r>
      <w:r>
        <w:rPr>
          <w:rFonts w:hint="eastAsia"/>
        </w:rPr>
        <w:t>GB/T 28046.4-2011中5.1.2.2.2</w:t>
      </w:r>
      <w:r>
        <w:rPr>
          <w:rFonts w:hint="eastAsia" w:hAnsi="宋体"/>
        </w:rPr>
        <w:t>的方法进行试验。</w:t>
      </w:r>
    </w:p>
    <w:p>
      <w:pPr>
        <w:pStyle w:val="97"/>
        <w:numPr>
          <w:ilvl w:val="4"/>
          <w:numId w:val="33"/>
        </w:numPr>
        <w:spacing w:before="156" w:after="156"/>
      </w:pPr>
      <w:r>
        <w:rPr>
          <w:rFonts w:hint="eastAsia"/>
        </w:rPr>
        <w:t>温度梯度试验</w:t>
      </w:r>
    </w:p>
    <w:p>
      <w:pPr>
        <w:pStyle w:val="232"/>
        <w:rPr>
          <w:color w:val="000000"/>
        </w:rPr>
      </w:pPr>
      <w:r>
        <w:rPr>
          <w:rFonts w:hint="eastAsia" w:hAnsi="宋体"/>
          <w:color w:val="000000"/>
        </w:rPr>
        <w:t>车载卫星定位系统以T</w:t>
      </w:r>
      <w:r>
        <w:rPr>
          <w:rFonts w:hint="eastAsia" w:hAnsi="宋体"/>
          <w:color w:val="000000"/>
          <w:vertAlign w:val="subscript"/>
        </w:rPr>
        <w:t>min</w:t>
      </w:r>
      <w:r>
        <w:rPr>
          <w:rFonts w:hint="eastAsia" w:hAnsi="宋体"/>
          <w:color w:val="000000"/>
        </w:rPr>
        <w:t>～T</w:t>
      </w:r>
      <w:r>
        <w:rPr>
          <w:rFonts w:hint="eastAsia" w:hAnsi="宋体"/>
          <w:color w:val="000000"/>
          <w:vertAlign w:val="subscript"/>
        </w:rPr>
        <w:t>max</w:t>
      </w:r>
      <w:r>
        <w:rPr>
          <w:rFonts w:hint="eastAsia" w:hAnsi="宋体"/>
          <w:color w:val="000000"/>
        </w:rPr>
        <w:t>范围和</w:t>
      </w:r>
      <w:r>
        <w:rPr>
          <w:rFonts w:hint="eastAsia"/>
        </w:rPr>
        <w:t>GB/T 28046.1-2011定义的工作模式3.2</w:t>
      </w:r>
      <w:r>
        <w:rPr>
          <w:rFonts w:hint="eastAsia" w:hAnsi="宋体"/>
          <w:color w:val="000000"/>
        </w:rPr>
        <w:t>，按照</w:t>
      </w:r>
      <w:r>
        <w:rPr>
          <w:rFonts w:hint="eastAsia"/>
          <w:color w:val="000000"/>
        </w:rPr>
        <w:t>GB/T 28046.4</w:t>
      </w:r>
      <w:r>
        <w:rPr>
          <w:rFonts w:hint="eastAsia" w:hAnsi="宋体"/>
          <w:color w:val="000000"/>
        </w:rPr>
        <w:t>-2011中</w:t>
      </w:r>
      <w:r>
        <w:rPr>
          <w:rFonts w:hint="eastAsia"/>
          <w:color w:val="000000"/>
        </w:rPr>
        <w:t>5.2.2的方法进行试验</w:t>
      </w:r>
      <w:r>
        <w:rPr>
          <w:rFonts w:hint="eastAsia" w:hAnsi="宋体"/>
          <w:color w:val="000000"/>
        </w:rPr>
        <w:t>。试验后静置</w:t>
      </w:r>
      <w:r>
        <w:rPr>
          <w:rFonts w:hint="eastAsia"/>
          <w:color w:val="000000"/>
        </w:rPr>
        <w:t>2h恢复常温，</w:t>
      </w:r>
      <w:r>
        <w:rPr>
          <w:rFonts w:hint="eastAsia" w:hAnsi="宋体"/>
        </w:rPr>
        <w:t>以</w:t>
      </w:r>
      <w:r>
        <w:rPr>
          <w:rFonts w:hint="eastAsia"/>
        </w:rPr>
        <w:t>GB/T 28046.1-2011定义的工作模式3.2</w:t>
      </w:r>
      <w:r>
        <w:rPr>
          <w:rFonts w:hint="eastAsia" w:hAnsi="宋体"/>
          <w:color w:val="000000"/>
        </w:rPr>
        <w:t>进行试验。</w:t>
      </w:r>
    </w:p>
    <w:p>
      <w:pPr>
        <w:pStyle w:val="97"/>
        <w:numPr>
          <w:ilvl w:val="4"/>
          <w:numId w:val="33"/>
        </w:numPr>
        <w:spacing w:before="156" w:after="156"/>
      </w:pPr>
      <w:r>
        <w:rPr>
          <w:rFonts w:hint="eastAsia"/>
        </w:rPr>
        <w:t>规定变化率的温度循环试验</w:t>
      </w:r>
    </w:p>
    <w:p>
      <w:pPr>
        <w:pStyle w:val="232"/>
      </w:pPr>
      <w:r>
        <w:rPr>
          <w:rFonts w:hint="eastAsia" w:hAnsi="宋体"/>
        </w:rPr>
        <w:t>车载卫星定位系统以</w:t>
      </w:r>
      <w:r>
        <w:rPr>
          <w:rFonts w:hint="eastAsia"/>
        </w:rPr>
        <w:t>T</w:t>
      </w:r>
      <w:r>
        <w:rPr>
          <w:rFonts w:hint="eastAsia"/>
          <w:vertAlign w:val="subscript"/>
        </w:rPr>
        <w:t>min</w:t>
      </w:r>
      <w:r>
        <w:rPr>
          <w:rFonts w:hint="eastAsia" w:hAnsi="宋体"/>
        </w:rPr>
        <w:t>～</w:t>
      </w:r>
      <w:r>
        <w:rPr>
          <w:rFonts w:hint="eastAsia"/>
        </w:rPr>
        <w:t>T</w:t>
      </w:r>
      <w:r>
        <w:rPr>
          <w:rFonts w:hint="eastAsia"/>
          <w:vertAlign w:val="subscript"/>
        </w:rPr>
        <w:t>max</w:t>
      </w:r>
      <w:r>
        <w:rPr>
          <w:rFonts w:hint="eastAsia" w:hAnsi="宋体"/>
        </w:rPr>
        <w:t>范围和</w:t>
      </w:r>
      <w:r>
        <w:rPr>
          <w:rFonts w:hint="eastAsia"/>
        </w:rPr>
        <w:t>GB/T 28046.1-2011定义的工作模式1.2，按照GB/T 28046.4-2011中的5.3.1.2的方法进行试验，试验中以GB/T 28046.1-2011定义的工作模式3.2进行测试。试验后静置2h恢复常温，</w:t>
      </w:r>
      <w:r>
        <w:rPr>
          <w:rFonts w:hint="eastAsia" w:hAnsi="宋体"/>
          <w:color w:val="000000"/>
        </w:rPr>
        <w:t>以</w:t>
      </w:r>
      <w:r>
        <w:rPr>
          <w:rFonts w:hint="eastAsia"/>
        </w:rPr>
        <w:t>GB/T 28046.1-2011定义的工作模式3.2</w:t>
      </w:r>
      <w:r>
        <w:rPr>
          <w:rFonts w:hint="eastAsia" w:hAnsi="宋体"/>
        </w:rPr>
        <w:t>进行试验。</w:t>
      </w:r>
    </w:p>
    <w:p>
      <w:pPr>
        <w:pStyle w:val="97"/>
        <w:numPr>
          <w:ilvl w:val="4"/>
          <w:numId w:val="33"/>
        </w:numPr>
        <w:spacing w:before="156" w:after="156"/>
      </w:pPr>
      <w:r>
        <w:rPr>
          <w:rFonts w:hint="eastAsia"/>
        </w:rPr>
        <w:t>规定转换时间的温度快速变化试验</w:t>
      </w:r>
    </w:p>
    <w:p>
      <w:pPr>
        <w:pStyle w:val="232"/>
        <w:rPr>
          <w:color w:val="000000"/>
        </w:rPr>
      </w:pPr>
      <w:r>
        <w:rPr>
          <w:rFonts w:hint="eastAsia" w:hAnsi="宋体"/>
          <w:color w:val="000000"/>
        </w:rPr>
        <w:t>车载卫星定位系统以T</w:t>
      </w:r>
      <w:r>
        <w:rPr>
          <w:rFonts w:hint="eastAsia" w:hAnsi="宋体"/>
          <w:color w:val="000000"/>
          <w:vertAlign w:val="subscript"/>
        </w:rPr>
        <w:t>min</w:t>
      </w:r>
      <w:r>
        <w:rPr>
          <w:rFonts w:hint="eastAsia" w:hAnsi="宋体"/>
          <w:color w:val="000000"/>
        </w:rPr>
        <w:t>～T</w:t>
      </w:r>
      <w:r>
        <w:rPr>
          <w:rFonts w:hint="eastAsia" w:hAnsi="宋体"/>
          <w:color w:val="000000"/>
          <w:vertAlign w:val="subscript"/>
        </w:rPr>
        <w:t>max</w:t>
      </w:r>
      <w:r>
        <w:rPr>
          <w:rFonts w:hint="eastAsia" w:hAnsi="宋体"/>
          <w:color w:val="000000"/>
        </w:rPr>
        <w:t>范围和GB/T 28046.1-2011定义的工作模式1.1，按照</w:t>
      </w:r>
      <w:r>
        <w:rPr>
          <w:rFonts w:hint="eastAsia"/>
          <w:color w:val="000000"/>
        </w:rPr>
        <w:t>GB/T 28046.4</w:t>
      </w:r>
      <w:r>
        <w:rPr>
          <w:rFonts w:hint="eastAsia" w:hAnsi="宋体"/>
          <w:color w:val="000000"/>
        </w:rPr>
        <w:t>-2011中</w:t>
      </w:r>
      <w:r>
        <w:rPr>
          <w:rFonts w:hint="eastAsia"/>
          <w:color w:val="000000"/>
        </w:rPr>
        <w:t>5.3.2.2的方法进行试验。试验后静置2h恢复常温，</w:t>
      </w:r>
      <w:r>
        <w:rPr>
          <w:rFonts w:hint="eastAsia" w:hAnsi="宋体"/>
          <w:color w:val="000000"/>
        </w:rPr>
        <w:t>以</w:t>
      </w:r>
      <w:r>
        <w:rPr>
          <w:rFonts w:hint="eastAsia"/>
        </w:rPr>
        <w:t>GB/T 28046.1-2011定义的工作模式3.2</w:t>
      </w:r>
      <w:r>
        <w:rPr>
          <w:rFonts w:hint="eastAsia" w:hAnsi="宋体"/>
          <w:color w:val="000000"/>
        </w:rPr>
        <w:t>进行试验。</w:t>
      </w:r>
    </w:p>
    <w:p>
      <w:pPr>
        <w:pStyle w:val="97"/>
        <w:numPr>
          <w:ilvl w:val="4"/>
          <w:numId w:val="33"/>
        </w:numPr>
        <w:spacing w:before="156" w:after="156"/>
      </w:pPr>
      <w:r>
        <w:rPr>
          <w:rFonts w:hint="eastAsia"/>
        </w:rPr>
        <w:t>湿热循环试验</w:t>
      </w:r>
    </w:p>
    <w:p>
      <w:pPr>
        <w:pStyle w:val="232"/>
      </w:pPr>
      <w:r>
        <w:rPr>
          <w:rFonts w:hint="eastAsia" w:hAnsi="宋体"/>
        </w:rPr>
        <w:t>车载卫星定位系统以</w:t>
      </w:r>
      <w:r>
        <w:rPr>
          <w:rFonts w:hint="eastAsia"/>
        </w:rPr>
        <w:t>GB/T 28046.1-2011定义的工作模式1.2</w:t>
      </w:r>
      <w:r>
        <w:rPr>
          <w:rFonts w:hint="eastAsia" w:hAnsi="宋体"/>
        </w:rPr>
        <w:t>，按照</w:t>
      </w:r>
      <w:r>
        <w:rPr>
          <w:rFonts w:hint="eastAsia"/>
        </w:rPr>
        <w:t>GB/T 28046.4-2011中5.6.2.2的方法进行试验，试验中以GB/T 28046.1-2011定义的工作模式3.2进行测试。试验后静置2h恢复常温，</w:t>
      </w:r>
      <w:r>
        <w:rPr>
          <w:rFonts w:hint="eastAsia" w:hAnsi="宋体"/>
          <w:color w:val="000000"/>
        </w:rPr>
        <w:t>以</w:t>
      </w:r>
      <w:r>
        <w:rPr>
          <w:rFonts w:hint="eastAsia"/>
        </w:rPr>
        <w:t>GB/T 28046.1-2011定义的工作模式3.2</w:t>
      </w:r>
      <w:r>
        <w:rPr>
          <w:rFonts w:hint="eastAsia" w:hAnsi="宋体"/>
        </w:rPr>
        <w:t>进行试验。</w:t>
      </w:r>
    </w:p>
    <w:p>
      <w:pPr>
        <w:pStyle w:val="97"/>
        <w:numPr>
          <w:ilvl w:val="4"/>
          <w:numId w:val="33"/>
        </w:numPr>
        <w:spacing w:before="156" w:after="156"/>
      </w:pPr>
      <w:r>
        <w:rPr>
          <w:rFonts w:hint="eastAsia"/>
        </w:rPr>
        <w:t>稳态湿热试验</w:t>
      </w:r>
    </w:p>
    <w:p>
      <w:pPr>
        <w:pStyle w:val="232"/>
      </w:pPr>
      <w:r>
        <w:rPr>
          <w:rFonts w:hint="eastAsia" w:hAnsi="宋体"/>
        </w:rPr>
        <w:t>车载卫星定位系统</w:t>
      </w:r>
      <w:r>
        <w:rPr>
          <w:rFonts w:hint="eastAsia" w:hAnsi="宋体"/>
          <w:color w:val="000000"/>
        </w:rPr>
        <w:t>以</w:t>
      </w:r>
      <w:r>
        <w:rPr>
          <w:rFonts w:hint="eastAsia"/>
        </w:rPr>
        <w:t>GB/T 28046.1-2011定义的工作模式2.1</w:t>
      </w:r>
      <w:r>
        <w:rPr>
          <w:rFonts w:hint="eastAsia" w:hAnsi="宋体"/>
        </w:rPr>
        <w:t>，按照</w:t>
      </w:r>
      <w:r>
        <w:rPr>
          <w:rFonts w:hint="eastAsia"/>
        </w:rPr>
        <w:t>GB/T 28046.4-2011中5.7.2的方法进行试验，在试验最后1h以GB/T 28046.1-2011定义的工作模式3.2进行测试。试验后静置2h恢复常温，</w:t>
      </w:r>
      <w:r>
        <w:rPr>
          <w:rFonts w:hint="eastAsia" w:hAnsi="宋体"/>
          <w:color w:val="000000"/>
        </w:rPr>
        <w:t>以</w:t>
      </w:r>
      <w:r>
        <w:rPr>
          <w:rFonts w:hint="eastAsia"/>
        </w:rPr>
        <w:t>GB/T 28046.1-2011定义的工作模式3.2</w:t>
      </w:r>
      <w:r>
        <w:rPr>
          <w:rFonts w:hint="eastAsia" w:hAnsi="宋体"/>
        </w:rPr>
        <w:t>进行试验。</w:t>
      </w:r>
    </w:p>
    <w:p>
      <w:pPr>
        <w:pStyle w:val="97"/>
        <w:numPr>
          <w:ilvl w:val="4"/>
          <w:numId w:val="33"/>
        </w:numPr>
        <w:spacing w:before="156" w:after="156"/>
      </w:pPr>
      <w:r>
        <w:rPr>
          <w:rFonts w:hint="eastAsia"/>
        </w:rPr>
        <w:t>太阳光辐射试验</w:t>
      </w:r>
    </w:p>
    <w:p>
      <w:pPr>
        <w:pStyle w:val="232"/>
        <w:rPr>
          <w:color w:val="000000"/>
        </w:rPr>
      </w:pPr>
      <w:r>
        <w:rPr>
          <w:rFonts w:hint="eastAsia" w:hAnsi="宋体"/>
          <w:color w:val="000000"/>
        </w:rPr>
        <w:t>安装在乘客舱内太阳直射处的车载卫星定位系统，</w:t>
      </w:r>
      <w:r>
        <w:rPr>
          <w:rFonts w:hint="eastAsia" w:hAnsi="宋体"/>
        </w:rPr>
        <w:t>以</w:t>
      </w:r>
      <w:r>
        <w:rPr>
          <w:rFonts w:hint="eastAsia"/>
        </w:rPr>
        <w:t>GB/T 28046.1-2011定义的工作模式1.1</w:t>
      </w:r>
      <w:r>
        <w:rPr>
          <w:rFonts w:hint="eastAsia" w:hAnsi="宋体"/>
          <w:color w:val="000000"/>
        </w:rPr>
        <w:t>，按照</w:t>
      </w:r>
      <w:r>
        <w:rPr>
          <w:rFonts w:hint="eastAsia"/>
          <w:color w:val="000000"/>
        </w:rPr>
        <w:t>ISO 4892-2:2013中表2</w:t>
      </w:r>
      <w:r>
        <w:rPr>
          <w:rFonts w:hint="eastAsia" w:hAnsi="宋体"/>
          <w:color w:val="000000"/>
        </w:rPr>
        <w:t>的方法</w:t>
      </w:r>
      <w:r>
        <w:rPr>
          <w:rFonts w:hint="eastAsia"/>
          <w:color w:val="000000"/>
        </w:rPr>
        <w:t>B和表3循环2</w:t>
      </w:r>
      <w:r>
        <w:rPr>
          <w:rFonts w:hint="eastAsia" w:hAnsi="宋体"/>
          <w:color w:val="000000"/>
        </w:rPr>
        <w:t>的规定进行</w:t>
      </w:r>
      <w:r>
        <w:rPr>
          <w:rFonts w:hint="eastAsia"/>
          <w:color w:val="000000"/>
        </w:rPr>
        <w:t>600 h试验。</w:t>
      </w:r>
    </w:p>
    <w:p>
      <w:pPr>
        <w:pStyle w:val="97"/>
        <w:numPr>
          <w:ilvl w:val="4"/>
          <w:numId w:val="33"/>
        </w:numPr>
        <w:spacing w:before="156" w:after="156"/>
      </w:pPr>
      <w:r>
        <w:rPr>
          <w:rFonts w:hint="eastAsia"/>
        </w:rPr>
        <w:t>防尘防水试验</w:t>
      </w:r>
    </w:p>
    <w:p>
      <w:pPr>
        <w:pStyle w:val="235"/>
        <w:ind w:firstLine="420" w:firstLineChars="200"/>
        <w:jc w:val="left"/>
        <w:rPr>
          <w:rFonts w:ascii="宋体" w:hAnsi="宋体" w:eastAsia="宋体"/>
          <w:color w:val="000000"/>
        </w:rPr>
      </w:pPr>
      <w:r>
        <w:rPr>
          <w:rFonts w:hint="eastAsia" w:ascii="宋体" w:hAnsi="宋体" w:eastAsia="宋体"/>
          <w:color w:val="000000"/>
        </w:rPr>
        <w:t>车载卫星定位系统以GB/T 28046.1-2011定义的工作模式1.1，按照GB/T 30038-2013中8.3.3.2规定的方法进行试验，试验结束后以GB/T 28046.1-2011定义的工作模式3.2进行试验。</w:t>
      </w:r>
    </w:p>
    <w:p>
      <w:pPr>
        <w:pStyle w:val="68"/>
        <w:numPr>
          <w:ilvl w:val="3"/>
          <w:numId w:val="33"/>
        </w:numPr>
        <w:spacing w:before="156" w:after="156"/>
        <w:rPr>
          <w:rFonts w:hAnsi="宋体"/>
        </w:rPr>
      </w:pPr>
      <w:r>
        <w:rPr>
          <w:rFonts w:hint="eastAsia"/>
        </w:rPr>
        <w:t>化学负荷试验</w:t>
      </w:r>
    </w:p>
    <w:p>
      <w:pPr>
        <w:pStyle w:val="232"/>
        <w:rPr>
          <w:rFonts w:hAnsi="宋体"/>
        </w:rPr>
      </w:pPr>
      <w:r>
        <w:rPr>
          <w:rFonts w:hint="eastAsia" w:hAnsi="宋体"/>
          <w:color w:val="000000"/>
        </w:rPr>
        <w:t>车载卫星定位系统</w:t>
      </w:r>
      <w:r>
        <w:rPr>
          <w:rFonts w:hint="eastAsia" w:hAnsi="宋体"/>
        </w:rPr>
        <w:t>以</w:t>
      </w:r>
      <w:r>
        <w:rPr>
          <w:rFonts w:hint="eastAsia"/>
        </w:rPr>
        <w:t>GB/T 28046.1-2011定义的工作模式1.1</w:t>
      </w:r>
      <w:r>
        <w:rPr>
          <w:rFonts w:hint="eastAsia" w:hAnsi="宋体"/>
          <w:color w:val="000000"/>
        </w:rPr>
        <w:t>，按照</w:t>
      </w:r>
      <w:r>
        <w:rPr>
          <w:rFonts w:hint="eastAsia" w:hAnsi="宋体"/>
        </w:rPr>
        <w:t>GB/T 28046.5</w:t>
      </w:r>
      <w:r>
        <w:rPr>
          <w:rFonts w:hint="eastAsia" w:hAnsi="宋体"/>
          <w:color w:val="000000"/>
        </w:rPr>
        <w:t>-2013</w:t>
      </w:r>
      <w:r>
        <w:rPr>
          <w:rFonts w:hint="eastAsia" w:hAnsi="宋体"/>
        </w:rPr>
        <w:t>中表1安装位置代码[B]选择试剂和暴露条件以及表2的湿润方法和4.8的程序进行试验。试验后，检查外观，并</w:t>
      </w:r>
      <w:r>
        <w:rPr>
          <w:rFonts w:hint="eastAsia" w:hAnsi="宋体"/>
          <w:color w:val="000000"/>
        </w:rPr>
        <w:t>以</w:t>
      </w:r>
      <w:r>
        <w:rPr>
          <w:rFonts w:hint="eastAsia"/>
        </w:rPr>
        <w:t>GB/T 28046.1-2011定义的工作模式3.2</w:t>
      </w:r>
      <w:r>
        <w:rPr>
          <w:rFonts w:hint="eastAsia" w:hAnsi="宋体"/>
        </w:rPr>
        <w:t>进行试验。</w:t>
      </w:r>
    </w:p>
    <w:p>
      <w:pPr>
        <w:pStyle w:val="68"/>
        <w:numPr>
          <w:ilvl w:val="3"/>
          <w:numId w:val="33"/>
        </w:numPr>
        <w:spacing w:before="156" w:after="156"/>
      </w:pPr>
      <w:r>
        <w:rPr>
          <w:rFonts w:hint="eastAsia"/>
        </w:rPr>
        <w:t>耐久性试验</w:t>
      </w:r>
    </w:p>
    <w:p>
      <w:pPr>
        <w:pStyle w:val="59"/>
        <w:ind w:firstLine="420"/>
      </w:pPr>
      <w:r>
        <w:rPr>
          <w:rFonts w:hint="eastAsia"/>
        </w:rPr>
        <w:t>耐久性试验参见附录</w:t>
      </w:r>
      <w:r>
        <w:t>G.1</w:t>
      </w:r>
      <w:r>
        <w:rPr>
          <w:rFonts w:hint="eastAsia"/>
        </w:rPr>
        <w:t>，耐久性计算模型参见附录</w:t>
      </w:r>
      <w:r>
        <w:t>H</w:t>
      </w:r>
      <w:r>
        <w:rPr>
          <w:rFonts w:hint="eastAsia"/>
        </w:rPr>
        <w:t>。</w:t>
      </w:r>
    </w:p>
    <w:p>
      <w:pPr>
        <w:pStyle w:val="59"/>
        <w:ind w:firstLine="420"/>
      </w:pPr>
    </w:p>
    <w:p>
      <w:pPr>
        <w:pStyle w:val="59"/>
        <w:ind w:firstLine="420"/>
        <w:sectPr>
          <w:headerReference r:id="rId3" w:type="default"/>
          <w:footerReference r:id="rId5" w:type="default"/>
          <w:headerReference r:id="rId4" w:type="even"/>
          <w:pgSz w:w="11906" w:h="16838"/>
          <w:pgMar w:top="567" w:right="1134" w:bottom="1134" w:left="1134" w:header="1134" w:footer="1134" w:gutter="284"/>
          <w:pgNumType w:start="1"/>
          <w:cols w:space="425" w:num="1"/>
          <w:formProt w:val="0"/>
          <w:docGrid w:type="lines" w:linePitch="312" w:charSpace="0"/>
        </w:sectPr>
      </w:pPr>
    </w:p>
    <w:bookmarkEnd w:id="1"/>
    <w:p>
      <w:pPr>
        <w:pStyle w:val="201"/>
        <w:rPr>
          <w:vanish w:val="0"/>
        </w:rPr>
      </w:pPr>
      <w:bookmarkStart w:id="30" w:name="BookMark5"/>
    </w:p>
    <w:p>
      <w:pPr>
        <w:pStyle w:val="202"/>
        <w:rPr>
          <w:vanish w:val="0"/>
        </w:rPr>
      </w:pPr>
    </w:p>
    <w:p>
      <w:pPr>
        <w:pStyle w:val="79"/>
        <w:spacing w:before="78" w:after="156"/>
      </w:pPr>
      <w:r>
        <w:br w:type="textWrapping"/>
      </w:r>
      <w:bookmarkStart w:id="31" w:name="_Hlk74730239"/>
      <w:r>
        <w:rPr>
          <w:rFonts w:hint="eastAsia"/>
        </w:rPr>
        <w:t>（规范性）</w:t>
      </w:r>
      <w:r>
        <w:br w:type="textWrapping"/>
      </w:r>
      <w:r>
        <w:rPr>
          <w:rFonts w:hint="eastAsia"/>
        </w:rPr>
        <w:t>NMEA0183语句规定</w:t>
      </w:r>
    </w:p>
    <w:p>
      <w:pPr>
        <w:pStyle w:val="236"/>
        <w:keepNext w:val="0"/>
        <w:keepLines w:val="0"/>
        <w:pageBreakBefore w:val="0"/>
        <w:widowControl/>
        <w:numPr>
          <w:ilvl w:val="1"/>
          <w:numId w:val="34"/>
        </w:numPr>
        <w:kinsoku/>
        <w:wordWrap w:val="0"/>
        <w:overflowPunct w:val="0"/>
        <w:topLinePunct w:val="0"/>
        <w:autoSpaceDE/>
        <w:autoSpaceDN w:val="0"/>
        <w:bidi w:val="0"/>
        <w:adjustRightInd/>
        <w:snapToGrid/>
        <w:spacing w:before="157" w:beforeLines="50" w:after="157" w:afterLines="50"/>
        <w:textAlignment w:val="auto"/>
        <w:rPr>
          <w:szCs w:val="21"/>
        </w:rPr>
      </w:pPr>
      <w:bookmarkStart w:id="32" w:name="_Hlk83394794"/>
      <w:r>
        <w:rPr>
          <w:rFonts w:hint="eastAsia"/>
        </w:rPr>
        <w:t>NMEA-0183协议通用参数化语句格式</w:t>
      </w:r>
    </w:p>
    <w:p>
      <w:pPr>
        <w:pStyle w:val="232"/>
      </w:pPr>
      <w:r>
        <w:rPr>
          <w:rFonts w:hint="eastAsia"/>
        </w:rPr>
        <w:t>NMEA-0183协议通用参数化语句格式为$aaccc,c</w:t>
      </w:r>
      <w:r>
        <w:rPr>
          <w:rFonts w:hint="eastAsia" w:ascii="Times New Roman"/>
        </w:rPr>
        <w:t>–</w:t>
      </w:r>
      <w:r>
        <w:rPr>
          <w:rFonts w:hint="eastAsia"/>
        </w:rPr>
        <w:t>c*hh&lt;CR&gt;&lt;LF&gt;，其含义如表</w:t>
      </w:r>
      <w:r>
        <w:t>A</w:t>
      </w:r>
      <w:r>
        <w:rPr>
          <w:rFonts w:hint="eastAsia"/>
        </w:rPr>
        <w:t>.1所示。</w:t>
      </w:r>
    </w:p>
    <w:p>
      <w:pPr>
        <w:pStyle w:val="80"/>
        <w:spacing w:before="156" w:after="156"/>
        <w:ind w:firstLine="420"/>
        <w:textAlignment w:val="auto"/>
      </w:pPr>
      <w:r>
        <w:rPr>
          <w:rFonts w:hint="eastAsia"/>
        </w:rPr>
        <w:t>NMEA-0183协议通用参数化语句含义</w:t>
      </w:r>
    </w:p>
    <w:tbl>
      <w:tblPr>
        <w:tblStyle w:val="36"/>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667"/>
        <w:gridCol w:w="4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4667" w:type="dxa"/>
            <w:tcBorders>
              <w:top w:val="single" w:color="auto" w:sz="8" w:space="0"/>
              <w:bottom w:val="single" w:color="auto" w:sz="8" w:space="0"/>
            </w:tcBorders>
            <w:shd w:val="clear" w:color="auto" w:fill="auto"/>
          </w:tcPr>
          <w:p>
            <w:pPr>
              <w:pStyle w:val="181"/>
              <w:rPr>
                <w:szCs w:val="18"/>
              </w:rPr>
            </w:pPr>
            <w:bookmarkStart w:id="33" w:name="_Hlk71820882"/>
            <w:r>
              <w:rPr>
                <w:rFonts w:hint="eastAsia"/>
                <w:szCs w:val="18"/>
              </w:rPr>
              <w:t>字段</w:t>
            </w:r>
          </w:p>
        </w:tc>
        <w:tc>
          <w:tcPr>
            <w:tcW w:w="4667" w:type="dxa"/>
            <w:tcBorders>
              <w:top w:val="single" w:color="auto" w:sz="8" w:space="0"/>
              <w:bottom w:val="single" w:color="auto" w:sz="8" w:space="0"/>
            </w:tcBorders>
            <w:shd w:val="clear" w:color="auto" w:fill="auto"/>
          </w:tcPr>
          <w:p>
            <w:pPr>
              <w:pStyle w:val="181"/>
              <w:rPr>
                <w:szCs w:val="18"/>
              </w:rPr>
            </w:pPr>
            <w:r>
              <w:rPr>
                <w:rFonts w:hint="eastAsia"/>
                <w:szCs w:val="18"/>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tcBorders>
              <w:top w:val="single" w:color="auto" w:sz="8" w:space="0"/>
            </w:tcBorders>
            <w:shd w:val="clear" w:color="auto" w:fill="auto"/>
          </w:tcPr>
          <w:p>
            <w:pPr>
              <w:pStyle w:val="181"/>
              <w:rPr>
                <w:szCs w:val="18"/>
              </w:rPr>
            </w:pPr>
            <w:r>
              <w:rPr>
                <w:rFonts w:hint="eastAsia"/>
                <w:szCs w:val="18"/>
              </w:rPr>
              <w:t>“$”</w:t>
            </w:r>
          </w:p>
        </w:tc>
        <w:tc>
          <w:tcPr>
            <w:tcW w:w="4667" w:type="dxa"/>
            <w:tcBorders>
              <w:top w:val="single" w:color="auto" w:sz="8" w:space="0"/>
            </w:tcBorders>
            <w:shd w:val="clear" w:color="auto" w:fill="auto"/>
          </w:tcPr>
          <w:p>
            <w:pPr>
              <w:pStyle w:val="181"/>
              <w:rPr>
                <w:szCs w:val="18"/>
              </w:rPr>
            </w:pPr>
            <w:r>
              <w:rPr>
                <w:rFonts w:hint="eastAsia"/>
                <w:szCs w:val="18"/>
              </w:rPr>
              <w:t>语句开始标识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81"/>
              <w:rPr>
                <w:szCs w:val="18"/>
              </w:rPr>
            </w:pPr>
            <w:r>
              <w:rPr>
                <w:rFonts w:hint="eastAsia"/>
                <w:szCs w:val="18"/>
              </w:rPr>
              <w:t>aa</w:t>
            </w:r>
          </w:p>
        </w:tc>
        <w:tc>
          <w:tcPr>
            <w:tcW w:w="4667" w:type="dxa"/>
            <w:shd w:val="clear" w:color="auto" w:fill="auto"/>
          </w:tcPr>
          <w:p>
            <w:pPr>
              <w:pStyle w:val="181"/>
              <w:rPr>
                <w:szCs w:val="18"/>
              </w:rPr>
            </w:pPr>
            <w:r>
              <w:rPr>
                <w:rFonts w:hint="eastAsia"/>
                <w:szCs w:val="18"/>
              </w:rPr>
              <w:t>语句发送者标识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81"/>
              <w:rPr>
                <w:szCs w:val="18"/>
              </w:rPr>
            </w:pPr>
            <w:r>
              <w:rPr>
                <w:rFonts w:hint="eastAsia"/>
                <w:szCs w:val="18"/>
              </w:rPr>
              <w:t>ccc</w:t>
            </w:r>
          </w:p>
        </w:tc>
        <w:tc>
          <w:tcPr>
            <w:tcW w:w="4667" w:type="dxa"/>
            <w:shd w:val="clear" w:color="auto" w:fill="auto"/>
          </w:tcPr>
          <w:p>
            <w:pPr>
              <w:pStyle w:val="181"/>
              <w:rPr>
                <w:szCs w:val="18"/>
              </w:rPr>
            </w:pPr>
            <w:r>
              <w:rPr>
                <w:rFonts w:hint="eastAsia"/>
                <w:szCs w:val="18"/>
              </w:rPr>
              <w:t>语句ID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81"/>
              <w:rPr>
                <w:szCs w:val="18"/>
              </w:rPr>
            </w:pPr>
            <w:r>
              <w:rPr>
                <w:rFonts w:hint="eastAsia"/>
                <w:szCs w:val="18"/>
              </w:rPr>
              <w:t>“,”</w:t>
            </w:r>
          </w:p>
        </w:tc>
        <w:tc>
          <w:tcPr>
            <w:tcW w:w="4667" w:type="dxa"/>
            <w:shd w:val="clear" w:color="auto" w:fill="auto"/>
          </w:tcPr>
          <w:p>
            <w:pPr>
              <w:pStyle w:val="181"/>
              <w:rPr>
                <w:szCs w:val="18"/>
              </w:rPr>
            </w:pPr>
            <w:r>
              <w:rPr>
                <w:rFonts w:hint="eastAsia"/>
                <w:szCs w:val="18"/>
              </w:rPr>
              <w:t>字段分隔符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81"/>
              <w:rPr>
                <w:szCs w:val="18"/>
              </w:rPr>
            </w:pPr>
            <w:r>
              <w:rPr>
                <w:rFonts w:ascii="Times New Roman"/>
                <w:szCs w:val="18"/>
              </w:rPr>
              <w:t>c–c</w:t>
            </w:r>
          </w:p>
        </w:tc>
        <w:tc>
          <w:tcPr>
            <w:tcW w:w="4667" w:type="dxa"/>
            <w:shd w:val="clear" w:color="auto" w:fill="auto"/>
          </w:tcPr>
          <w:p>
            <w:pPr>
              <w:pStyle w:val="181"/>
              <w:rPr>
                <w:szCs w:val="18"/>
              </w:rPr>
            </w:pPr>
            <w:r>
              <w:rPr>
                <w:rFonts w:hint="eastAsia"/>
                <w:szCs w:val="18"/>
              </w:rPr>
              <w:t>语句数据内容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81"/>
              <w:rPr>
                <w:szCs w:val="18"/>
              </w:rPr>
            </w:pPr>
            <w:r>
              <w:rPr>
                <w:rFonts w:ascii="Times New Roman"/>
                <w:szCs w:val="18"/>
              </w:rPr>
              <w:t>“*”</w:t>
            </w:r>
          </w:p>
        </w:tc>
        <w:tc>
          <w:tcPr>
            <w:tcW w:w="4667" w:type="dxa"/>
            <w:shd w:val="clear" w:color="auto" w:fill="auto"/>
          </w:tcPr>
          <w:p>
            <w:pPr>
              <w:pStyle w:val="181"/>
              <w:rPr>
                <w:szCs w:val="18"/>
              </w:rPr>
            </w:pPr>
            <w:r>
              <w:rPr>
                <w:rFonts w:hint="eastAsia"/>
                <w:szCs w:val="18"/>
              </w:rPr>
              <w:t>校验位分隔符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81"/>
              <w:rPr>
                <w:szCs w:val="18"/>
              </w:rPr>
            </w:pPr>
            <w:r>
              <w:rPr>
                <w:rFonts w:ascii="Times New Roman"/>
                <w:szCs w:val="18"/>
              </w:rPr>
              <w:t>hh</w:t>
            </w:r>
          </w:p>
        </w:tc>
        <w:tc>
          <w:tcPr>
            <w:tcW w:w="4667" w:type="dxa"/>
            <w:shd w:val="clear" w:color="auto" w:fill="auto"/>
          </w:tcPr>
          <w:p>
            <w:pPr>
              <w:pStyle w:val="181"/>
              <w:rPr>
                <w:szCs w:val="18"/>
              </w:rPr>
            </w:pPr>
            <w:r>
              <w:rPr>
                <w:rFonts w:hint="eastAsia"/>
                <w:szCs w:val="18"/>
              </w:rPr>
              <w:t>校验位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81"/>
              <w:rPr>
                <w:szCs w:val="18"/>
              </w:rPr>
            </w:pPr>
            <w:r>
              <w:rPr>
                <w:rFonts w:ascii="Times New Roman"/>
                <w:szCs w:val="18"/>
              </w:rPr>
              <w:t>&lt;CR&gt;&lt;LF&gt;</w:t>
            </w:r>
          </w:p>
        </w:tc>
        <w:tc>
          <w:tcPr>
            <w:tcW w:w="4667" w:type="dxa"/>
            <w:shd w:val="clear" w:color="auto" w:fill="auto"/>
          </w:tcPr>
          <w:p>
            <w:pPr>
              <w:pStyle w:val="181"/>
              <w:rPr>
                <w:szCs w:val="18"/>
              </w:rPr>
            </w:pPr>
            <w:r>
              <w:rPr>
                <w:rFonts w:hint="eastAsia"/>
                <w:szCs w:val="18"/>
              </w:rPr>
              <w:t>回车换行</w:t>
            </w:r>
          </w:p>
        </w:tc>
      </w:tr>
      <w:bookmarkEnd w:id="33"/>
    </w:tbl>
    <w:p>
      <w:pPr>
        <w:pStyle w:val="236"/>
        <w:keepNext w:val="0"/>
        <w:keepLines w:val="0"/>
        <w:pageBreakBefore w:val="0"/>
        <w:widowControl/>
        <w:numPr>
          <w:ilvl w:val="1"/>
          <w:numId w:val="34"/>
        </w:numPr>
        <w:kinsoku/>
        <w:wordWrap w:val="0"/>
        <w:overflowPunct w:val="0"/>
        <w:topLinePunct w:val="0"/>
        <w:autoSpaceDE/>
        <w:autoSpaceDN w:val="0"/>
        <w:bidi w:val="0"/>
        <w:adjustRightInd/>
        <w:snapToGrid/>
        <w:spacing w:before="157" w:beforeLines="50" w:after="157" w:afterLines="50"/>
        <w:textAlignment w:val="auto"/>
        <w:rPr>
          <w:rFonts w:hAnsi="黑体" w:cs="宋体"/>
          <w:szCs w:val="21"/>
        </w:rPr>
      </w:pPr>
      <w:r>
        <w:rPr>
          <w:rFonts w:hint="eastAsia"/>
        </w:rPr>
        <w:t>语句发送者标识列表</w:t>
      </w:r>
    </w:p>
    <w:p>
      <w:pPr>
        <w:pStyle w:val="232"/>
      </w:pPr>
      <w:r>
        <w:rPr>
          <w:rFonts w:hint="eastAsia"/>
        </w:rPr>
        <w:t>语句发送者标识列表如表</w:t>
      </w:r>
      <w:r>
        <w:t>A</w:t>
      </w:r>
      <w:r>
        <w:rPr>
          <w:rFonts w:hint="eastAsia"/>
        </w:rPr>
        <w:t>.2所示。</w:t>
      </w:r>
    </w:p>
    <w:p>
      <w:pPr>
        <w:pStyle w:val="80"/>
        <w:spacing w:before="156" w:after="156"/>
        <w:ind w:firstLine="420"/>
        <w:textAlignment w:val="auto"/>
      </w:pPr>
      <w:r>
        <w:rPr>
          <w:rFonts w:hint="eastAsia"/>
        </w:rPr>
        <w:t>语句发送者标识列表</w:t>
      </w:r>
    </w:p>
    <w:tbl>
      <w:tblPr>
        <w:tblStyle w:val="36"/>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667"/>
        <w:gridCol w:w="4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4667" w:type="dxa"/>
            <w:tcBorders>
              <w:top w:val="single" w:color="auto" w:sz="8" w:space="0"/>
              <w:bottom w:val="single" w:color="auto" w:sz="8" w:space="0"/>
            </w:tcBorders>
            <w:shd w:val="clear" w:color="auto" w:fill="auto"/>
          </w:tcPr>
          <w:p>
            <w:pPr>
              <w:pStyle w:val="181"/>
            </w:pPr>
            <w:bookmarkStart w:id="34" w:name="_Hlk71820911"/>
            <w:r>
              <w:rPr>
                <w:rFonts w:hint="eastAsia"/>
              </w:rPr>
              <w:t>发送设备</w:t>
            </w:r>
          </w:p>
        </w:tc>
        <w:tc>
          <w:tcPr>
            <w:tcW w:w="4667" w:type="dxa"/>
            <w:tcBorders>
              <w:top w:val="single" w:color="auto" w:sz="8" w:space="0"/>
              <w:bottom w:val="single" w:color="auto" w:sz="8" w:space="0"/>
            </w:tcBorders>
            <w:shd w:val="clear" w:color="auto" w:fill="auto"/>
          </w:tcPr>
          <w:p>
            <w:pPr>
              <w:pStyle w:val="181"/>
            </w:pPr>
            <w:r>
              <w:rPr>
                <w:rFonts w:hint="eastAsia"/>
              </w:rPr>
              <w:t>标识符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tcBorders>
              <w:top w:val="single" w:color="auto" w:sz="8" w:space="0"/>
            </w:tcBorders>
            <w:shd w:val="clear" w:color="auto" w:fill="auto"/>
          </w:tcPr>
          <w:p>
            <w:pPr>
              <w:pStyle w:val="181"/>
            </w:pPr>
            <w:r>
              <w:rPr>
                <w:rFonts w:hint="eastAsia"/>
              </w:rPr>
              <w:t>全球导航卫星系统（GNSS）</w:t>
            </w:r>
          </w:p>
        </w:tc>
        <w:tc>
          <w:tcPr>
            <w:tcW w:w="4667" w:type="dxa"/>
            <w:tcBorders>
              <w:top w:val="single" w:color="auto" w:sz="8" w:space="0"/>
            </w:tcBorders>
            <w:shd w:val="clear" w:color="auto" w:fill="auto"/>
          </w:tcPr>
          <w:p>
            <w:pPr>
              <w:pStyle w:val="181"/>
            </w:pPr>
            <w:r>
              <w:rPr>
                <w:rFonts w:hint="eastAsia"/>
              </w:rPr>
              <w:t>GN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81"/>
            </w:pPr>
            <w:r>
              <w:rPr>
                <w:rFonts w:hint="eastAsia"/>
              </w:rPr>
              <w:t>全球卫星定位系统（GPS）</w:t>
            </w:r>
          </w:p>
        </w:tc>
        <w:tc>
          <w:tcPr>
            <w:tcW w:w="4667" w:type="dxa"/>
            <w:shd w:val="clear" w:color="auto" w:fill="auto"/>
          </w:tcPr>
          <w:p>
            <w:pPr>
              <w:pStyle w:val="181"/>
            </w:pPr>
            <w:r>
              <w:rPr>
                <w:rFonts w:hint="eastAsia"/>
              </w:rPr>
              <w:t>GP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81"/>
            </w:pPr>
            <w:r>
              <w:rPr>
                <w:rFonts w:hint="eastAsia"/>
              </w:rPr>
              <w:t>北斗定位系统</w:t>
            </w:r>
          </w:p>
        </w:tc>
        <w:tc>
          <w:tcPr>
            <w:tcW w:w="4667" w:type="dxa"/>
            <w:shd w:val="clear" w:color="auto" w:fill="auto"/>
          </w:tcPr>
          <w:p>
            <w:pPr>
              <w:pStyle w:val="181"/>
            </w:pPr>
            <w:r>
              <w:t>BD</w:t>
            </w:r>
            <w:r>
              <w:rPr>
                <w:rFonts w:hint="eastAsia"/>
              </w:rPr>
              <w:t>或G</w:t>
            </w:r>
            <w:r>
              <w:t>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81"/>
            </w:pPr>
            <w:r>
              <w:rPr>
                <w:rFonts w:hint="eastAsia"/>
              </w:rPr>
              <w:t>GLONASS接收器</w:t>
            </w:r>
          </w:p>
        </w:tc>
        <w:tc>
          <w:tcPr>
            <w:tcW w:w="4667" w:type="dxa"/>
            <w:shd w:val="clear" w:color="auto" w:fill="auto"/>
          </w:tcPr>
          <w:p>
            <w:pPr>
              <w:pStyle w:val="181"/>
            </w:pPr>
            <w:r>
              <w:rPr>
                <w:rFonts w:hint="eastAsia"/>
              </w:rPr>
              <w:t>GL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81"/>
            </w:pPr>
            <w:r>
              <w:rPr>
                <w:rFonts w:hint="eastAsia"/>
              </w:rPr>
              <w:t>Galileo定位系统</w:t>
            </w:r>
          </w:p>
        </w:tc>
        <w:tc>
          <w:tcPr>
            <w:tcW w:w="4667" w:type="dxa"/>
            <w:shd w:val="clear" w:color="auto" w:fill="auto"/>
          </w:tcPr>
          <w:p>
            <w:pPr>
              <w:pStyle w:val="181"/>
            </w:pPr>
            <w:r>
              <w:rPr>
                <w:rFonts w:hint="eastAsia"/>
              </w:rPr>
              <w:t>GA</w:t>
            </w:r>
          </w:p>
        </w:tc>
      </w:tr>
      <w:bookmarkEnd w:id="34"/>
    </w:tbl>
    <w:p>
      <w:pPr>
        <w:pStyle w:val="236"/>
        <w:keepNext w:val="0"/>
        <w:keepLines w:val="0"/>
        <w:pageBreakBefore w:val="0"/>
        <w:widowControl/>
        <w:numPr>
          <w:ilvl w:val="1"/>
          <w:numId w:val="34"/>
        </w:numPr>
        <w:kinsoku/>
        <w:wordWrap w:val="0"/>
        <w:overflowPunct w:val="0"/>
        <w:topLinePunct w:val="0"/>
        <w:autoSpaceDE/>
        <w:autoSpaceDN w:val="0"/>
        <w:bidi w:val="0"/>
        <w:adjustRightInd/>
        <w:snapToGrid/>
        <w:spacing w:before="157" w:beforeLines="50" w:after="157" w:afterLines="50"/>
        <w:textAlignment w:val="auto"/>
      </w:pPr>
      <w:r>
        <w:rPr>
          <w:rFonts w:hint="eastAsia"/>
        </w:rPr>
        <w:t>GGA语句格式</w:t>
      </w:r>
    </w:p>
    <w:p>
      <w:pPr>
        <w:pStyle w:val="232"/>
      </w:pPr>
      <w:r>
        <w:rPr>
          <w:rFonts w:hint="eastAsia"/>
        </w:rPr>
        <w:t>GGA语句格式为：</w:t>
      </w:r>
    </w:p>
    <w:p>
      <w:pPr>
        <w:pStyle w:val="232"/>
      </w:pPr>
      <w:r>
        <w:rPr>
          <w:rFonts w:hint="eastAsia"/>
        </w:rPr>
        <w:t>$--GGA,hhmmss.ss,llll.ll,a,yyyyy.yy,b,c,dd,e.e,f.f,M,i.i,M,k.k,nnnn*hh&lt;CR&gt;&lt;LF&gt;，其含义如表</w:t>
      </w:r>
      <w:r>
        <w:t>A</w:t>
      </w:r>
      <w:r>
        <w:rPr>
          <w:rFonts w:hint="eastAsia"/>
        </w:rPr>
        <w:t>.3所示。</w:t>
      </w:r>
    </w:p>
    <w:p>
      <w:pPr>
        <w:pStyle w:val="80"/>
        <w:spacing w:before="156" w:after="156"/>
        <w:ind w:firstLine="420"/>
        <w:textAlignment w:val="auto"/>
      </w:pPr>
      <w:r>
        <w:rPr>
          <w:rFonts w:hint="eastAsia"/>
        </w:rPr>
        <w:t>GGA语句含义</w:t>
      </w:r>
    </w:p>
    <w:tbl>
      <w:tblPr>
        <w:tblStyle w:val="36"/>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667"/>
        <w:gridCol w:w="4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blHeader/>
          <w:jc w:val="center"/>
        </w:trPr>
        <w:tc>
          <w:tcPr>
            <w:tcW w:w="4667" w:type="dxa"/>
            <w:tcBorders>
              <w:top w:val="single" w:color="auto" w:sz="8" w:space="0"/>
              <w:bottom w:val="single" w:color="auto" w:sz="8" w:space="0"/>
            </w:tcBorders>
            <w:shd w:val="clear" w:color="auto" w:fill="auto"/>
            <w:vAlign w:val="center"/>
          </w:tcPr>
          <w:p>
            <w:pPr>
              <w:pStyle w:val="181"/>
              <w:keepNext w:val="0"/>
              <w:keepLines w:val="0"/>
              <w:pageBreakBefore w:val="0"/>
              <w:widowControl/>
              <w:kinsoku/>
              <w:wordWrap/>
              <w:overflowPunct/>
              <w:topLinePunct w:val="0"/>
              <w:autoSpaceDE w:val="0"/>
              <w:autoSpaceDN w:val="0"/>
              <w:bidi w:val="0"/>
              <w:adjustRightInd/>
              <w:snapToGrid/>
              <w:spacing w:line="480" w:lineRule="exact"/>
              <w:jc w:val="center"/>
              <w:textAlignment w:val="auto"/>
            </w:pPr>
            <w:bookmarkStart w:id="35" w:name="_Hlk71820926"/>
            <w:r>
              <w:rPr>
                <w:rFonts w:hint="eastAsia"/>
              </w:rPr>
              <w:t>字段</w:t>
            </w:r>
          </w:p>
        </w:tc>
        <w:tc>
          <w:tcPr>
            <w:tcW w:w="4667" w:type="dxa"/>
            <w:tcBorders>
              <w:top w:val="single" w:color="auto" w:sz="8" w:space="0"/>
              <w:bottom w:val="single" w:color="auto" w:sz="8" w:space="0"/>
            </w:tcBorders>
            <w:shd w:val="clear" w:color="auto" w:fill="auto"/>
            <w:vAlign w:val="center"/>
          </w:tcPr>
          <w:p>
            <w:pPr>
              <w:pStyle w:val="181"/>
              <w:keepNext w:val="0"/>
              <w:keepLines w:val="0"/>
              <w:pageBreakBefore w:val="0"/>
              <w:widowControl/>
              <w:kinsoku/>
              <w:wordWrap/>
              <w:overflowPunct/>
              <w:topLinePunct w:val="0"/>
              <w:autoSpaceDE w:val="0"/>
              <w:autoSpaceDN w:val="0"/>
              <w:bidi w:val="0"/>
              <w:adjustRightInd/>
              <w:snapToGrid/>
              <w:spacing w:line="480" w:lineRule="exact"/>
              <w:jc w:val="center"/>
              <w:textAlignment w:val="auto"/>
            </w:pPr>
            <w:r>
              <w:rPr>
                <w:rFonts w:hint="eastAsia"/>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tcBorders>
              <w:top w:val="single" w:color="auto" w:sz="8" w:space="0"/>
            </w:tcBorders>
            <w:shd w:val="clear" w:color="auto" w:fill="auto"/>
            <w:vAlign w:val="center"/>
          </w:tcPr>
          <w:p>
            <w:pPr>
              <w:pStyle w:val="181"/>
              <w:keepNext w:val="0"/>
              <w:keepLines w:val="0"/>
              <w:pageBreakBefore w:val="0"/>
              <w:widowControl/>
              <w:kinsoku/>
              <w:wordWrap/>
              <w:overflowPunct/>
              <w:topLinePunct w:val="0"/>
              <w:autoSpaceDE w:val="0"/>
              <w:autoSpaceDN w:val="0"/>
              <w:bidi w:val="0"/>
              <w:adjustRightInd/>
              <w:snapToGrid/>
              <w:spacing w:line="480" w:lineRule="exact"/>
              <w:jc w:val="center"/>
              <w:textAlignment w:val="auto"/>
              <w:rPr>
                <w:rFonts w:hAnsi="宋体"/>
              </w:rPr>
            </w:pPr>
            <w:r>
              <w:rPr>
                <w:rFonts w:hint="eastAsia" w:hAnsi="宋体"/>
              </w:rPr>
              <w:t>hhmmss.ss</w:t>
            </w:r>
          </w:p>
        </w:tc>
        <w:tc>
          <w:tcPr>
            <w:tcW w:w="4667" w:type="dxa"/>
            <w:tcBorders>
              <w:top w:val="single" w:color="auto" w:sz="8" w:space="0"/>
            </w:tcBorders>
            <w:shd w:val="clear" w:color="auto" w:fill="auto"/>
            <w:vAlign w:val="center"/>
          </w:tcPr>
          <w:p>
            <w:pPr>
              <w:pStyle w:val="181"/>
              <w:keepNext w:val="0"/>
              <w:keepLines w:val="0"/>
              <w:pageBreakBefore w:val="0"/>
              <w:widowControl/>
              <w:kinsoku/>
              <w:wordWrap/>
              <w:overflowPunct/>
              <w:topLinePunct w:val="0"/>
              <w:autoSpaceDE w:val="0"/>
              <w:autoSpaceDN w:val="0"/>
              <w:bidi w:val="0"/>
              <w:adjustRightInd/>
              <w:snapToGrid/>
              <w:spacing w:line="480" w:lineRule="exact"/>
              <w:jc w:val="center"/>
              <w:textAlignment w:val="auto"/>
            </w:pPr>
            <w:r>
              <w:rPr>
                <w:rFonts w:hint="eastAsia"/>
              </w:rPr>
              <w:t>输出当前位置的UTC时间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4667" w:type="dxa"/>
            <w:shd w:val="clear" w:color="auto" w:fill="auto"/>
            <w:vAlign w:val="center"/>
          </w:tcPr>
          <w:p>
            <w:pPr>
              <w:pStyle w:val="181"/>
              <w:keepNext w:val="0"/>
              <w:keepLines w:val="0"/>
              <w:pageBreakBefore w:val="0"/>
              <w:widowControl/>
              <w:kinsoku/>
              <w:wordWrap/>
              <w:overflowPunct/>
              <w:topLinePunct w:val="0"/>
              <w:autoSpaceDE w:val="0"/>
              <w:autoSpaceDN w:val="0"/>
              <w:bidi w:val="0"/>
              <w:adjustRightInd/>
              <w:snapToGrid/>
              <w:spacing w:line="480" w:lineRule="exact"/>
              <w:jc w:val="center"/>
              <w:textAlignment w:val="auto"/>
              <w:rPr>
                <w:rFonts w:hAnsi="宋体"/>
              </w:rPr>
            </w:pPr>
            <w:r>
              <w:rPr>
                <w:rFonts w:hint="eastAsia" w:hAnsi="宋体"/>
                <w:sz w:val="22"/>
                <w:szCs w:val="22"/>
              </w:rPr>
              <w:t>llll.ll</w:t>
            </w:r>
          </w:p>
        </w:tc>
        <w:tc>
          <w:tcPr>
            <w:tcW w:w="4667" w:type="dxa"/>
            <w:shd w:val="clear" w:color="auto" w:fill="auto"/>
            <w:vAlign w:val="center"/>
          </w:tcPr>
          <w:p>
            <w:pPr>
              <w:pStyle w:val="181"/>
              <w:keepNext w:val="0"/>
              <w:keepLines w:val="0"/>
              <w:pageBreakBefore w:val="0"/>
              <w:widowControl/>
              <w:kinsoku/>
              <w:wordWrap/>
              <w:overflowPunct/>
              <w:topLinePunct w:val="0"/>
              <w:autoSpaceDE w:val="0"/>
              <w:autoSpaceDN w:val="0"/>
              <w:bidi w:val="0"/>
              <w:adjustRightInd/>
              <w:snapToGrid/>
              <w:spacing w:line="480" w:lineRule="exact"/>
              <w:jc w:val="center"/>
              <w:textAlignment w:val="auto"/>
            </w:pPr>
            <w:r>
              <w:rPr>
                <w:rFonts w:hint="eastAsia"/>
              </w:rPr>
              <w:t>纬度(度分格式)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81"/>
              <w:keepNext w:val="0"/>
              <w:keepLines w:val="0"/>
              <w:pageBreakBefore w:val="0"/>
              <w:widowControl/>
              <w:kinsoku/>
              <w:wordWrap/>
              <w:overflowPunct/>
              <w:topLinePunct w:val="0"/>
              <w:autoSpaceDE w:val="0"/>
              <w:autoSpaceDN w:val="0"/>
              <w:bidi w:val="0"/>
              <w:adjustRightInd/>
              <w:snapToGrid/>
              <w:spacing w:line="480" w:lineRule="exact"/>
              <w:jc w:val="center"/>
              <w:textAlignment w:val="auto"/>
              <w:rPr>
                <w:rFonts w:hAnsi="宋体"/>
              </w:rPr>
            </w:pPr>
            <w:r>
              <w:rPr>
                <w:rFonts w:hint="eastAsia" w:hAnsi="宋体"/>
              </w:rPr>
              <w:t>a</w:t>
            </w:r>
          </w:p>
        </w:tc>
        <w:tc>
          <w:tcPr>
            <w:tcW w:w="4667" w:type="dxa"/>
            <w:shd w:val="clear" w:color="auto" w:fill="auto"/>
            <w:vAlign w:val="center"/>
          </w:tcPr>
          <w:p>
            <w:pPr>
              <w:pStyle w:val="181"/>
              <w:keepNext w:val="0"/>
              <w:keepLines w:val="0"/>
              <w:pageBreakBefore w:val="0"/>
              <w:widowControl/>
              <w:kinsoku/>
              <w:wordWrap/>
              <w:overflowPunct/>
              <w:topLinePunct w:val="0"/>
              <w:autoSpaceDE w:val="0"/>
              <w:autoSpaceDN w:val="0"/>
              <w:bidi w:val="0"/>
              <w:adjustRightInd/>
              <w:snapToGrid/>
              <w:spacing w:line="480" w:lineRule="exact"/>
              <w:jc w:val="center"/>
              <w:textAlignment w:val="auto"/>
            </w:pPr>
            <w:r>
              <w:rPr>
                <w:rFonts w:hint="eastAsia"/>
              </w:rPr>
              <w:t>N（北纬）或S（南纬）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81"/>
              <w:keepNext w:val="0"/>
              <w:keepLines w:val="0"/>
              <w:pageBreakBefore w:val="0"/>
              <w:widowControl/>
              <w:kinsoku/>
              <w:wordWrap/>
              <w:overflowPunct/>
              <w:topLinePunct w:val="0"/>
              <w:autoSpaceDE w:val="0"/>
              <w:autoSpaceDN w:val="0"/>
              <w:bidi w:val="0"/>
              <w:adjustRightInd/>
              <w:snapToGrid/>
              <w:spacing w:line="480" w:lineRule="exact"/>
              <w:jc w:val="center"/>
              <w:textAlignment w:val="auto"/>
              <w:rPr>
                <w:rFonts w:hAnsi="宋体"/>
              </w:rPr>
            </w:pPr>
            <w:r>
              <w:rPr>
                <w:rFonts w:hint="eastAsia" w:hAnsi="宋体"/>
                <w:sz w:val="22"/>
                <w:szCs w:val="22"/>
              </w:rPr>
              <w:t>yyyyy.yy</w:t>
            </w:r>
          </w:p>
        </w:tc>
        <w:tc>
          <w:tcPr>
            <w:tcW w:w="4667" w:type="dxa"/>
            <w:shd w:val="clear" w:color="auto" w:fill="auto"/>
            <w:vAlign w:val="center"/>
          </w:tcPr>
          <w:p>
            <w:pPr>
              <w:pStyle w:val="181"/>
              <w:keepNext w:val="0"/>
              <w:keepLines w:val="0"/>
              <w:pageBreakBefore w:val="0"/>
              <w:widowControl/>
              <w:kinsoku/>
              <w:wordWrap/>
              <w:overflowPunct/>
              <w:topLinePunct w:val="0"/>
              <w:autoSpaceDE w:val="0"/>
              <w:autoSpaceDN w:val="0"/>
              <w:bidi w:val="0"/>
              <w:adjustRightInd/>
              <w:snapToGrid/>
              <w:spacing w:line="480" w:lineRule="exact"/>
              <w:jc w:val="center"/>
              <w:textAlignment w:val="auto"/>
            </w:pPr>
            <w:r>
              <w:rPr>
                <w:rFonts w:hint="eastAsia"/>
              </w:rPr>
              <w:t>经度(度分格式)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81"/>
              <w:keepNext w:val="0"/>
              <w:keepLines w:val="0"/>
              <w:pageBreakBefore w:val="0"/>
              <w:widowControl/>
              <w:kinsoku/>
              <w:wordWrap/>
              <w:overflowPunct/>
              <w:topLinePunct w:val="0"/>
              <w:autoSpaceDE w:val="0"/>
              <w:autoSpaceDN w:val="0"/>
              <w:bidi w:val="0"/>
              <w:adjustRightInd/>
              <w:snapToGrid/>
              <w:spacing w:line="480" w:lineRule="exact"/>
              <w:jc w:val="center"/>
              <w:textAlignment w:val="auto"/>
              <w:rPr>
                <w:rFonts w:hAnsi="宋体"/>
              </w:rPr>
            </w:pPr>
            <w:r>
              <w:rPr>
                <w:rFonts w:hAnsi="宋体"/>
                <w:sz w:val="22"/>
                <w:szCs w:val="22"/>
              </w:rPr>
              <w:t>b</w:t>
            </w:r>
          </w:p>
        </w:tc>
        <w:tc>
          <w:tcPr>
            <w:tcW w:w="4667" w:type="dxa"/>
            <w:shd w:val="clear" w:color="auto" w:fill="auto"/>
            <w:vAlign w:val="center"/>
          </w:tcPr>
          <w:p>
            <w:pPr>
              <w:pStyle w:val="181"/>
              <w:keepNext w:val="0"/>
              <w:keepLines w:val="0"/>
              <w:pageBreakBefore w:val="0"/>
              <w:widowControl/>
              <w:kinsoku/>
              <w:wordWrap/>
              <w:overflowPunct/>
              <w:topLinePunct w:val="0"/>
              <w:autoSpaceDE w:val="0"/>
              <w:autoSpaceDN w:val="0"/>
              <w:bidi w:val="0"/>
              <w:adjustRightInd/>
              <w:snapToGrid/>
              <w:spacing w:line="480" w:lineRule="exact"/>
              <w:jc w:val="center"/>
              <w:textAlignment w:val="auto"/>
            </w:pPr>
            <w:r>
              <w:rPr>
                <w:rFonts w:hint="eastAsia"/>
              </w:rPr>
              <w:t>E（东经）或W（西经）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81"/>
              <w:keepNext w:val="0"/>
              <w:keepLines w:val="0"/>
              <w:pageBreakBefore w:val="0"/>
              <w:widowControl/>
              <w:kinsoku/>
              <w:wordWrap/>
              <w:overflowPunct/>
              <w:topLinePunct w:val="0"/>
              <w:autoSpaceDE w:val="0"/>
              <w:autoSpaceDN w:val="0"/>
              <w:bidi w:val="0"/>
              <w:adjustRightInd/>
              <w:snapToGrid/>
              <w:spacing w:line="480" w:lineRule="exact"/>
              <w:jc w:val="center"/>
              <w:textAlignment w:val="auto"/>
              <w:rPr>
                <w:rFonts w:hAnsi="宋体"/>
              </w:rPr>
            </w:pPr>
            <w:r>
              <w:rPr>
                <w:rFonts w:hAnsi="宋体"/>
                <w:sz w:val="22"/>
                <w:szCs w:val="22"/>
              </w:rPr>
              <w:t>c</w:t>
            </w:r>
          </w:p>
        </w:tc>
        <w:tc>
          <w:tcPr>
            <w:tcW w:w="4667" w:type="dxa"/>
            <w:shd w:val="clear" w:color="auto" w:fill="auto"/>
            <w:vAlign w:val="center"/>
          </w:tcPr>
          <w:p>
            <w:pPr>
              <w:pStyle w:val="181"/>
              <w:keepNext w:val="0"/>
              <w:keepLines w:val="0"/>
              <w:pageBreakBefore w:val="0"/>
              <w:widowControl/>
              <w:kinsoku/>
              <w:wordWrap/>
              <w:overflowPunct/>
              <w:topLinePunct w:val="0"/>
              <w:autoSpaceDE w:val="0"/>
              <w:autoSpaceDN w:val="0"/>
              <w:bidi w:val="0"/>
              <w:adjustRightInd/>
              <w:snapToGrid/>
              <w:spacing w:line="480" w:lineRule="exact"/>
              <w:jc w:val="center"/>
              <w:textAlignment w:val="auto"/>
            </w:pPr>
            <w:r>
              <w:rPr>
                <w:rFonts w:hint="eastAsia"/>
              </w:rPr>
              <w:t>有效性标识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81"/>
              <w:keepNext w:val="0"/>
              <w:keepLines w:val="0"/>
              <w:pageBreakBefore w:val="0"/>
              <w:widowControl/>
              <w:kinsoku/>
              <w:wordWrap/>
              <w:overflowPunct/>
              <w:topLinePunct w:val="0"/>
              <w:autoSpaceDE w:val="0"/>
              <w:autoSpaceDN w:val="0"/>
              <w:bidi w:val="0"/>
              <w:adjustRightInd/>
              <w:snapToGrid/>
              <w:spacing w:line="480" w:lineRule="exact"/>
              <w:jc w:val="center"/>
              <w:textAlignment w:val="auto"/>
              <w:rPr>
                <w:rFonts w:hAnsi="宋体"/>
              </w:rPr>
            </w:pPr>
            <w:r>
              <w:rPr>
                <w:rFonts w:hAnsi="宋体"/>
                <w:sz w:val="22"/>
                <w:szCs w:val="22"/>
              </w:rPr>
              <w:t>dd</w:t>
            </w:r>
          </w:p>
        </w:tc>
        <w:tc>
          <w:tcPr>
            <w:tcW w:w="4667" w:type="dxa"/>
            <w:shd w:val="clear" w:color="auto" w:fill="auto"/>
            <w:vAlign w:val="center"/>
          </w:tcPr>
          <w:p>
            <w:pPr>
              <w:pStyle w:val="181"/>
              <w:keepNext w:val="0"/>
              <w:keepLines w:val="0"/>
              <w:pageBreakBefore w:val="0"/>
              <w:widowControl/>
              <w:kinsoku/>
              <w:wordWrap/>
              <w:overflowPunct/>
              <w:topLinePunct w:val="0"/>
              <w:autoSpaceDE w:val="0"/>
              <w:autoSpaceDN w:val="0"/>
              <w:bidi w:val="0"/>
              <w:adjustRightInd/>
              <w:snapToGrid/>
              <w:spacing w:line="480" w:lineRule="exact"/>
              <w:jc w:val="center"/>
              <w:textAlignment w:val="auto"/>
            </w:pPr>
            <w:r>
              <w:rPr>
                <w:rFonts w:hint="eastAsia"/>
              </w:rPr>
              <w:t>参与定位的卫星颗数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81"/>
              <w:keepNext w:val="0"/>
              <w:keepLines w:val="0"/>
              <w:pageBreakBefore w:val="0"/>
              <w:widowControl/>
              <w:kinsoku/>
              <w:wordWrap/>
              <w:overflowPunct/>
              <w:topLinePunct w:val="0"/>
              <w:autoSpaceDE w:val="0"/>
              <w:autoSpaceDN w:val="0"/>
              <w:bidi w:val="0"/>
              <w:adjustRightInd/>
              <w:snapToGrid/>
              <w:spacing w:line="480" w:lineRule="exact"/>
              <w:jc w:val="center"/>
              <w:textAlignment w:val="auto"/>
              <w:rPr>
                <w:rFonts w:hAnsi="宋体"/>
              </w:rPr>
            </w:pPr>
            <w:r>
              <w:rPr>
                <w:rFonts w:hint="eastAsia" w:hAnsi="宋体"/>
                <w:sz w:val="22"/>
                <w:szCs w:val="22"/>
              </w:rPr>
              <w:t>e.e</w:t>
            </w:r>
          </w:p>
        </w:tc>
        <w:tc>
          <w:tcPr>
            <w:tcW w:w="4667" w:type="dxa"/>
            <w:shd w:val="clear" w:color="auto" w:fill="auto"/>
            <w:vAlign w:val="center"/>
          </w:tcPr>
          <w:p>
            <w:pPr>
              <w:pStyle w:val="181"/>
              <w:keepNext w:val="0"/>
              <w:keepLines w:val="0"/>
              <w:pageBreakBefore w:val="0"/>
              <w:widowControl/>
              <w:kinsoku/>
              <w:wordWrap/>
              <w:overflowPunct/>
              <w:topLinePunct w:val="0"/>
              <w:autoSpaceDE w:val="0"/>
              <w:autoSpaceDN w:val="0"/>
              <w:bidi w:val="0"/>
              <w:adjustRightInd/>
              <w:snapToGrid/>
              <w:spacing w:line="480" w:lineRule="exact"/>
              <w:jc w:val="center"/>
              <w:textAlignment w:val="auto"/>
            </w:pPr>
            <w:r>
              <w:rPr>
                <w:rFonts w:hint="eastAsia"/>
              </w:rPr>
              <w:t>水平精度因子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81"/>
              <w:keepNext w:val="0"/>
              <w:keepLines w:val="0"/>
              <w:pageBreakBefore w:val="0"/>
              <w:widowControl/>
              <w:kinsoku/>
              <w:wordWrap/>
              <w:overflowPunct/>
              <w:topLinePunct w:val="0"/>
              <w:autoSpaceDE w:val="0"/>
              <w:autoSpaceDN w:val="0"/>
              <w:bidi w:val="0"/>
              <w:adjustRightInd/>
              <w:snapToGrid/>
              <w:spacing w:line="480" w:lineRule="exact"/>
              <w:jc w:val="center"/>
              <w:textAlignment w:val="auto"/>
              <w:rPr>
                <w:rFonts w:hAnsi="宋体"/>
              </w:rPr>
            </w:pPr>
            <w:r>
              <w:rPr>
                <w:rFonts w:hint="eastAsia" w:hAnsi="宋体"/>
                <w:sz w:val="22"/>
                <w:szCs w:val="22"/>
              </w:rPr>
              <w:t>f.f,M</w:t>
            </w:r>
          </w:p>
        </w:tc>
        <w:tc>
          <w:tcPr>
            <w:tcW w:w="4667" w:type="dxa"/>
            <w:shd w:val="clear" w:color="auto" w:fill="auto"/>
            <w:vAlign w:val="center"/>
          </w:tcPr>
          <w:p>
            <w:pPr>
              <w:pStyle w:val="181"/>
              <w:keepNext w:val="0"/>
              <w:keepLines w:val="0"/>
              <w:pageBreakBefore w:val="0"/>
              <w:widowControl/>
              <w:kinsoku/>
              <w:wordWrap/>
              <w:overflowPunct/>
              <w:topLinePunct w:val="0"/>
              <w:autoSpaceDE w:val="0"/>
              <w:autoSpaceDN w:val="0"/>
              <w:bidi w:val="0"/>
              <w:adjustRightInd/>
              <w:snapToGrid/>
              <w:spacing w:line="480" w:lineRule="exact"/>
              <w:jc w:val="center"/>
              <w:textAlignment w:val="auto"/>
            </w:pPr>
            <w:r>
              <w:rPr>
                <w:rFonts w:hint="eastAsia"/>
              </w:rPr>
              <w:t>海拔:平均海平面(大地水准面)，米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89" w:hRule="atLeast"/>
          <w:jc w:val="center"/>
        </w:trPr>
        <w:tc>
          <w:tcPr>
            <w:tcW w:w="4667" w:type="dxa"/>
            <w:shd w:val="clear" w:color="auto" w:fill="auto"/>
            <w:vAlign w:val="center"/>
          </w:tcPr>
          <w:p>
            <w:pPr>
              <w:pStyle w:val="181"/>
              <w:keepNext w:val="0"/>
              <w:keepLines w:val="0"/>
              <w:pageBreakBefore w:val="0"/>
              <w:widowControl/>
              <w:kinsoku/>
              <w:wordWrap/>
              <w:overflowPunct/>
              <w:topLinePunct w:val="0"/>
              <w:autoSpaceDE w:val="0"/>
              <w:autoSpaceDN w:val="0"/>
              <w:bidi w:val="0"/>
              <w:adjustRightInd/>
              <w:snapToGrid/>
              <w:spacing w:line="480" w:lineRule="exact"/>
              <w:jc w:val="center"/>
              <w:textAlignment w:val="auto"/>
              <w:rPr>
                <w:rFonts w:hAnsi="宋体"/>
              </w:rPr>
            </w:pPr>
            <w:r>
              <w:rPr>
                <w:rFonts w:hint="eastAsia" w:hAnsi="宋体"/>
                <w:sz w:val="22"/>
                <w:szCs w:val="22"/>
              </w:rPr>
              <w:t>i.i,M</w:t>
            </w:r>
          </w:p>
        </w:tc>
        <w:tc>
          <w:tcPr>
            <w:tcW w:w="4667" w:type="dxa"/>
            <w:shd w:val="clear" w:color="auto" w:fill="auto"/>
            <w:vAlign w:val="center"/>
          </w:tcPr>
          <w:p>
            <w:pPr>
              <w:pStyle w:val="181"/>
              <w:keepNext w:val="0"/>
              <w:keepLines w:val="0"/>
              <w:pageBreakBefore w:val="0"/>
              <w:widowControl/>
              <w:kinsoku/>
              <w:wordWrap/>
              <w:overflowPunct/>
              <w:topLinePunct w:val="0"/>
              <w:autoSpaceDE w:val="0"/>
              <w:autoSpaceDN w:val="0"/>
              <w:bidi w:val="0"/>
              <w:adjustRightInd/>
              <w:snapToGrid/>
              <w:spacing w:line="480" w:lineRule="exact"/>
              <w:jc w:val="center"/>
              <w:textAlignment w:val="auto"/>
            </w:pPr>
            <w:r>
              <w:rPr>
                <w:rFonts w:hint="eastAsia"/>
              </w:rPr>
              <w:t>大地水准面高度，米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601" w:hRule="atLeast"/>
          <w:jc w:val="center"/>
        </w:trPr>
        <w:tc>
          <w:tcPr>
            <w:tcW w:w="4667" w:type="dxa"/>
            <w:shd w:val="clear" w:color="auto" w:fill="auto"/>
            <w:vAlign w:val="center"/>
          </w:tcPr>
          <w:p>
            <w:pPr>
              <w:pStyle w:val="181"/>
              <w:keepNext w:val="0"/>
              <w:keepLines w:val="0"/>
              <w:pageBreakBefore w:val="0"/>
              <w:widowControl/>
              <w:kinsoku/>
              <w:wordWrap/>
              <w:overflowPunct/>
              <w:topLinePunct w:val="0"/>
              <w:autoSpaceDE w:val="0"/>
              <w:autoSpaceDN w:val="0"/>
              <w:bidi w:val="0"/>
              <w:adjustRightInd/>
              <w:snapToGrid/>
              <w:spacing w:line="480" w:lineRule="exact"/>
              <w:jc w:val="center"/>
              <w:textAlignment w:val="auto"/>
              <w:rPr>
                <w:rFonts w:hAnsi="宋体"/>
              </w:rPr>
            </w:pPr>
            <w:r>
              <w:rPr>
                <w:rFonts w:hint="eastAsia" w:hAnsi="宋体"/>
                <w:sz w:val="22"/>
                <w:szCs w:val="22"/>
              </w:rPr>
              <w:t>k.k</w:t>
            </w:r>
          </w:p>
        </w:tc>
        <w:tc>
          <w:tcPr>
            <w:tcW w:w="4667" w:type="dxa"/>
            <w:shd w:val="clear" w:color="auto" w:fill="auto"/>
            <w:vAlign w:val="center"/>
          </w:tcPr>
          <w:p>
            <w:pPr>
              <w:pStyle w:val="181"/>
              <w:keepNext w:val="0"/>
              <w:keepLines w:val="0"/>
              <w:pageBreakBefore w:val="0"/>
              <w:widowControl/>
              <w:kinsoku/>
              <w:wordWrap/>
              <w:overflowPunct/>
              <w:topLinePunct w:val="0"/>
              <w:autoSpaceDE w:val="0"/>
              <w:autoSpaceDN w:val="0"/>
              <w:bidi w:val="0"/>
              <w:adjustRightInd/>
              <w:snapToGrid/>
              <w:spacing w:line="480" w:lineRule="exact"/>
              <w:jc w:val="center"/>
              <w:textAlignment w:val="auto"/>
            </w:pPr>
            <w:r>
              <w:rPr>
                <w:rFonts w:hint="eastAsia"/>
              </w:rPr>
              <w:t>差分数据历时（从发送起开始计数）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81"/>
              <w:keepNext w:val="0"/>
              <w:keepLines w:val="0"/>
              <w:pageBreakBefore w:val="0"/>
              <w:widowControl/>
              <w:kinsoku/>
              <w:wordWrap/>
              <w:overflowPunct/>
              <w:topLinePunct w:val="0"/>
              <w:autoSpaceDE w:val="0"/>
              <w:autoSpaceDN w:val="0"/>
              <w:bidi w:val="0"/>
              <w:adjustRightInd/>
              <w:snapToGrid/>
              <w:spacing w:line="480" w:lineRule="exact"/>
              <w:jc w:val="center"/>
              <w:textAlignment w:val="auto"/>
              <w:rPr>
                <w:rFonts w:hAnsi="宋体"/>
              </w:rPr>
            </w:pPr>
            <w:r>
              <w:rPr>
                <w:rFonts w:hint="eastAsia" w:hAnsi="宋体"/>
                <w:sz w:val="22"/>
                <w:szCs w:val="22"/>
              </w:rPr>
              <w:t>nnnn</w:t>
            </w:r>
          </w:p>
        </w:tc>
        <w:tc>
          <w:tcPr>
            <w:tcW w:w="4667" w:type="dxa"/>
            <w:shd w:val="clear" w:color="auto" w:fill="auto"/>
            <w:vAlign w:val="center"/>
          </w:tcPr>
          <w:p>
            <w:pPr>
              <w:pStyle w:val="181"/>
              <w:keepNext w:val="0"/>
              <w:keepLines w:val="0"/>
              <w:pageBreakBefore w:val="0"/>
              <w:widowControl/>
              <w:kinsoku/>
              <w:wordWrap/>
              <w:overflowPunct/>
              <w:topLinePunct w:val="0"/>
              <w:autoSpaceDE w:val="0"/>
              <w:autoSpaceDN w:val="0"/>
              <w:bidi w:val="0"/>
              <w:adjustRightInd/>
              <w:snapToGrid/>
              <w:spacing w:line="480" w:lineRule="exact"/>
              <w:jc w:val="center"/>
              <w:textAlignment w:val="auto"/>
            </w:pPr>
            <w:r>
              <w:rPr>
                <w:rFonts w:hint="eastAsia"/>
              </w:rPr>
              <w:t>差分站ID</w:t>
            </w:r>
          </w:p>
        </w:tc>
      </w:tr>
      <w:bookmarkEnd w:id="35"/>
    </w:tbl>
    <w:p>
      <w:pPr>
        <w:pStyle w:val="236"/>
        <w:keepNext w:val="0"/>
        <w:keepLines w:val="0"/>
        <w:pageBreakBefore w:val="0"/>
        <w:widowControl/>
        <w:numPr>
          <w:ilvl w:val="1"/>
          <w:numId w:val="34"/>
        </w:numPr>
        <w:kinsoku/>
        <w:wordWrap w:val="0"/>
        <w:overflowPunct w:val="0"/>
        <w:topLinePunct w:val="0"/>
        <w:autoSpaceDE/>
        <w:autoSpaceDN w:val="0"/>
        <w:bidi w:val="0"/>
        <w:adjustRightInd/>
        <w:snapToGrid/>
        <w:spacing w:before="157" w:beforeLines="50" w:after="157" w:afterLines="50"/>
        <w:textAlignment w:val="auto"/>
      </w:pPr>
      <w:r>
        <w:t>RMC</w:t>
      </w:r>
      <w:r>
        <w:rPr>
          <w:rFonts w:hint="eastAsia"/>
        </w:rPr>
        <w:t>语句格式</w:t>
      </w:r>
    </w:p>
    <w:p>
      <w:pPr>
        <w:pStyle w:val="232"/>
      </w:pPr>
      <w:r>
        <w:t>RMC</w:t>
      </w:r>
      <w:r>
        <w:rPr>
          <w:rFonts w:hint="eastAsia"/>
        </w:rPr>
        <w:t>语句格式为：</w:t>
      </w:r>
    </w:p>
    <w:p>
      <w:pPr>
        <w:pStyle w:val="232"/>
      </w:pPr>
      <w:r>
        <w:t>$--RMC,hhmmss.ss,A,llll.ll,b,ccccc.cc,d,e.e,f.f,gggggg,i.i,j,k,n*hh&lt;CR&gt;&lt;LF&gt;</w:t>
      </w:r>
      <w:r>
        <w:rPr>
          <w:rFonts w:hint="eastAsia"/>
        </w:rPr>
        <w:t>，其含义如表</w:t>
      </w:r>
      <w:r>
        <w:t>A</w:t>
      </w:r>
      <w:r>
        <w:rPr>
          <w:rFonts w:hint="eastAsia"/>
        </w:rPr>
        <w:t>.</w:t>
      </w:r>
      <w:r>
        <w:t>4</w:t>
      </w:r>
      <w:r>
        <w:rPr>
          <w:rFonts w:hint="eastAsia"/>
        </w:rPr>
        <w:t>所示。</w:t>
      </w:r>
    </w:p>
    <w:p>
      <w:pPr>
        <w:pStyle w:val="80"/>
        <w:spacing w:before="156" w:after="156"/>
        <w:ind w:firstLine="420"/>
        <w:textAlignment w:val="auto"/>
      </w:pPr>
      <w:r>
        <w:t>RMC</w:t>
      </w:r>
      <w:r>
        <w:rPr>
          <w:rFonts w:hint="eastAsia"/>
        </w:rPr>
        <w:t>语句含义</w:t>
      </w:r>
    </w:p>
    <w:tbl>
      <w:tblPr>
        <w:tblStyle w:val="36"/>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667"/>
        <w:gridCol w:w="4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4667" w:type="dxa"/>
            <w:tcBorders>
              <w:top w:val="single" w:color="auto" w:sz="8" w:space="0"/>
              <w:bottom w:val="single" w:color="auto" w:sz="8" w:space="0"/>
            </w:tcBorders>
            <w:shd w:val="clear" w:color="auto" w:fill="auto"/>
          </w:tcPr>
          <w:p>
            <w:pPr>
              <w:pStyle w:val="181"/>
            </w:pPr>
            <w:r>
              <w:rPr>
                <w:rFonts w:hint="eastAsia"/>
              </w:rPr>
              <w:t>字段</w:t>
            </w:r>
          </w:p>
        </w:tc>
        <w:tc>
          <w:tcPr>
            <w:tcW w:w="4667" w:type="dxa"/>
            <w:tcBorders>
              <w:top w:val="single" w:color="auto" w:sz="8" w:space="0"/>
              <w:bottom w:val="single" w:color="auto" w:sz="8" w:space="0"/>
            </w:tcBorders>
            <w:shd w:val="clear" w:color="auto" w:fill="auto"/>
          </w:tcPr>
          <w:p>
            <w:pPr>
              <w:pStyle w:val="181"/>
            </w:pPr>
            <w:r>
              <w:rPr>
                <w:rFonts w:hint="eastAsia"/>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tcBorders>
              <w:top w:val="single" w:color="auto" w:sz="8" w:space="0"/>
            </w:tcBorders>
            <w:shd w:val="clear" w:color="auto" w:fill="auto"/>
          </w:tcPr>
          <w:p>
            <w:pPr>
              <w:pStyle w:val="181"/>
            </w:pPr>
            <w:r>
              <w:t>hhmmss.ss</w:t>
            </w:r>
          </w:p>
        </w:tc>
        <w:tc>
          <w:tcPr>
            <w:tcW w:w="4667" w:type="dxa"/>
            <w:tcBorders>
              <w:top w:val="single" w:color="auto" w:sz="8" w:space="0"/>
            </w:tcBorders>
            <w:shd w:val="clear" w:color="auto" w:fill="auto"/>
          </w:tcPr>
          <w:p>
            <w:pPr>
              <w:pStyle w:val="181"/>
            </w:pPr>
            <w:r>
              <w:rPr>
                <w:rFonts w:hint="eastAsia"/>
              </w:rPr>
              <w:t>输出当前位置的UTC时间（时分秒）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81"/>
            </w:pPr>
            <w:r>
              <w:t>A</w:t>
            </w:r>
          </w:p>
        </w:tc>
        <w:tc>
          <w:tcPr>
            <w:tcW w:w="4667" w:type="dxa"/>
            <w:shd w:val="clear" w:color="auto" w:fill="auto"/>
          </w:tcPr>
          <w:p>
            <w:pPr>
              <w:pStyle w:val="181"/>
            </w:pPr>
            <w:r>
              <w:rPr>
                <w:rFonts w:hint="eastAsia"/>
              </w:rPr>
              <w:t>状态：A</w:t>
            </w:r>
            <w:r>
              <w:t>=</w:t>
            </w:r>
            <w:r>
              <w:rPr>
                <w:rFonts w:hint="eastAsia"/>
              </w:rPr>
              <w:t>数据有效，V</w:t>
            </w:r>
            <w:r>
              <w:t>=</w:t>
            </w:r>
            <w:r>
              <w:rPr>
                <w:rFonts w:hint="eastAsia"/>
              </w:rPr>
              <w:t>报警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81"/>
            </w:pPr>
            <w:r>
              <w:t>llll.ll</w:t>
            </w:r>
          </w:p>
        </w:tc>
        <w:tc>
          <w:tcPr>
            <w:tcW w:w="4667" w:type="dxa"/>
            <w:shd w:val="clear" w:color="auto" w:fill="auto"/>
          </w:tcPr>
          <w:p>
            <w:pPr>
              <w:pStyle w:val="181"/>
            </w:pPr>
            <w:r>
              <w:rPr>
                <w:rFonts w:hint="eastAsia"/>
              </w:rPr>
              <w:t>纬度(度分格式)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81"/>
            </w:pPr>
            <w:r>
              <w:t>b</w:t>
            </w:r>
          </w:p>
        </w:tc>
        <w:tc>
          <w:tcPr>
            <w:tcW w:w="4667" w:type="dxa"/>
            <w:shd w:val="clear" w:color="auto" w:fill="auto"/>
          </w:tcPr>
          <w:p>
            <w:pPr>
              <w:pStyle w:val="181"/>
            </w:pPr>
            <w:r>
              <w:rPr>
                <w:rFonts w:hint="eastAsia"/>
              </w:rPr>
              <w:t>N（北纬）或S（南纬）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81"/>
            </w:pPr>
            <w:r>
              <w:t>ccccc.cc</w:t>
            </w:r>
          </w:p>
        </w:tc>
        <w:tc>
          <w:tcPr>
            <w:tcW w:w="4667" w:type="dxa"/>
            <w:shd w:val="clear" w:color="auto" w:fill="auto"/>
          </w:tcPr>
          <w:p>
            <w:pPr>
              <w:pStyle w:val="181"/>
            </w:pPr>
            <w:r>
              <w:rPr>
                <w:rFonts w:hint="eastAsia"/>
              </w:rPr>
              <w:t>经度(度分格式)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81"/>
            </w:pPr>
            <w:r>
              <w:t>d</w:t>
            </w:r>
          </w:p>
        </w:tc>
        <w:tc>
          <w:tcPr>
            <w:tcW w:w="4667" w:type="dxa"/>
            <w:shd w:val="clear" w:color="auto" w:fill="auto"/>
          </w:tcPr>
          <w:p>
            <w:pPr>
              <w:pStyle w:val="181"/>
            </w:pPr>
            <w:r>
              <w:rPr>
                <w:rFonts w:hint="eastAsia"/>
              </w:rPr>
              <w:t>E（东经）或W（西经）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81"/>
            </w:pPr>
            <w:r>
              <w:t>e.e</w:t>
            </w:r>
          </w:p>
        </w:tc>
        <w:tc>
          <w:tcPr>
            <w:tcW w:w="4667" w:type="dxa"/>
            <w:shd w:val="clear" w:color="auto" w:fill="auto"/>
          </w:tcPr>
          <w:p>
            <w:pPr>
              <w:pStyle w:val="181"/>
            </w:pPr>
            <w:r>
              <w:rPr>
                <w:rFonts w:hint="eastAsia"/>
              </w:rPr>
              <w:t>对地速度（节）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81"/>
            </w:pPr>
            <w:r>
              <w:t>f.f</w:t>
            </w:r>
          </w:p>
        </w:tc>
        <w:tc>
          <w:tcPr>
            <w:tcW w:w="4667" w:type="dxa"/>
            <w:shd w:val="clear" w:color="auto" w:fill="auto"/>
          </w:tcPr>
          <w:p>
            <w:pPr>
              <w:pStyle w:val="181"/>
            </w:pPr>
            <w:r>
              <w:rPr>
                <w:rFonts w:hint="eastAsia"/>
              </w:rPr>
              <w:t>对地航向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81"/>
            </w:pPr>
            <w:r>
              <w:t>gggggg</w:t>
            </w:r>
          </w:p>
        </w:tc>
        <w:tc>
          <w:tcPr>
            <w:tcW w:w="4667" w:type="dxa"/>
            <w:shd w:val="clear" w:color="auto" w:fill="auto"/>
          </w:tcPr>
          <w:p>
            <w:pPr>
              <w:pStyle w:val="181"/>
            </w:pPr>
            <w:r>
              <w:rPr>
                <w:rFonts w:hint="eastAsia"/>
              </w:rPr>
              <w:t>UTC时间（日月年）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81"/>
            </w:pPr>
            <w:r>
              <w:t>i.i</w:t>
            </w:r>
          </w:p>
        </w:tc>
        <w:tc>
          <w:tcPr>
            <w:tcW w:w="4667" w:type="dxa"/>
            <w:shd w:val="clear" w:color="auto" w:fill="auto"/>
          </w:tcPr>
          <w:p>
            <w:pPr>
              <w:pStyle w:val="181"/>
            </w:pPr>
            <w:r>
              <w:rPr>
                <w:rFonts w:hint="eastAsia"/>
              </w:rPr>
              <w:t>磁偏角（度）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81"/>
            </w:pPr>
            <w:r>
              <w:t>j</w:t>
            </w:r>
          </w:p>
        </w:tc>
        <w:tc>
          <w:tcPr>
            <w:tcW w:w="4667" w:type="dxa"/>
            <w:shd w:val="clear" w:color="auto" w:fill="auto"/>
          </w:tcPr>
          <w:p>
            <w:pPr>
              <w:pStyle w:val="181"/>
            </w:pPr>
            <w:r>
              <w:rPr>
                <w:rFonts w:hint="eastAsia"/>
              </w:rPr>
              <w:t>磁偏角方向（东/西）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81"/>
            </w:pPr>
            <w:r>
              <w:t>k</w:t>
            </w:r>
          </w:p>
        </w:tc>
        <w:tc>
          <w:tcPr>
            <w:tcW w:w="4667" w:type="dxa"/>
            <w:shd w:val="clear" w:color="auto" w:fill="auto"/>
          </w:tcPr>
          <w:p>
            <w:pPr>
              <w:pStyle w:val="181"/>
            </w:pPr>
            <w:r>
              <w:rPr>
                <w:rFonts w:hint="eastAsia"/>
              </w:rPr>
              <w:t>模式指示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81"/>
            </w:pPr>
            <w:r>
              <w:rPr>
                <w:rFonts w:hint="eastAsia"/>
              </w:rPr>
              <w:t>n</w:t>
            </w:r>
          </w:p>
        </w:tc>
        <w:tc>
          <w:tcPr>
            <w:tcW w:w="4667" w:type="dxa"/>
            <w:shd w:val="clear" w:color="auto" w:fill="auto"/>
          </w:tcPr>
          <w:p>
            <w:pPr>
              <w:pStyle w:val="181"/>
            </w:pPr>
            <w:r>
              <w:rPr>
                <w:rFonts w:hint="eastAsia"/>
              </w:rPr>
              <w:t>导航状态</w:t>
            </w:r>
          </w:p>
        </w:tc>
      </w:tr>
    </w:tbl>
    <w:p>
      <w:pPr>
        <w:pStyle w:val="59"/>
        <w:ind w:firstLine="420"/>
      </w:pPr>
      <w:r>
        <w:rPr>
          <w:rFonts w:hint="eastAsia"/>
        </w:rPr>
        <w:t>其中，模式指示为</w:t>
      </w:r>
      <w:r>
        <w:t>:</w:t>
      </w:r>
    </w:p>
    <w:p>
      <w:pPr>
        <w:pStyle w:val="59"/>
        <w:ind w:firstLine="420"/>
      </w:pPr>
      <w:r>
        <w:t xml:space="preserve">A = </w:t>
      </w:r>
      <w:r>
        <w:rPr>
          <w:rFonts w:hint="eastAsia"/>
        </w:rPr>
        <w:t>独立定位</w:t>
      </w:r>
    </w:p>
    <w:p>
      <w:pPr>
        <w:pStyle w:val="59"/>
        <w:ind w:firstLine="420"/>
      </w:pPr>
      <w:r>
        <w:t xml:space="preserve">D = </w:t>
      </w:r>
      <w:r>
        <w:rPr>
          <w:rFonts w:hint="eastAsia"/>
        </w:rPr>
        <w:t>差分定位</w:t>
      </w:r>
      <w:r>
        <w:t>.</w:t>
      </w:r>
    </w:p>
    <w:p>
      <w:pPr>
        <w:pStyle w:val="59"/>
        <w:ind w:firstLine="420"/>
      </w:pPr>
      <w:r>
        <w:t xml:space="preserve">E = </w:t>
      </w:r>
      <w:r>
        <w:rPr>
          <w:rFonts w:hint="eastAsia"/>
        </w:rPr>
        <w:t>估算定位</w:t>
      </w:r>
      <w:r>
        <w:t>(</w:t>
      </w:r>
      <w:r>
        <w:rPr>
          <w:rFonts w:hint="eastAsia"/>
        </w:rPr>
        <w:t>航位推算)</w:t>
      </w:r>
    </w:p>
    <w:p>
      <w:pPr>
        <w:pStyle w:val="59"/>
        <w:ind w:firstLine="420"/>
      </w:pPr>
      <w:r>
        <w:t xml:space="preserve">F = </w:t>
      </w:r>
      <w:r>
        <w:rPr>
          <w:rFonts w:hint="eastAsia"/>
        </w:rPr>
        <w:t>RTK浮点解</w:t>
      </w:r>
    </w:p>
    <w:p>
      <w:pPr>
        <w:pStyle w:val="59"/>
        <w:ind w:firstLine="420"/>
      </w:pPr>
      <w:r>
        <w:t xml:space="preserve">M = </w:t>
      </w:r>
      <w:r>
        <w:rPr>
          <w:rFonts w:hint="eastAsia"/>
        </w:rPr>
        <w:t>手动输入</w:t>
      </w:r>
    </w:p>
    <w:p>
      <w:pPr>
        <w:pStyle w:val="59"/>
        <w:ind w:firstLine="420"/>
      </w:pPr>
      <w:r>
        <w:t xml:space="preserve">N = </w:t>
      </w:r>
      <w:r>
        <w:rPr>
          <w:rFonts w:hint="eastAsia"/>
        </w:rPr>
        <w:t>无定位/定位无效</w:t>
      </w:r>
    </w:p>
    <w:p>
      <w:pPr>
        <w:pStyle w:val="59"/>
        <w:ind w:firstLine="420"/>
      </w:pPr>
      <w:r>
        <w:t xml:space="preserve">P = </w:t>
      </w:r>
      <w:r>
        <w:rPr>
          <w:rFonts w:hint="eastAsia"/>
        </w:rPr>
        <w:t>精确定位(</w:t>
      </w:r>
      <w:r>
        <w:t>P</w:t>
      </w:r>
      <w:r>
        <w:rPr>
          <w:rFonts w:hint="eastAsia"/>
        </w:rPr>
        <w:t>码定位</w:t>
      </w:r>
      <w:r>
        <w:t>)</w:t>
      </w:r>
    </w:p>
    <w:p>
      <w:pPr>
        <w:pStyle w:val="236"/>
        <w:keepNext w:val="0"/>
        <w:keepLines w:val="0"/>
        <w:pageBreakBefore w:val="0"/>
        <w:widowControl/>
        <w:numPr>
          <w:ilvl w:val="1"/>
          <w:numId w:val="34"/>
        </w:numPr>
        <w:kinsoku/>
        <w:wordWrap w:val="0"/>
        <w:overflowPunct w:val="0"/>
        <w:topLinePunct w:val="0"/>
        <w:autoSpaceDE/>
        <w:autoSpaceDN w:val="0"/>
        <w:bidi w:val="0"/>
        <w:adjustRightInd/>
        <w:snapToGrid/>
        <w:spacing w:before="157" w:beforeLines="50" w:after="157" w:afterLines="50"/>
        <w:textAlignment w:val="auto"/>
        <w:rPr>
          <w:rFonts w:hAnsi="黑体" w:cs="宋体"/>
          <w:szCs w:val="21"/>
        </w:rPr>
      </w:pPr>
      <w:r>
        <w:t>VTG</w:t>
      </w:r>
      <w:r>
        <w:rPr>
          <w:rFonts w:hint="eastAsia"/>
        </w:rPr>
        <w:t>语句格式</w:t>
      </w:r>
    </w:p>
    <w:p>
      <w:pPr>
        <w:pStyle w:val="232"/>
      </w:pPr>
      <w:r>
        <w:rPr>
          <w:rFonts w:hint="eastAsia"/>
        </w:rPr>
        <w:t>VTG语句格式为：</w:t>
      </w:r>
    </w:p>
    <w:p>
      <w:pPr>
        <w:pStyle w:val="232"/>
      </w:pPr>
      <w:r>
        <w:t>$-- VTG,b.b,T,c.c,M,d.d,N,e.e,K,a*hh&lt;CR&gt;&lt;LF&gt;</w:t>
      </w:r>
      <w:r>
        <w:rPr>
          <w:rFonts w:hint="eastAsia"/>
        </w:rPr>
        <w:t>，其含义如表</w:t>
      </w:r>
      <w:r>
        <w:t>A</w:t>
      </w:r>
      <w:r>
        <w:rPr>
          <w:rFonts w:hint="eastAsia"/>
        </w:rPr>
        <w:t>.</w:t>
      </w:r>
      <w:r>
        <w:t>5</w:t>
      </w:r>
      <w:r>
        <w:rPr>
          <w:rFonts w:hint="eastAsia"/>
        </w:rPr>
        <w:t>所示。</w:t>
      </w:r>
    </w:p>
    <w:p>
      <w:pPr>
        <w:pStyle w:val="80"/>
        <w:spacing w:before="156" w:after="156"/>
        <w:ind w:firstLine="420"/>
        <w:textAlignment w:val="auto"/>
      </w:pPr>
      <w:r>
        <w:rPr>
          <w:rFonts w:hint="eastAsia"/>
        </w:rPr>
        <w:t>VTG语句含义</w:t>
      </w:r>
    </w:p>
    <w:tbl>
      <w:tblPr>
        <w:tblStyle w:val="36"/>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667"/>
        <w:gridCol w:w="4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4667" w:type="dxa"/>
            <w:tcBorders>
              <w:top w:val="single" w:color="auto" w:sz="8" w:space="0"/>
              <w:bottom w:val="single" w:color="auto" w:sz="8" w:space="0"/>
            </w:tcBorders>
            <w:shd w:val="clear" w:color="auto" w:fill="auto"/>
          </w:tcPr>
          <w:p>
            <w:pPr>
              <w:pStyle w:val="181"/>
            </w:pPr>
            <w:r>
              <w:rPr>
                <w:rFonts w:hint="eastAsia"/>
              </w:rPr>
              <w:t>字段</w:t>
            </w:r>
          </w:p>
        </w:tc>
        <w:tc>
          <w:tcPr>
            <w:tcW w:w="4667" w:type="dxa"/>
            <w:tcBorders>
              <w:top w:val="single" w:color="auto" w:sz="8" w:space="0"/>
              <w:bottom w:val="single" w:color="auto" w:sz="8" w:space="0"/>
            </w:tcBorders>
            <w:shd w:val="clear" w:color="auto" w:fill="auto"/>
          </w:tcPr>
          <w:p>
            <w:pPr>
              <w:pStyle w:val="181"/>
            </w:pPr>
            <w:r>
              <w:rPr>
                <w:rFonts w:hint="eastAsia"/>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tcBorders>
              <w:top w:val="single" w:color="auto" w:sz="8" w:space="0"/>
            </w:tcBorders>
            <w:shd w:val="clear" w:color="auto" w:fill="auto"/>
          </w:tcPr>
          <w:p>
            <w:pPr>
              <w:pStyle w:val="181"/>
            </w:pPr>
            <w:r>
              <w:t>b.b</w:t>
            </w:r>
          </w:p>
        </w:tc>
        <w:tc>
          <w:tcPr>
            <w:tcW w:w="4667" w:type="dxa"/>
            <w:tcBorders>
              <w:top w:val="single" w:color="auto" w:sz="8" w:space="0"/>
            </w:tcBorders>
            <w:shd w:val="clear" w:color="auto" w:fill="auto"/>
          </w:tcPr>
          <w:p>
            <w:pPr>
              <w:pStyle w:val="181"/>
            </w:pPr>
            <w:r>
              <w:rPr>
                <w:rFonts w:hint="eastAsia"/>
              </w:rPr>
              <w:t>对地航向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81"/>
            </w:pPr>
            <w:r>
              <w:t>T</w:t>
            </w:r>
          </w:p>
        </w:tc>
        <w:tc>
          <w:tcPr>
            <w:tcW w:w="4667" w:type="dxa"/>
            <w:shd w:val="clear" w:color="auto" w:fill="auto"/>
          </w:tcPr>
          <w:p>
            <w:pPr>
              <w:pStyle w:val="181"/>
            </w:pPr>
            <w:r>
              <w:rPr>
                <w:rFonts w:hint="eastAsia"/>
              </w:rPr>
              <w:t>真北参照系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81"/>
            </w:pPr>
            <w:r>
              <w:t>c.c</w:t>
            </w:r>
          </w:p>
        </w:tc>
        <w:tc>
          <w:tcPr>
            <w:tcW w:w="4667" w:type="dxa"/>
            <w:shd w:val="clear" w:color="auto" w:fill="auto"/>
          </w:tcPr>
          <w:p>
            <w:pPr>
              <w:pStyle w:val="181"/>
            </w:pPr>
            <w:r>
              <w:rPr>
                <w:rFonts w:hint="eastAsia"/>
              </w:rPr>
              <w:t>对地航向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81"/>
            </w:pPr>
            <w:r>
              <w:rPr>
                <w:rFonts w:hint="eastAsia"/>
              </w:rPr>
              <w:t>M</w:t>
            </w:r>
          </w:p>
        </w:tc>
        <w:tc>
          <w:tcPr>
            <w:tcW w:w="4667" w:type="dxa"/>
            <w:shd w:val="clear" w:color="auto" w:fill="auto"/>
          </w:tcPr>
          <w:p>
            <w:pPr>
              <w:pStyle w:val="181"/>
            </w:pPr>
            <w:r>
              <w:rPr>
                <w:rFonts w:hint="eastAsia"/>
              </w:rPr>
              <w:t>磁北参照系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81"/>
            </w:pPr>
            <w:r>
              <w:t>d.d</w:t>
            </w:r>
          </w:p>
        </w:tc>
        <w:tc>
          <w:tcPr>
            <w:tcW w:w="4667" w:type="dxa"/>
            <w:shd w:val="clear" w:color="auto" w:fill="auto"/>
          </w:tcPr>
          <w:p>
            <w:pPr>
              <w:pStyle w:val="181"/>
            </w:pPr>
            <w:r>
              <w:rPr>
                <w:rFonts w:hint="eastAsia"/>
              </w:rPr>
              <w:t>对地速度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81"/>
            </w:pPr>
            <w:r>
              <w:t>N</w:t>
            </w:r>
          </w:p>
        </w:tc>
        <w:tc>
          <w:tcPr>
            <w:tcW w:w="4667" w:type="dxa"/>
            <w:shd w:val="clear" w:color="auto" w:fill="auto"/>
          </w:tcPr>
          <w:p>
            <w:pPr>
              <w:pStyle w:val="181"/>
            </w:pPr>
            <w:r>
              <w:rPr>
                <w:rFonts w:hint="eastAsia"/>
              </w:rPr>
              <w:t>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81"/>
            </w:pPr>
            <w:r>
              <w:t>e.e</w:t>
            </w:r>
          </w:p>
        </w:tc>
        <w:tc>
          <w:tcPr>
            <w:tcW w:w="4667" w:type="dxa"/>
            <w:shd w:val="clear" w:color="auto" w:fill="auto"/>
          </w:tcPr>
          <w:p>
            <w:pPr>
              <w:pStyle w:val="181"/>
            </w:pPr>
            <w:r>
              <w:rPr>
                <w:rFonts w:hint="eastAsia"/>
              </w:rPr>
              <w:t>对地速度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81"/>
            </w:pPr>
            <w:r>
              <w:t>K</w:t>
            </w:r>
          </w:p>
        </w:tc>
        <w:tc>
          <w:tcPr>
            <w:tcW w:w="4667" w:type="dxa"/>
            <w:shd w:val="clear" w:color="auto" w:fill="auto"/>
          </w:tcPr>
          <w:p>
            <w:pPr>
              <w:pStyle w:val="181"/>
            </w:pPr>
            <w:r>
              <w:rPr>
                <w:rFonts w:hint="eastAsia"/>
              </w:rPr>
              <w:t>公里/时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81"/>
            </w:pPr>
            <w:r>
              <w:t>a</w:t>
            </w:r>
          </w:p>
        </w:tc>
        <w:tc>
          <w:tcPr>
            <w:tcW w:w="4667" w:type="dxa"/>
            <w:shd w:val="clear" w:color="auto" w:fill="auto"/>
          </w:tcPr>
          <w:p>
            <w:pPr>
              <w:pStyle w:val="181"/>
            </w:pPr>
            <w:r>
              <w:rPr>
                <w:rFonts w:hint="eastAsia"/>
              </w:rPr>
              <w:t>模式指示</w:t>
            </w:r>
          </w:p>
        </w:tc>
      </w:tr>
    </w:tbl>
    <w:p>
      <w:pPr>
        <w:pStyle w:val="59"/>
        <w:ind w:firstLine="420"/>
      </w:pPr>
      <w:r>
        <w:rPr>
          <w:rFonts w:hint="eastAsia"/>
        </w:rPr>
        <w:t>其中，模式指示为：</w:t>
      </w:r>
    </w:p>
    <w:p>
      <w:pPr>
        <w:pStyle w:val="59"/>
        <w:ind w:firstLine="420"/>
      </w:pPr>
      <w:r>
        <w:t>A=</w:t>
      </w:r>
      <w:r>
        <w:rPr>
          <w:rFonts w:hint="eastAsia"/>
        </w:rPr>
        <w:t>独立定位</w:t>
      </w:r>
    </w:p>
    <w:p>
      <w:pPr>
        <w:pStyle w:val="59"/>
        <w:ind w:firstLine="420"/>
      </w:pPr>
      <w:r>
        <w:t>D=</w:t>
      </w:r>
      <w:r>
        <w:rPr>
          <w:rFonts w:hint="eastAsia"/>
        </w:rPr>
        <w:t>差分定位</w:t>
      </w:r>
    </w:p>
    <w:p>
      <w:pPr>
        <w:pStyle w:val="59"/>
        <w:ind w:firstLine="420"/>
      </w:pPr>
      <w:r>
        <w:t>E=</w:t>
      </w:r>
      <w:r>
        <w:rPr>
          <w:rFonts w:hint="eastAsia"/>
        </w:rPr>
        <w:t>估算定位</w:t>
      </w:r>
      <w:r>
        <w:t>(</w:t>
      </w:r>
      <w:r>
        <w:rPr>
          <w:rFonts w:hint="eastAsia"/>
        </w:rPr>
        <w:t>航位推算)</w:t>
      </w:r>
    </w:p>
    <w:p>
      <w:pPr>
        <w:pStyle w:val="59"/>
        <w:ind w:firstLine="420"/>
      </w:pPr>
      <w:r>
        <w:t>M=</w:t>
      </w:r>
      <w:r>
        <w:rPr>
          <w:rFonts w:hint="eastAsia"/>
        </w:rPr>
        <w:t>手动输入</w:t>
      </w:r>
    </w:p>
    <w:p>
      <w:pPr>
        <w:pStyle w:val="59"/>
        <w:ind w:firstLine="420"/>
      </w:pPr>
      <w:r>
        <w:t>N=</w:t>
      </w:r>
      <w:r>
        <w:rPr>
          <w:rFonts w:hint="eastAsia"/>
        </w:rPr>
        <w:t>无定位/定位无效</w:t>
      </w:r>
    </w:p>
    <w:p>
      <w:pPr>
        <w:pStyle w:val="59"/>
        <w:ind w:firstLine="420"/>
      </w:pPr>
      <w:r>
        <w:t>P=</w:t>
      </w:r>
      <w:r>
        <w:rPr>
          <w:rFonts w:hint="eastAsia"/>
        </w:rPr>
        <w:t>精确定位(</w:t>
      </w:r>
      <w:r>
        <w:t>P</w:t>
      </w:r>
      <w:r>
        <w:rPr>
          <w:rFonts w:hint="eastAsia"/>
        </w:rPr>
        <w:t>码定位</w:t>
      </w:r>
      <w:r>
        <w:t xml:space="preserve">) </w:t>
      </w:r>
    </w:p>
    <w:p>
      <w:pPr>
        <w:pStyle w:val="236"/>
        <w:keepNext w:val="0"/>
        <w:keepLines w:val="0"/>
        <w:pageBreakBefore w:val="0"/>
        <w:widowControl/>
        <w:numPr>
          <w:ilvl w:val="1"/>
          <w:numId w:val="34"/>
        </w:numPr>
        <w:kinsoku/>
        <w:wordWrap w:val="0"/>
        <w:overflowPunct w:val="0"/>
        <w:topLinePunct w:val="0"/>
        <w:autoSpaceDE/>
        <w:autoSpaceDN w:val="0"/>
        <w:bidi w:val="0"/>
        <w:adjustRightInd/>
        <w:snapToGrid/>
        <w:spacing w:before="157" w:beforeLines="50" w:after="157" w:afterLines="50"/>
        <w:textAlignment w:val="auto"/>
        <w:rPr>
          <w:rFonts w:hAnsi="黑体" w:cs="宋体"/>
          <w:szCs w:val="21"/>
        </w:rPr>
      </w:pPr>
      <w:r>
        <w:rPr>
          <w:rFonts w:hint="eastAsia"/>
        </w:rPr>
        <w:t>GSV语句格式</w:t>
      </w:r>
    </w:p>
    <w:p>
      <w:pPr>
        <w:pStyle w:val="232"/>
      </w:pPr>
      <w:r>
        <w:rPr>
          <w:rFonts w:hint="eastAsia"/>
        </w:rPr>
        <w:t>GSV语句格式为：</w:t>
      </w:r>
    </w:p>
    <w:p>
      <w:pPr>
        <w:pStyle w:val="232"/>
      </w:pPr>
      <w:r>
        <w:rPr>
          <w:rFonts w:hint="eastAsia"/>
        </w:rPr>
        <w:t>$--GSV,a,b,cc,dd,ee,fff,gg,.</w:t>
      </w:r>
      <w:r>
        <w:rPr>
          <w:rFonts w:hint="eastAsia" w:ascii="Times New Roman"/>
        </w:rPr>
        <w:t>……</w:t>
      </w:r>
      <w:r>
        <w:rPr>
          <w:rFonts w:hint="eastAsia"/>
        </w:rPr>
        <w:t>.</w:t>
      </w:r>
      <w:r>
        <w:rPr>
          <w:rFonts w:hint="eastAsia" w:ascii="Times New Roman"/>
        </w:rPr>
        <w:t>……</w:t>
      </w:r>
      <w:r>
        <w:rPr>
          <w:rFonts w:hint="eastAsia"/>
        </w:rPr>
        <w:t>..,ii,jj,kkk,ll,m*hh&lt;CR&gt;&lt;LF&gt;，其含义如表</w:t>
      </w:r>
      <w:r>
        <w:t>A</w:t>
      </w:r>
      <w:r>
        <w:rPr>
          <w:rFonts w:hint="eastAsia"/>
        </w:rPr>
        <w:t>.</w:t>
      </w:r>
      <w:r>
        <w:t>6</w:t>
      </w:r>
      <w:r>
        <w:rPr>
          <w:rFonts w:hint="eastAsia"/>
        </w:rPr>
        <w:t>所示。</w:t>
      </w:r>
    </w:p>
    <w:p>
      <w:pPr>
        <w:pStyle w:val="80"/>
        <w:spacing w:before="156" w:after="156"/>
        <w:ind w:firstLine="420"/>
        <w:textAlignment w:val="auto"/>
      </w:pPr>
      <w:r>
        <w:rPr>
          <w:rFonts w:hint="eastAsia"/>
        </w:rPr>
        <w:t>GSV语句含义</w:t>
      </w:r>
    </w:p>
    <w:tbl>
      <w:tblPr>
        <w:tblStyle w:val="36"/>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667"/>
        <w:gridCol w:w="4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4667" w:type="dxa"/>
            <w:tcBorders>
              <w:top w:val="single" w:color="auto" w:sz="8" w:space="0"/>
              <w:bottom w:val="single" w:color="auto" w:sz="8" w:space="0"/>
            </w:tcBorders>
            <w:shd w:val="clear" w:color="auto" w:fill="auto"/>
          </w:tcPr>
          <w:p>
            <w:pPr>
              <w:pStyle w:val="181"/>
            </w:pPr>
            <w:bookmarkStart w:id="36" w:name="_Hlk71820944"/>
            <w:r>
              <w:rPr>
                <w:rFonts w:hint="eastAsia"/>
              </w:rPr>
              <w:t>字段</w:t>
            </w:r>
          </w:p>
        </w:tc>
        <w:tc>
          <w:tcPr>
            <w:tcW w:w="4667" w:type="dxa"/>
            <w:tcBorders>
              <w:top w:val="single" w:color="auto" w:sz="8" w:space="0"/>
              <w:bottom w:val="single" w:color="auto" w:sz="8" w:space="0"/>
            </w:tcBorders>
            <w:shd w:val="clear" w:color="auto" w:fill="auto"/>
          </w:tcPr>
          <w:p>
            <w:pPr>
              <w:pStyle w:val="181"/>
            </w:pPr>
            <w:r>
              <w:rPr>
                <w:rFonts w:hint="eastAsia"/>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tcBorders>
              <w:top w:val="single" w:color="auto" w:sz="8" w:space="0"/>
            </w:tcBorders>
            <w:shd w:val="clear" w:color="auto" w:fill="auto"/>
          </w:tcPr>
          <w:p>
            <w:pPr>
              <w:pStyle w:val="181"/>
            </w:pPr>
            <w:r>
              <w:rPr>
                <w:rFonts w:hint="eastAsia"/>
              </w:rPr>
              <w:t>a</w:t>
            </w:r>
          </w:p>
        </w:tc>
        <w:tc>
          <w:tcPr>
            <w:tcW w:w="4667" w:type="dxa"/>
            <w:tcBorders>
              <w:top w:val="single" w:color="auto" w:sz="8" w:space="0"/>
            </w:tcBorders>
            <w:shd w:val="clear" w:color="auto" w:fill="auto"/>
          </w:tcPr>
          <w:p>
            <w:pPr>
              <w:pStyle w:val="181"/>
            </w:pPr>
            <w:r>
              <w:rPr>
                <w:rFonts w:hint="eastAsia"/>
              </w:rPr>
              <w:t>本次GSV语句的总数目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81"/>
            </w:pPr>
            <w:r>
              <w:rPr>
                <w:rFonts w:hint="eastAsia"/>
              </w:rPr>
              <w:t>b</w:t>
            </w:r>
          </w:p>
        </w:tc>
        <w:tc>
          <w:tcPr>
            <w:tcW w:w="4667" w:type="dxa"/>
            <w:shd w:val="clear" w:color="auto" w:fill="auto"/>
          </w:tcPr>
          <w:p>
            <w:pPr>
              <w:pStyle w:val="181"/>
            </w:pPr>
            <w:r>
              <w:rPr>
                <w:rFonts w:hint="eastAsia"/>
              </w:rPr>
              <w:t>本条GSV语句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81"/>
            </w:pPr>
            <w:r>
              <w:rPr>
                <w:rFonts w:hint="eastAsia"/>
              </w:rPr>
              <w:t>cc</w:t>
            </w:r>
          </w:p>
        </w:tc>
        <w:tc>
          <w:tcPr>
            <w:tcW w:w="4667" w:type="dxa"/>
            <w:shd w:val="clear" w:color="auto" w:fill="auto"/>
          </w:tcPr>
          <w:p>
            <w:pPr>
              <w:pStyle w:val="181"/>
            </w:pPr>
            <w:r>
              <w:rPr>
                <w:rFonts w:hint="eastAsia"/>
              </w:rPr>
              <w:t>可见星总数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81"/>
            </w:pPr>
            <w:r>
              <w:rPr>
                <w:rFonts w:hint="eastAsia"/>
              </w:rPr>
              <w:t>dd</w:t>
            </w:r>
          </w:p>
        </w:tc>
        <w:tc>
          <w:tcPr>
            <w:tcW w:w="4667" w:type="dxa"/>
            <w:shd w:val="clear" w:color="auto" w:fill="auto"/>
          </w:tcPr>
          <w:p>
            <w:pPr>
              <w:pStyle w:val="181"/>
            </w:pPr>
            <w:r>
              <w:rPr>
                <w:rFonts w:hint="eastAsia"/>
              </w:rPr>
              <w:t>卫星ID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81"/>
            </w:pPr>
            <w:r>
              <w:rPr>
                <w:rFonts w:hint="eastAsia"/>
              </w:rPr>
              <w:t>ee</w:t>
            </w:r>
          </w:p>
        </w:tc>
        <w:tc>
          <w:tcPr>
            <w:tcW w:w="4667" w:type="dxa"/>
            <w:shd w:val="clear" w:color="auto" w:fill="auto"/>
          </w:tcPr>
          <w:p>
            <w:pPr>
              <w:pStyle w:val="181"/>
            </w:pPr>
            <w:r>
              <w:rPr>
                <w:rFonts w:hint="eastAsia"/>
              </w:rPr>
              <w:t>仰角，度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81"/>
            </w:pPr>
            <w:r>
              <w:rPr>
                <w:rFonts w:hint="eastAsia"/>
              </w:rPr>
              <w:t>fff</w:t>
            </w:r>
          </w:p>
        </w:tc>
        <w:tc>
          <w:tcPr>
            <w:tcW w:w="4667" w:type="dxa"/>
            <w:shd w:val="clear" w:color="auto" w:fill="auto"/>
          </w:tcPr>
          <w:p>
            <w:pPr>
              <w:pStyle w:val="181"/>
            </w:pPr>
            <w:r>
              <w:rPr>
                <w:rFonts w:hint="eastAsia"/>
              </w:rPr>
              <w:t>方位角，度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81"/>
            </w:pPr>
            <w:r>
              <w:rPr>
                <w:rFonts w:hint="eastAsia"/>
              </w:rPr>
              <w:t>gg</w:t>
            </w:r>
          </w:p>
        </w:tc>
        <w:tc>
          <w:tcPr>
            <w:tcW w:w="4667" w:type="dxa"/>
            <w:shd w:val="clear" w:color="auto" w:fill="auto"/>
          </w:tcPr>
          <w:p>
            <w:pPr>
              <w:pStyle w:val="181"/>
            </w:pPr>
            <w:r>
              <w:rPr>
                <w:rFonts w:hint="eastAsia"/>
              </w:rPr>
              <w:t>SNR（C/N0）,信噪比（载噪比）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81"/>
            </w:pPr>
            <w:r>
              <w:rPr>
                <w:rFonts w:hint="eastAsia"/>
              </w:rPr>
              <w:t>ii</w:t>
            </w:r>
          </w:p>
        </w:tc>
        <w:tc>
          <w:tcPr>
            <w:tcW w:w="4667" w:type="dxa"/>
            <w:shd w:val="clear" w:color="auto" w:fill="auto"/>
          </w:tcPr>
          <w:p>
            <w:pPr>
              <w:pStyle w:val="181"/>
            </w:pPr>
            <w:r>
              <w:rPr>
                <w:rFonts w:hint="eastAsia"/>
              </w:rPr>
              <w:t>卫星ID（第四颗）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81"/>
            </w:pPr>
            <w:r>
              <w:rPr>
                <w:rFonts w:hint="eastAsia"/>
              </w:rPr>
              <w:t>jj</w:t>
            </w:r>
          </w:p>
        </w:tc>
        <w:tc>
          <w:tcPr>
            <w:tcW w:w="4667" w:type="dxa"/>
            <w:shd w:val="clear" w:color="auto" w:fill="auto"/>
          </w:tcPr>
          <w:p>
            <w:pPr>
              <w:pStyle w:val="181"/>
            </w:pPr>
            <w:r>
              <w:rPr>
                <w:rFonts w:hint="eastAsia"/>
              </w:rPr>
              <w:t>仰角，度（第四颗）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81"/>
            </w:pPr>
            <w:r>
              <w:rPr>
                <w:rFonts w:hint="eastAsia"/>
              </w:rPr>
              <w:t>kkk</w:t>
            </w:r>
          </w:p>
        </w:tc>
        <w:tc>
          <w:tcPr>
            <w:tcW w:w="4667" w:type="dxa"/>
            <w:shd w:val="clear" w:color="auto" w:fill="auto"/>
          </w:tcPr>
          <w:p>
            <w:pPr>
              <w:pStyle w:val="181"/>
            </w:pPr>
            <w:r>
              <w:rPr>
                <w:rFonts w:hint="eastAsia"/>
              </w:rPr>
              <w:t>方位角，度（第四颗）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81"/>
            </w:pPr>
            <w:r>
              <w:rPr>
                <w:rFonts w:hint="eastAsia"/>
              </w:rPr>
              <w:t>ll</w:t>
            </w:r>
          </w:p>
        </w:tc>
        <w:tc>
          <w:tcPr>
            <w:tcW w:w="4667" w:type="dxa"/>
            <w:shd w:val="clear" w:color="auto" w:fill="auto"/>
          </w:tcPr>
          <w:p>
            <w:pPr>
              <w:pStyle w:val="181"/>
            </w:pPr>
            <w:r>
              <w:rPr>
                <w:rFonts w:hint="eastAsia"/>
              </w:rPr>
              <w:t>SNR（C/N0）,信噪比（载噪比）（第四颗）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81"/>
            </w:pPr>
            <w:r>
              <w:rPr>
                <w:rFonts w:hint="eastAsia"/>
                <w:sz w:val="22"/>
                <w:szCs w:val="22"/>
              </w:rPr>
              <w:t>m</w:t>
            </w:r>
          </w:p>
        </w:tc>
        <w:tc>
          <w:tcPr>
            <w:tcW w:w="4667" w:type="dxa"/>
            <w:shd w:val="clear" w:color="auto" w:fill="auto"/>
          </w:tcPr>
          <w:p>
            <w:pPr>
              <w:pStyle w:val="181"/>
            </w:pPr>
            <w:r>
              <w:rPr>
                <w:rFonts w:hint="eastAsia"/>
              </w:rPr>
              <w:t>信号ID</w:t>
            </w:r>
          </w:p>
        </w:tc>
      </w:tr>
      <w:bookmarkEnd w:id="36"/>
    </w:tbl>
    <w:p>
      <w:pPr>
        <w:pStyle w:val="232"/>
        <w:rPr>
          <w:rFonts w:hint="eastAsia"/>
        </w:rPr>
      </w:pPr>
      <w:r>
        <w:rPr>
          <w:rFonts w:hint="eastAsia"/>
        </w:rPr>
        <w:t>其中，字段m描述的信号ID说明见表A.</w:t>
      </w:r>
      <w:r>
        <w:t>7</w:t>
      </w:r>
      <w:r>
        <w:rPr>
          <w:rFonts w:hint="eastAsia"/>
        </w:rPr>
        <w:t>。</w:t>
      </w:r>
    </w:p>
    <w:p>
      <w:pPr>
        <w:pStyle w:val="232"/>
        <w:rPr>
          <w:rFonts w:hint="eastAsia"/>
        </w:rPr>
      </w:pPr>
    </w:p>
    <w:p>
      <w:pPr>
        <w:pStyle w:val="232"/>
        <w:rPr>
          <w:rFonts w:hint="eastAsia"/>
        </w:rPr>
      </w:pPr>
    </w:p>
    <w:p>
      <w:pPr>
        <w:pStyle w:val="80"/>
        <w:spacing w:before="156" w:after="156"/>
        <w:ind w:firstLine="420"/>
        <w:textAlignment w:val="auto"/>
      </w:pPr>
      <w:r>
        <w:rPr>
          <w:rFonts w:hint="eastAsia"/>
        </w:rPr>
        <w:t>卫星ID及信号ID说明</w:t>
      </w:r>
    </w:p>
    <w:tbl>
      <w:tblPr>
        <w:tblStyle w:val="36"/>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50"/>
        <w:gridCol w:w="1559"/>
        <w:gridCol w:w="2977"/>
        <w:gridCol w:w="1385"/>
        <w:gridCol w:w="18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blHeader/>
          <w:jc w:val="center"/>
        </w:trPr>
        <w:tc>
          <w:tcPr>
            <w:tcW w:w="1550" w:type="dxa"/>
            <w:tcBorders>
              <w:top w:val="single" w:color="auto" w:sz="8" w:space="0"/>
              <w:bottom w:val="single" w:color="auto" w:sz="8" w:space="0"/>
            </w:tcBorders>
            <w:shd w:val="clear" w:color="auto" w:fill="auto"/>
          </w:tcPr>
          <w:p>
            <w:pPr>
              <w:pStyle w:val="181"/>
            </w:pPr>
            <w:r>
              <w:rPr>
                <w:rFonts w:hint="eastAsia"/>
              </w:rPr>
              <w:t>卫星定位系统</w:t>
            </w:r>
          </w:p>
        </w:tc>
        <w:tc>
          <w:tcPr>
            <w:tcW w:w="1559" w:type="dxa"/>
            <w:tcBorders>
              <w:top w:val="single" w:color="auto" w:sz="8" w:space="0"/>
              <w:bottom w:val="single" w:color="auto" w:sz="8" w:space="0"/>
            </w:tcBorders>
            <w:shd w:val="clear" w:color="auto" w:fill="auto"/>
          </w:tcPr>
          <w:p>
            <w:pPr>
              <w:pStyle w:val="181"/>
            </w:pPr>
            <w:r>
              <w:rPr>
                <w:rFonts w:hint="eastAsia"/>
              </w:rPr>
              <w:t>系统 ID</w:t>
            </w:r>
          </w:p>
        </w:tc>
        <w:tc>
          <w:tcPr>
            <w:tcW w:w="2977" w:type="dxa"/>
            <w:tcBorders>
              <w:top w:val="single" w:color="auto" w:sz="8" w:space="0"/>
              <w:bottom w:val="single" w:color="auto" w:sz="8" w:space="0"/>
            </w:tcBorders>
            <w:shd w:val="clear" w:color="auto" w:fill="auto"/>
          </w:tcPr>
          <w:p>
            <w:pPr>
              <w:pStyle w:val="181"/>
            </w:pPr>
            <w:r>
              <w:rPr>
                <w:rFonts w:hint="eastAsia"/>
              </w:rPr>
              <w:t>卫星ID</w:t>
            </w:r>
          </w:p>
        </w:tc>
        <w:tc>
          <w:tcPr>
            <w:tcW w:w="1385" w:type="dxa"/>
            <w:tcBorders>
              <w:top w:val="single" w:color="auto" w:sz="8" w:space="0"/>
              <w:bottom w:val="single" w:color="auto" w:sz="8" w:space="0"/>
            </w:tcBorders>
            <w:shd w:val="clear" w:color="auto" w:fill="auto"/>
          </w:tcPr>
          <w:p>
            <w:pPr>
              <w:pStyle w:val="181"/>
            </w:pPr>
            <w:r>
              <w:rPr>
                <w:rFonts w:hint="eastAsia"/>
              </w:rPr>
              <w:t>信号ID</w:t>
            </w:r>
          </w:p>
        </w:tc>
        <w:tc>
          <w:tcPr>
            <w:tcW w:w="1863" w:type="dxa"/>
            <w:tcBorders>
              <w:top w:val="single" w:color="auto" w:sz="8" w:space="0"/>
              <w:bottom w:val="single" w:color="auto" w:sz="8" w:space="0"/>
            </w:tcBorders>
            <w:shd w:val="clear" w:color="auto" w:fill="auto"/>
          </w:tcPr>
          <w:p>
            <w:pPr>
              <w:pStyle w:val="181"/>
            </w:pPr>
            <w:r>
              <w:rPr>
                <w:rFonts w:hint="eastAsia"/>
              </w:rPr>
              <w:t>信号类型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1550" w:type="dxa"/>
            <w:vMerge w:val="restart"/>
            <w:tcBorders>
              <w:top w:val="single" w:color="auto" w:sz="8" w:space="0"/>
            </w:tcBorders>
            <w:shd w:val="clear" w:color="auto" w:fill="auto"/>
            <w:vAlign w:val="center"/>
          </w:tcPr>
          <w:p>
            <w:pPr>
              <w:pStyle w:val="181"/>
            </w:pPr>
            <w:r>
              <w:t>GPS</w:t>
            </w:r>
          </w:p>
        </w:tc>
        <w:tc>
          <w:tcPr>
            <w:tcW w:w="1559" w:type="dxa"/>
            <w:vMerge w:val="restart"/>
            <w:tcBorders>
              <w:top w:val="single" w:color="auto" w:sz="8" w:space="0"/>
            </w:tcBorders>
            <w:shd w:val="clear" w:color="auto" w:fill="auto"/>
            <w:vAlign w:val="center"/>
          </w:tcPr>
          <w:p>
            <w:pPr>
              <w:pStyle w:val="181"/>
            </w:pPr>
            <w:r>
              <w:t>1</w:t>
            </w:r>
          </w:p>
        </w:tc>
        <w:tc>
          <w:tcPr>
            <w:tcW w:w="2977" w:type="dxa"/>
            <w:vMerge w:val="restart"/>
            <w:tcBorders>
              <w:top w:val="single" w:color="auto" w:sz="8" w:space="0"/>
            </w:tcBorders>
            <w:shd w:val="clear" w:color="auto" w:fill="auto"/>
            <w:vAlign w:val="center"/>
          </w:tcPr>
          <w:p>
            <w:pPr>
              <w:pStyle w:val="181"/>
            </w:pPr>
            <w:r>
              <w:rPr>
                <w:rFonts w:hint="eastAsia"/>
              </w:rPr>
              <w:t>1-</w:t>
            </w:r>
            <w:r>
              <w:t>99</w:t>
            </w:r>
          </w:p>
          <w:p>
            <w:pPr>
              <w:pStyle w:val="181"/>
            </w:pPr>
            <w:r>
              <w:t>1-32:GPS</w:t>
            </w:r>
          </w:p>
          <w:p>
            <w:pPr>
              <w:pStyle w:val="181"/>
            </w:pPr>
            <w:r>
              <w:t>33-64:SBAS</w:t>
            </w:r>
          </w:p>
          <w:p>
            <w:pPr>
              <w:pStyle w:val="181"/>
            </w:pPr>
            <w:r>
              <w:t>65-99:</w:t>
            </w:r>
            <w:r>
              <w:rPr>
                <w:rFonts w:hint="eastAsia"/>
              </w:rPr>
              <w:t>未定义</w:t>
            </w:r>
          </w:p>
        </w:tc>
        <w:tc>
          <w:tcPr>
            <w:tcW w:w="1385" w:type="dxa"/>
            <w:tcBorders>
              <w:top w:val="single" w:color="auto" w:sz="8" w:space="0"/>
            </w:tcBorders>
            <w:shd w:val="clear" w:color="auto" w:fill="auto"/>
            <w:vAlign w:val="center"/>
          </w:tcPr>
          <w:p>
            <w:pPr>
              <w:pStyle w:val="181"/>
            </w:pPr>
            <w:r>
              <w:t>0</w:t>
            </w:r>
          </w:p>
        </w:tc>
        <w:tc>
          <w:tcPr>
            <w:tcW w:w="1863" w:type="dxa"/>
            <w:tcBorders>
              <w:top w:val="single" w:color="auto" w:sz="8" w:space="0"/>
            </w:tcBorders>
            <w:shd w:val="clear" w:color="auto" w:fill="auto"/>
            <w:vAlign w:val="center"/>
          </w:tcPr>
          <w:p>
            <w:pPr>
              <w:pStyle w:val="181"/>
            </w:pPr>
            <w:r>
              <w:t>All Signals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vAlign w:val="center"/>
          </w:tcPr>
          <w:p>
            <w:pPr>
              <w:pStyle w:val="181"/>
            </w:pPr>
          </w:p>
        </w:tc>
        <w:tc>
          <w:tcPr>
            <w:tcW w:w="1385" w:type="dxa"/>
            <w:shd w:val="clear" w:color="auto" w:fill="auto"/>
            <w:vAlign w:val="center"/>
          </w:tcPr>
          <w:p>
            <w:pPr>
              <w:pStyle w:val="181"/>
            </w:pPr>
            <w:r>
              <w:t>1</w:t>
            </w:r>
          </w:p>
        </w:tc>
        <w:tc>
          <w:tcPr>
            <w:tcW w:w="1863" w:type="dxa"/>
            <w:shd w:val="clear" w:color="auto" w:fill="auto"/>
            <w:vAlign w:val="center"/>
          </w:tcPr>
          <w:p>
            <w:pPr>
              <w:pStyle w:val="181"/>
            </w:pPr>
            <w:r>
              <w:t>L1 C/A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vAlign w:val="center"/>
          </w:tcPr>
          <w:p>
            <w:pPr>
              <w:pStyle w:val="181"/>
            </w:pPr>
          </w:p>
        </w:tc>
        <w:tc>
          <w:tcPr>
            <w:tcW w:w="1385" w:type="dxa"/>
            <w:shd w:val="clear" w:color="auto" w:fill="auto"/>
            <w:vAlign w:val="center"/>
          </w:tcPr>
          <w:p>
            <w:pPr>
              <w:pStyle w:val="181"/>
            </w:pPr>
            <w:r>
              <w:t>2</w:t>
            </w:r>
          </w:p>
        </w:tc>
        <w:tc>
          <w:tcPr>
            <w:tcW w:w="1863" w:type="dxa"/>
            <w:shd w:val="clear" w:color="auto" w:fill="auto"/>
            <w:vAlign w:val="center"/>
          </w:tcPr>
          <w:p>
            <w:pPr>
              <w:pStyle w:val="181"/>
            </w:pPr>
            <w:r>
              <w:t>L1 P(Y)</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vAlign w:val="center"/>
          </w:tcPr>
          <w:p>
            <w:pPr>
              <w:pStyle w:val="181"/>
            </w:pPr>
          </w:p>
        </w:tc>
        <w:tc>
          <w:tcPr>
            <w:tcW w:w="1385" w:type="dxa"/>
            <w:shd w:val="clear" w:color="auto" w:fill="auto"/>
            <w:vAlign w:val="center"/>
          </w:tcPr>
          <w:p>
            <w:pPr>
              <w:pStyle w:val="181"/>
            </w:pPr>
            <w:r>
              <w:t>3</w:t>
            </w:r>
          </w:p>
        </w:tc>
        <w:tc>
          <w:tcPr>
            <w:tcW w:w="1863" w:type="dxa"/>
            <w:shd w:val="clear" w:color="auto" w:fill="auto"/>
            <w:vAlign w:val="center"/>
          </w:tcPr>
          <w:p>
            <w:pPr>
              <w:pStyle w:val="181"/>
            </w:pPr>
            <w:r>
              <w:t>L1 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vAlign w:val="center"/>
          </w:tcPr>
          <w:p>
            <w:pPr>
              <w:pStyle w:val="181"/>
            </w:pPr>
          </w:p>
        </w:tc>
        <w:tc>
          <w:tcPr>
            <w:tcW w:w="1385" w:type="dxa"/>
            <w:shd w:val="clear" w:color="auto" w:fill="auto"/>
            <w:vAlign w:val="center"/>
          </w:tcPr>
          <w:p>
            <w:pPr>
              <w:pStyle w:val="181"/>
            </w:pPr>
            <w:r>
              <w:t>4</w:t>
            </w:r>
          </w:p>
        </w:tc>
        <w:tc>
          <w:tcPr>
            <w:tcW w:w="1863" w:type="dxa"/>
            <w:shd w:val="clear" w:color="auto" w:fill="auto"/>
            <w:vAlign w:val="center"/>
          </w:tcPr>
          <w:p>
            <w:pPr>
              <w:pStyle w:val="181"/>
            </w:pPr>
            <w:r>
              <w:t>L2 P(Y)</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vAlign w:val="center"/>
          </w:tcPr>
          <w:p>
            <w:pPr>
              <w:pStyle w:val="181"/>
            </w:pPr>
          </w:p>
        </w:tc>
        <w:tc>
          <w:tcPr>
            <w:tcW w:w="1385" w:type="dxa"/>
            <w:shd w:val="clear" w:color="auto" w:fill="auto"/>
            <w:vAlign w:val="center"/>
          </w:tcPr>
          <w:p>
            <w:pPr>
              <w:pStyle w:val="181"/>
            </w:pPr>
            <w:r>
              <w:t>5</w:t>
            </w:r>
          </w:p>
        </w:tc>
        <w:tc>
          <w:tcPr>
            <w:tcW w:w="1863" w:type="dxa"/>
            <w:shd w:val="clear" w:color="auto" w:fill="auto"/>
            <w:vAlign w:val="center"/>
          </w:tcPr>
          <w:p>
            <w:pPr>
              <w:pStyle w:val="181"/>
            </w:pPr>
            <w:r>
              <w:t>L2C-M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vAlign w:val="center"/>
          </w:tcPr>
          <w:p>
            <w:pPr>
              <w:pStyle w:val="181"/>
            </w:pPr>
          </w:p>
        </w:tc>
        <w:tc>
          <w:tcPr>
            <w:tcW w:w="1385" w:type="dxa"/>
            <w:shd w:val="clear" w:color="auto" w:fill="auto"/>
            <w:vAlign w:val="center"/>
          </w:tcPr>
          <w:p>
            <w:pPr>
              <w:pStyle w:val="181"/>
            </w:pPr>
            <w:r>
              <w:t>6</w:t>
            </w:r>
          </w:p>
        </w:tc>
        <w:tc>
          <w:tcPr>
            <w:tcW w:w="1863" w:type="dxa"/>
            <w:shd w:val="clear" w:color="auto" w:fill="auto"/>
            <w:vAlign w:val="center"/>
          </w:tcPr>
          <w:p>
            <w:pPr>
              <w:pStyle w:val="181"/>
            </w:pPr>
            <w:r>
              <w:t>L2C-L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vAlign w:val="center"/>
          </w:tcPr>
          <w:p>
            <w:pPr>
              <w:pStyle w:val="181"/>
            </w:pPr>
          </w:p>
        </w:tc>
        <w:tc>
          <w:tcPr>
            <w:tcW w:w="1385" w:type="dxa"/>
            <w:shd w:val="clear" w:color="auto" w:fill="auto"/>
            <w:vAlign w:val="center"/>
          </w:tcPr>
          <w:p>
            <w:pPr>
              <w:pStyle w:val="181"/>
            </w:pPr>
            <w:r>
              <w:t>7</w:t>
            </w:r>
          </w:p>
        </w:tc>
        <w:tc>
          <w:tcPr>
            <w:tcW w:w="1863" w:type="dxa"/>
            <w:shd w:val="clear" w:color="auto" w:fill="auto"/>
            <w:vAlign w:val="center"/>
          </w:tcPr>
          <w:p>
            <w:pPr>
              <w:pStyle w:val="181"/>
            </w:pPr>
            <w:r>
              <w:t>L5-I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vAlign w:val="center"/>
          </w:tcPr>
          <w:p>
            <w:pPr>
              <w:pStyle w:val="181"/>
            </w:pPr>
          </w:p>
        </w:tc>
        <w:tc>
          <w:tcPr>
            <w:tcW w:w="1385" w:type="dxa"/>
            <w:shd w:val="clear" w:color="auto" w:fill="auto"/>
            <w:vAlign w:val="center"/>
          </w:tcPr>
          <w:p>
            <w:pPr>
              <w:pStyle w:val="181"/>
            </w:pPr>
            <w:r>
              <w:t>8</w:t>
            </w:r>
          </w:p>
        </w:tc>
        <w:tc>
          <w:tcPr>
            <w:tcW w:w="1863" w:type="dxa"/>
            <w:shd w:val="clear" w:color="auto" w:fill="auto"/>
            <w:vAlign w:val="center"/>
          </w:tcPr>
          <w:p>
            <w:pPr>
              <w:pStyle w:val="181"/>
            </w:pPr>
            <w:r>
              <w:t>L5-Q</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vAlign w:val="center"/>
          </w:tcPr>
          <w:p>
            <w:pPr>
              <w:pStyle w:val="181"/>
            </w:pPr>
          </w:p>
        </w:tc>
        <w:tc>
          <w:tcPr>
            <w:tcW w:w="1385" w:type="dxa"/>
            <w:shd w:val="clear" w:color="auto" w:fill="auto"/>
            <w:vAlign w:val="center"/>
          </w:tcPr>
          <w:p>
            <w:pPr>
              <w:pStyle w:val="181"/>
            </w:pPr>
            <w:r>
              <w:t>9 -F</w:t>
            </w:r>
          </w:p>
        </w:tc>
        <w:tc>
          <w:tcPr>
            <w:tcW w:w="1863" w:type="dxa"/>
            <w:shd w:val="clear" w:color="auto" w:fill="auto"/>
            <w:vAlign w:val="center"/>
          </w:tcPr>
          <w:p>
            <w:pPr>
              <w:pStyle w:val="181"/>
            </w:pPr>
            <w:r>
              <w:t>Reserved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restart"/>
            <w:shd w:val="clear" w:color="auto" w:fill="auto"/>
            <w:vAlign w:val="center"/>
          </w:tcPr>
          <w:p>
            <w:pPr>
              <w:pStyle w:val="181"/>
            </w:pPr>
            <w:r>
              <w:t>GLONASS</w:t>
            </w:r>
          </w:p>
        </w:tc>
        <w:tc>
          <w:tcPr>
            <w:tcW w:w="1559" w:type="dxa"/>
            <w:vMerge w:val="restart"/>
            <w:shd w:val="clear" w:color="auto" w:fill="auto"/>
            <w:vAlign w:val="center"/>
          </w:tcPr>
          <w:p>
            <w:pPr>
              <w:pStyle w:val="181"/>
            </w:pPr>
            <w:r>
              <w:t>2</w:t>
            </w:r>
          </w:p>
        </w:tc>
        <w:tc>
          <w:tcPr>
            <w:tcW w:w="2977" w:type="dxa"/>
            <w:vMerge w:val="restart"/>
            <w:shd w:val="clear" w:color="auto" w:fill="auto"/>
            <w:vAlign w:val="center"/>
          </w:tcPr>
          <w:p>
            <w:pPr>
              <w:pStyle w:val="181"/>
            </w:pPr>
            <w:r>
              <w:t>1-99</w:t>
            </w:r>
          </w:p>
          <w:p>
            <w:pPr>
              <w:pStyle w:val="181"/>
            </w:pPr>
            <w:r>
              <w:t>33-64</w:t>
            </w:r>
            <w:r>
              <w:rPr>
                <w:rFonts w:hint="eastAsia"/>
              </w:rPr>
              <w:t>：</w:t>
            </w:r>
            <w:r>
              <w:t>SBAS</w:t>
            </w:r>
          </w:p>
          <w:p>
            <w:pPr>
              <w:pStyle w:val="181"/>
            </w:pPr>
            <w:r>
              <w:t>65-99</w:t>
            </w:r>
            <w:r>
              <w:rPr>
                <w:rFonts w:hint="eastAsia"/>
              </w:rPr>
              <w:t>：</w:t>
            </w:r>
            <w:r>
              <w:t>GLONASS</w:t>
            </w:r>
          </w:p>
        </w:tc>
        <w:tc>
          <w:tcPr>
            <w:tcW w:w="1385" w:type="dxa"/>
            <w:shd w:val="clear" w:color="auto" w:fill="auto"/>
            <w:vAlign w:val="center"/>
          </w:tcPr>
          <w:p>
            <w:pPr>
              <w:pStyle w:val="181"/>
            </w:pPr>
            <w:r>
              <w:t>0</w:t>
            </w:r>
          </w:p>
        </w:tc>
        <w:tc>
          <w:tcPr>
            <w:tcW w:w="1863" w:type="dxa"/>
            <w:shd w:val="clear" w:color="auto" w:fill="auto"/>
            <w:vAlign w:val="center"/>
          </w:tcPr>
          <w:p>
            <w:pPr>
              <w:pStyle w:val="181"/>
            </w:pPr>
            <w:r>
              <w:t>All Signals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vAlign w:val="center"/>
          </w:tcPr>
          <w:p>
            <w:pPr>
              <w:pStyle w:val="181"/>
            </w:pPr>
          </w:p>
        </w:tc>
        <w:tc>
          <w:tcPr>
            <w:tcW w:w="1385" w:type="dxa"/>
            <w:shd w:val="clear" w:color="auto" w:fill="auto"/>
            <w:vAlign w:val="center"/>
          </w:tcPr>
          <w:p>
            <w:pPr>
              <w:pStyle w:val="181"/>
            </w:pPr>
            <w:r>
              <w:t>1</w:t>
            </w:r>
          </w:p>
        </w:tc>
        <w:tc>
          <w:tcPr>
            <w:tcW w:w="1863" w:type="dxa"/>
            <w:shd w:val="clear" w:color="auto" w:fill="auto"/>
            <w:vAlign w:val="center"/>
          </w:tcPr>
          <w:p>
            <w:pPr>
              <w:pStyle w:val="181"/>
            </w:pPr>
            <w:r>
              <w:t>G1 C/A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vAlign w:val="center"/>
          </w:tcPr>
          <w:p>
            <w:pPr>
              <w:pStyle w:val="181"/>
            </w:pPr>
          </w:p>
        </w:tc>
        <w:tc>
          <w:tcPr>
            <w:tcW w:w="1385" w:type="dxa"/>
            <w:shd w:val="clear" w:color="auto" w:fill="auto"/>
            <w:vAlign w:val="center"/>
          </w:tcPr>
          <w:p>
            <w:pPr>
              <w:pStyle w:val="181"/>
            </w:pPr>
            <w:r>
              <w:t>2</w:t>
            </w:r>
          </w:p>
        </w:tc>
        <w:tc>
          <w:tcPr>
            <w:tcW w:w="1863" w:type="dxa"/>
            <w:shd w:val="clear" w:color="auto" w:fill="auto"/>
            <w:vAlign w:val="center"/>
          </w:tcPr>
          <w:p>
            <w:pPr>
              <w:pStyle w:val="181"/>
            </w:pPr>
            <w:r>
              <w:t>G1 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vAlign w:val="center"/>
          </w:tcPr>
          <w:p>
            <w:pPr>
              <w:pStyle w:val="181"/>
            </w:pPr>
          </w:p>
        </w:tc>
        <w:tc>
          <w:tcPr>
            <w:tcW w:w="1385" w:type="dxa"/>
            <w:shd w:val="clear" w:color="auto" w:fill="auto"/>
            <w:vAlign w:val="center"/>
          </w:tcPr>
          <w:p>
            <w:pPr>
              <w:pStyle w:val="181"/>
            </w:pPr>
            <w:r>
              <w:t>3</w:t>
            </w:r>
          </w:p>
        </w:tc>
        <w:tc>
          <w:tcPr>
            <w:tcW w:w="1863" w:type="dxa"/>
            <w:shd w:val="clear" w:color="auto" w:fill="auto"/>
            <w:vAlign w:val="center"/>
          </w:tcPr>
          <w:p>
            <w:pPr>
              <w:pStyle w:val="181"/>
            </w:pPr>
            <w:r>
              <w:t>G2 C/A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vAlign w:val="center"/>
          </w:tcPr>
          <w:p>
            <w:pPr>
              <w:pStyle w:val="181"/>
            </w:pPr>
          </w:p>
        </w:tc>
        <w:tc>
          <w:tcPr>
            <w:tcW w:w="1385" w:type="dxa"/>
            <w:shd w:val="clear" w:color="auto" w:fill="auto"/>
            <w:vAlign w:val="center"/>
          </w:tcPr>
          <w:p>
            <w:pPr>
              <w:pStyle w:val="181"/>
            </w:pPr>
            <w:r>
              <w:t>4</w:t>
            </w:r>
          </w:p>
        </w:tc>
        <w:tc>
          <w:tcPr>
            <w:tcW w:w="1863" w:type="dxa"/>
            <w:shd w:val="clear" w:color="auto" w:fill="auto"/>
            <w:vAlign w:val="center"/>
          </w:tcPr>
          <w:p>
            <w:pPr>
              <w:pStyle w:val="181"/>
            </w:pPr>
            <w:r>
              <w:t>GLONASS (M) G2 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vAlign w:val="center"/>
          </w:tcPr>
          <w:p>
            <w:pPr>
              <w:pStyle w:val="181"/>
            </w:pPr>
          </w:p>
        </w:tc>
        <w:tc>
          <w:tcPr>
            <w:tcW w:w="1385" w:type="dxa"/>
            <w:shd w:val="clear" w:color="auto" w:fill="auto"/>
            <w:vAlign w:val="center"/>
          </w:tcPr>
          <w:p>
            <w:pPr>
              <w:pStyle w:val="181"/>
            </w:pPr>
            <w:r>
              <w:t>5-F</w:t>
            </w:r>
          </w:p>
        </w:tc>
        <w:tc>
          <w:tcPr>
            <w:tcW w:w="1863" w:type="dxa"/>
            <w:shd w:val="clear" w:color="auto" w:fill="auto"/>
            <w:vAlign w:val="center"/>
          </w:tcPr>
          <w:p>
            <w:pPr>
              <w:pStyle w:val="181"/>
            </w:pPr>
            <w:r>
              <w:t>Reserved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restart"/>
            <w:shd w:val="clear" w:color="auto" w:fill="auto"/>
            <w:vAlign w:val="center"/>
          </w:tcPr>
          <w:p>
            <w:pPr>
              <w:pStyle w:val="181"/>
            </w:pPr>
            <w:r>
              <w:t>GALILEO</w:t>
            </w:r>
          </w:p>
        </w:tc>
        <w:tc>
          <w:tcPr>
            <w:tcW w:w="1559" w:type="dxa"/>
            <w:vMerge w:val="restart"/>
            <w:shd w:val="clear" w:color="auto" w:fill="auto"/>
            <w:vAlign w:val="center"/>
          </w:tcPr>
          <w:p>
            <w:pPr>
              <w:pStyle w:val="181"/>
            </w:pPr>
            <w:r>
              <w:t>3</w:t>
            </w:r>
          </w:p>
        </w:tc>
        <w:tc>
          <w:tcPr>
            <w:tcW w:w="2977" w:type="dxa"/>
            <w:vMerge w:val="restart"/>
            <w:shd w:val="clear" w:color="auto" w:fill="auto"/>
            <w:vAlign w:val="center"/>
          </w:tcPr>
          <w:p>
            <w:pPr>
              <w:pStyle w:val="181"/>
            </w:pPr>
            <w:r>
              <w:t>1-99</w:t>
            </w:r>
          </w:p>
          <w:p>
            <w:pPr>
              <w:pStyle w:val="181"/>
            </w:pPr>
            <w:r>
              <w:t>1-36</w:t>
            </w:r>
            <w:r>
              <w:rPr>
                <w:rFonts w:hint="eastAsia"/>
              </w:rPr>
              <w:t>：</w:t>
            </w:r>
            <w:r>
              <w:t>Galileo</w:t>
            </w:r>
          </w:p>
          <w:p>
            <w:pPr>
              <w:pStyle w:val="181"/>
            </w:pPr>
            <w:r>
              <w:t>37-64</w:t>
            </w:r>
            <w:r>
              <w:rPr>
                <w:rFonts w:hint="eastAsia"/>
              </w:rPr>
              <w:t>：</w:t>
            </w:r>
            <w:r>
              <w:t>SBAS</w:t>
            </w:r>
          </w:p>
          <w:p>
            <w:pPr>
              <w:pStyle w:val="181"/>
            </w:pPr>
            <w:r>
              <w:t>65-99</w:t>
            </w:r>
            <w:r>
              <w:rPr>
                <w:rFonts w:hint="eastAsia"/>
              </w:rPr>
              <w:t>：未定义</w:t>
            </w:r>
          </w:p>
        </w:tc>
        <w:tc>
          <w:tcPr>
            <w:tcW w:w="1385" w:type="dxa"/>
            <w:shd w:val="clear" w:color="auto" w:fill="auto"/>
          </w:tcPr>
          <w:p>
            <w:pPr>
              <w:pStyle w:val="181"/>
            </w:pPr>
            <w:r>
              <w:t>0</w:t>
            </w:r>
          </w:p>
        </w:tc>
        <w:tc>
          <w:tcPr>
            <w:tcW w:w="1863" w:type="dxa"/>
            <w:shd w:val="clear" w:color="auto" w:fill="auto"/>
          </w:tcPr>
          <w:p>
            <w:pPr>
              <w:pStyle w:val="181"/>
            </w:pPr>
            <w:r>
              <w:t>All Signals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tcPr>
          <w:p>
            <w:pPr>
              <w:pStyle w:val="181"/>
            </w:pPr>
          </w:p>
        </w:tc>
        <w:tc>
          <w:tcPr>
            <w:tcW w:w="1385" w:type="dxa"/>
            <w:shd w:val="clear" w:color="auto" w:fill="auto"/>
          </w:tcPr>
          <w:p>
            <w:pPr>
              <w:pStyle w:val="181"/>
            </w:pPr>
            <w:r>
              <w:t>1</w:t>
            </w:r>
          </w:p>
        </w:tc>
        <w:tc>
          <w:tcPr>
            <w:tcW w:w="1863" w:type="dxa"/>
            <w:shd w:val="clear" w:color="auto" w:fill="auto"/>
          </w:tcPr>
          <w:p>
            <w:pPr>
              <w:pStyle w:val="181"/>
            </w:pPr>
            <w:r>
              <w:t>E5a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tcPr>
          <w:p>
            <w:pPr>
              <w:pStyle w:val="181"/>
            </w:pPr>
          </w:p>
        </w:tc>
        <w:tc>
          <w:tcPr>
            <w:tcW w:w="1385" w:type="dxa"/>
            <w:shd w:val="clear" w:color="auto" w:fill="auto"/>
          </w:tcPr>
          <w:p>
            <w:pPr>
              <w:pStyle w:val="181"/>
            </w:pPr>
            <w:r>
              <w:t>2</w:t>
            </w:r>
          </w:p>
        </w:tc>
        <w:tc>
          <w:tcPr>
            <w:tcW w:w="1863" w:type="dxa"/>
            <w:shd w:val="clear" w:color="auto" w:fill="auto"/>
          </w:tcPr>
          <w:p>
            <w:pPr>
              <w:pStyle w:val="181"/>
            </w:pPr>
            <w:r>
              <w:t>E5b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tcPr>
          <w:p>
            <w:pPr>
              <w:pStyle w:val="181"/>
            </w:pPr>
          </w:p>
        </w:tc>
        <w:tc>
          <w:tcPr>
            <w:tcW w:w="1385" w:type="dxa"/>
            <w:shd w:val="clear" w:color="auto" w:fill="auto"/>
          </w:tcPr>
          <w:p>
            <w:pPr>
              <w:pStyle w:val="181"/>
            </w:pPr>
            <w:r>
              <w:t>3</w:t>
            </w:r>
          </w:p>
        </w:tc>
        <w:tc>
          <w:tcPr>
            <w:tcW w:w="1863" w:type="dxa"/>
            <w:shd w:val="clear" w:color="auto" w:fill="auto"/>
          </w:tcPr>
          <w:p>
            <w:pPr>
              <w:pStyle w:val="181"/>
            </w:pPr>
            <w:r>
              <w:t>E5 a+b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tcPr>
          <w:p>
            <w:pPr>
              <w:pStyle w:val="181"/>
            </w:pPr>
          </w:p>
        </w:tc>
        <w:tc>
          <w:tcPr>
            <w:tcW w:w="1385" w:type="dxa"/>
            <w:shd w:val="clear" w:color="auto" w:fill="auto"/>
          </w:tcPr>
          <w:p>
            <w:pPr>
              <w:pStyle w:val="181"/>
            </w:pPr>
            <w:r>
              <w:t>4</w:t>
            </w:r>
          </w:p>
        </w:tc>
        <w:tc>
          <w:tcPr>
            <w:tcW w:w="1863" w:type="dxa"/>
            <w:shd w:val="clear" w:color="auto" w:fill="auto"/>
          </w:tcPr>
          <w:p>
            <w:pPr>
              <w:pStyle w:val="181"/>
            </w:pPr>
            <w:r>
              <w:t>E6-A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tcPr>
          <w:p>
            <w:pPr>
              <w:pStyle w:val="181"/>
            </w:pPr>
          </w:p>
        </w:tc>
        <w:tc>
          <w:tcPr>
            <w:tcW w:w="1385" w:type="dxa"/>
            <w:shd w:val="clear" w:color="auto" w:fill="auto"/>
          </w:tcPr>
          <w:p>
            <w:pPr>
              <w:pStyle w:val="181"/>
            </w:pPr>
            <w:r>
              <w:t>5</w:t>
            </w:r>
          </w:p>
        </w:tc>
        <w:tc>
          <w:tcPr>
            <w:tcW w:w="1863" w:type="dxa"/>
            <w:shd w:val="clear" w:color="auto" w:fill="auto"/>
          </w:tcPr>
          <w:p>
            <w:pPr>
              <w:pStyle w:val="181"/>
            </w:pPr>
            <w:r>
              <w:t>E6-BC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tcPr>
          <w:p>
            <w:pPr>
              <w:pStyle w:val="181"/>
            </w:pPr>
          </w:p>
        </w:tc>
        <w:tc>
          <w:tcPr>
            <w:tcW w:w="1385" w:type="dxa"/>
            <w:shd w:val="clear" w:color="auto" w:fill="auto"/>
          </w:tcPr>
          <w:p>
            <w:pPr>
              <w:pStyle w:val="181"/>
            </w:pPr>
            <w:r>
              <w:t>6</w:t>
            </w:r>
          </w:p>
        </w:tc>
        <w:tc>
          <w:tcPr>
            <w:tcW w:w="1863" w:type="dxa"/>
            <w:shd w:val="clear" w:color="auto" w:fill="auto"/>
          </w:tcPr>
          <w:p>
            <w:pPr>
              <w:pStyle w:val="181"/>
            </w:pPr>
            <w:r>
              <w:t>L1-A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tcPr>
          <w:p>
            <w:pPr>
              <w:pStyle w:val="181"/>
            </w:pPr>
          </w:p>
        </w:tc>
        <w:tc>
          <w:tcPr>
            <w:tcW w:w="1385" w:type="dxa"/>
            <w:shd w:val="clear" w:color="auto" w:fill="auto"/>
          </w:tcPr>
          <w:p>
            <w:pPr>
              <w:pStyle w:val="181"/>
            </w:pPr>
            <w:r>
              <w:t>7</w:t>
            </w:r>
          </w:p>
        </w:tc>
        <w:tc>
          <w:tcPr>
            <w:tcW w:w="1863" w:type="dxa"/>
            <w:shd w:val="clear" w:color="auto" w:fill="auto"/>
          </w:tcPr>
          <w:p>
            <w:pPr>
              <w:pStyle w:val="181"/>
            </w:pPr>
            <w:r>
              <w:t>L1-BC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tcPr>
          <w:p>
            <w:pPr>
              <w:pStyle w:val="181"/>
            </w:pPr>
          </w:p>
        </w:tc>
        <w:tc>
          <w:tcPr>
            <w:tcW w:w="1385" w:type="dxa"/>
            <w:shd w:val="clear" w:color="auto" w:fill="auto"/>
          </w:tcPr>
          <w:p>
            <w:pPr>
              <w:pStyle w:val="181"/>
            </w:pPr>
            <w:r>
              <w:t>8-F</w:t>
            </w:r>
          </w:p>
        </w:tc>
        <w:tc>
          <w:tcPr>
            <w:tcW w:w="1863" w:type="dxa"/>
            <w:shd w:val="clear" w:color="auto" w:fill="auto"/>
          </w:tcPr>
          <w:p>
            <w:pPr>
              <w:pStyle w:val="181"/>
            </w:pPr>
            <w:r>
              <w:t>Reserved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restart"/>
            <w:shd w:val="clear" w:color="auto" w:fill="auto"/>
            <w:vAlign w:val="center"/>
          </w:tcPr>
          <w:p>
            <w:pPr>
              <w:pStyle w:val="181"/>
            </w:pPr>
            <w:r>
              <w:t>BDS</w:t>
            </w:r>
          </w:p>
        </w:tc>
        <w:tc>
          <w:tcPr>
            <w:tcW w:w="1559" w:type="dxa"/>
            <w:vMerge w:val="restart"/>
            <w:shd w:val="clear" w:color="auto" w:fill="auto"/>
            <w:vAlign w:val="center"/>
          </w:tcPr>
          <w:p>
            <w:pPr>
              <w:pStyle w:val="181"/>
            </w:pPr>
            <w:r>
              <w:t>4</w:t>
            </w:r>
          </w:p>
        </w:tc>
        <w:tc>
          <w:tcPr>
            <w:tcW w:w="2977" w:type="dxa"/>
            <w:vMerge w:val="restart"/>
            <w:shd w:val="clear" w:color="auto" w:fill="auto"/>
            <w:vAlign w:val="center"/>
          </w:tcPr>
          <w:p>
            <w:pPr>
              <w:pStyle w:val="181"/>
            </w:pPr>
            <w:r>
              <w:rPr>
                <w:rFonts w:hint="eastAsia"/>
              </w:rPr>
              <w:t>1</w:t>
            </w:r>
            <w:r>
              <w:t>-99</w:t>
            </w:r>
          </w:p>
          <w:p>
            <w:pPr>
              <w:pStyle w:val="181"/>
            </w:pPr>
            <w:r>
              <w:t>1-64:BDS</w:t>
            </w:r>
          </w:p>
          <w:p>
            <w:pPr>
              <w:pStyle w:val="181"/>
            </w:pPr>
            <w:r>
              <w:t>65-99:</w:t>
            </w:r>
            <w:r>
              <w:rPr>
                <w:rFonts w:hint="eastAsia"/>
              </w:rPr>
              <w:t>未定义</w:t>
            </w:r>
          </w:p>
        </w:tc>
        <w:tc>
          <w:tcPr>
            <w:tcW w:w="1385" w:type="dxa"/>
            <w:shd w:val="clear" w:color="auto" w:fill="auto"/>
          </w:tcPr>
          <w:p>
            <w:pPr>
              <w:pStyle w:val="181"/>
            </w:pPr>
            <w:r>
              <w:t>0</w:t>
            </w:r>
          </w:p>
        </w:tc>
        <w:tc>
          <w:tcPr>
            <w:tcW w:w="1863" w:type="dxa"/>
            <w:shd w:val="clear" w:color="auto" w:fill="auto"/>
          </w:tcPr>
          <w:p>
            <w:pPr>
              <w:pStyle w:val="181"/>
            </w:pPr>
            <w:r>
              <w:t>All Signals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tcPr>
          <w:p>
            <w:pPr>
              <w:pStyle w:val="181"/>
            </w:pPr>
          </w:p>
        </w:tc>
        <w:tc>
          <w:tcPr>
            <w:tcW w:w="1385" w:type="dxa"/>
            <w:shd w:val="clear" w:color="auto" w:fill="auto"/>
          </w:tcPr>
          <w:p>
            <w:pPr>
              <w:pStyle w:val="181"/>
            </w:pPr>
            <w:r>
              <w:t>1</w:t>
            </w:r>
          </w:p>
        </w:tc>
        <w:tc>
          <w:tcPr>
            <w:tcW w:w="1863" w:type="dxa"/>
            <w:shd w:val="clear" w:color="auto" w:fill="auto"/>
          </w:tcPr>
          <w:p>
            <w:pPr>
              <w:pStyle w:val="181"/>
            </w:pPr>
            <w:r>
              <w:t>B1I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tcPr>
          <w:p>
            <w:pPr>
              <w:pStyle w:val="181"/>
            </w:pPr>
          </w:p>
        </w:tc>
        <w:tc>
          <w:tcPr>
            <w:tcW w:w="1385" w:type="dxa"/>
            <w:shd w:val="clear" w:color="auto" w:fill="auto"/>
          </w:tcPr>
          <w:p>
            <w:pPr>
              <w:pStyle w:val="181"/>
            </w:pPr>
            <w:r>
              <w:t>2</w:t>
            </w:r>
          </w:p>
        </w:tc>
        <w:tc>
          <w:tcPr>
            <w:tcW w:w="1863" w:type="dxa"/>
            <w:shd w:val="clear" w:color="auto" w:fill="auto"/>
          </w:tcPr>
          <w:p>
            <w:pPr>
              <w:pStyle w:val="181"/>
            </w:pPr>
            <w:r>
              <w:t>B1Q</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tcPr>
          <w:p>
            <w:pPr>
              <w:pStyle w:val="181"/>
            </w:pPr>
          </w:p>
        </w:tc>
        <w:tc>
          <w:tcPr>
            <w:tcW w:w="1385" w:type="dxa"/>
            <w:shd w:val="clear" w:color="auto" w:fill="auto"/>
          </w:tcPr>
          <w:p>
            <w:pPr>
              <w:pStyle w:val="181"/>
            </w:pPr>
            <w:r>
              <w:t>3</w:t>
            </w:r>
          </w:p>
        </w:tc>
        <w:tc>
          <w:tcPr>
            <w:tcW w:w="1863" w:type="dxa"/>
            <w:shd w:val="clear" w:color="auto" w:fill="auto"/>
          </w:tcPr>
          <w:p>
            <w:pPr>
              <w:pStyle w:val="181"/>
            </w:pPr>
            <w:r>
              <w:t>B1C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tcPr>
          <w:p>
            <w:pPr>
              <w:pStyle w:val="181"/>
            </w:pPr>
          </w:p>
        </w:tc>
        <w:tc>
          <w:tcPr>
            <w:tcW w:w="1385" w:type="dxa"/>
            <w:shd w:val="clear" w:color="auto" w:fill="auto"/>
          </w:tcPr>
          <w:p>
            <w:pPr>
              <w:pStyle w:val="181"/>
            </w:pPr>
            <w:r>
              <w:t>4</w:t>
            </w:r>
          </w:p>
        </w:tc>
        <w:tc>
          <w:tcPr>
            <w:tcW w:w="1863" w:type="dxa"/>
            <w:shd w:val="clear" w:color="auto" w:fill="auto"/>
          </w:tcPr>
          <w:p>
            <w:pPr>
              <w:pStyle w:val="181"/>
            </w:pPr>
            <w:r>
              <w:t>B1A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tcPr>
          <w:p>
            <w:pPr>
              <w:pStyle w:val="181"/>
            </w:pPr>
          </w:p>
        </w:tc>
        <w:tc>
          <w:tcPr>
            <w:tcW w:w="1385" w:type="dxa"/>
            <w:shd w:val="clear" w:color="auto" w:fill="auto"/>
          </w:tcPr>
          <w:p>
            <w:pPr>
              <w:pStyle w:val="181"/>
            </w:pPr>
            <w:r>
              <w:t>5</w:t>
            </w:r>
          </w:p>
        </w:tc>
        <w:tc>
          <w:tcPr>
            <w:tcW w:w="1863" w:type="dxa"/>
            <w:shd w:val="clear" w:color="auto" w:fill="auto"/>
          </w:tcPr>
          <w:p>
            <w:pPr>
              <w:pStyle w:val="181"/>
            </w:pPr>
            <w:r>
              <w:t>B2-a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tcPr>
          <w:p>
            <w:pPr>
              <w:pStyle w:val="181"/>
            </w:pPr>
          </w:p>
        </w:tc>
        <w:tc>
          <w:tcPr>
            <w:tcW w:w="1385" w:type="dxa"/>
            <w:shd w:val="clear" w:color="auto" w:fill="auto"/>
          </w:tcPr>
          <w:p>
            <w:pPr>
              <w:pStyle w:val="181"/>
            </w:pPr>
            <w:r>
              <w:t>6</w:t>
            </w:r>
          </w:p>
        </w:tc>
        <w:tc>
          <w:tcPr>
            <w:tcW w:w="1863" w:type="dxa"/>
            <w:shd w:val="clear" w:color="auto" w:fill="auto"/>
          </w:tcPr>
          <w:p>
            <w:pPr>
              <w:pStyle w:val="181"/>
            </w:pPr>
            <w:r>
              <w:t>B2-b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tcPr>
          <w:p>
            <w:pPr>
              <w:pStyle w:val="181"/>
            </w:pPr>
          </w:p>
        </w:tc>
        <w:tc>
          <w:tcPr>
            <w:tcW w:w="1385" w:type="dxa"/>
            <w:shd w:val="clear" w:color="auto" w:fill="auto"/>
          </w:tcPr>
          <w:p>
            <w:pPr>
              <w:pStyle w:val="181"/>
            </w:pPr>
            <w:r>
              <w:t>7</w:t>
            </w:r>
          </w:p>
        </w:tc>
        <w:tc>
          <w:tcPr>
            <w:tcW w:w="1863" w:type="dxa"/>
            <w:shd w:val="clear" w:color="auto" w:fill="auto"/>
          </w:tcPr>
          <w:p>
            <w:pPr>
              <w:pStyle w:val="181"/>
            </w:pPr>
            <w:r>
              <w:t>B2 a+b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tcPr>
          <w:p>
            <w:pPr>
              <w:pStyle w:val="181"/>
            </w:pPr>
          </w:p>
        </w:tc>
        <w:tc>
          <w:tcPr>
            <w:tcW w:w="1385" w:type="dxa"/>
            <w:shd w:val="clear" w:color="auto" w:fill="auto"/>
          </w:tcPr>
          <w:p>
            <w:pPr>
              <w:pStyle w:val="181"/>
            </w:pPr>
            <w:r>
              <w:t>8</w:t>
            </w:r>
          </w:p>
        </w:tc>
        <w:tc>
          <w:tcPr>
            <w:tcW w:w="1863" w:type="dxa"/>
            <w:shd w:val="clear" w:color="auto" w:fill="auto"/>
          </w:tcPr>
          <w:p>
            <w:pPr>
              <w:pStyle w:val="181"/>
            </w:pPr>
            <w:r>
              <w:t>B3I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tcPr>
          <w:p>
            <w:pPr>
              <w:pStyle w:val="181"/>
            </w:pPr>
          </w:p>
        </w:tc>
        <w:tc>
          <w:tcPr>
            <w:tcW w:w="1385" w:type="dxa"/>
            <w:shd w:val="clear" w:color="auto" w:fill="auto"/>
          </w:tcPr>
          <w:p>
            <w:pPr>
              <w:pStyle w:val="181"/>
            </w:pPr>
            <w:r>
              <w:t>9</w:t>
            </w:r>
          </w:p>
        </w:tc>
        <w:tc>
          <w:tcPr>
            <w:tcW w:w="1863" w:type="dxa"/>
            <w:shd w:val="clear" w:color="auto" w:fill="auto"/>
          </w:tcPr>
          <w:p>
            <w:pPr>
              <w:pStyle w:val="181"/>
            </w:pPr>
            <w:r>
              <w:t>B3Q</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tcPr>
          <w:p>
            <w:pPr>
              <w:pStyle w:val="181"/>
            </w:pPr>
          </w:p>
        </w:tc>
        <w:tc>
          <w:tcPr>
            <w:tcW w:w="1385" w:type="dxa"/>
            <w:shd w:val="clear" w:color="auto" w:fill="auto"/>
          </w:tcPr>
          <w:p>
            <w:pPr>
              <w:pStyle w:val="181"/>
            </w:pPr>
            <w:r>
              <w:t>A</w:t>
            </w:r>
          </w:p>
        </w:tc>
        <w:tc>
          <w:tcPr>
            <w:tcW w:w="1863" w:type="dxa"/>
            <w:shd w:val="clear" w:color="auto" w:fill="auto"/>
          </w:tcPr>
          <w:p>
            <w:pPr>
              <w:pStyle w:val="181"/>
            </w:pPr>
            <w:r>
              <w:t>B3A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tcPr>
          <w:p>
            <w:pPr>
              <w:pStyle w:val="181"/>
            </w:pPr>
          </w:p>
        </w:tc>
        <w:tc>
          <w:tcPr>
            <w:tcW w:w="1385" w:type="dxa"/>
            <w:shd w:val="clear" w:color="auto" w:fill="auto"/>
          </w:tcPr>
          <w:p>
            <w:pPr>
              <w:pStyle w:val="181"/>
            </w:pPr>
            <w:r>
              <w:t>B</w:t>
            </w:r>
          </w:p>
        </w:tc>
        <w:tc>
          <w:tcPr>
            <w:tcW w:w="1863" w:type="dxa"/>
            <w:shd w:val="clear" w:color="auto" w:fill="auto"/>
          </w:tcPr>
          <w:p>
            <w:pPr>
              <w:pStyle w:val="181"/>
            </w:pPr>
            <w:r>
              <w:t>B2I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tcPr>
          <w:p>
            <w:pPr>
              <w:pStyle w:val="181"/>
            </w:pPr>
          </w:p>
        </w:tc>
        <w:tc>
          <w:tcPr>
            <w:tcW w:w="1385" w:type="dxa"/>
            <w:shd w:val="clear" w:color="auto" w:fill="auto"/>
          </w:tcPr>
          <w:p>
            <w:pPr>
              <w:pStyle w:val="181"/>
            </w:pPr>
            <w:r>
              <w:t>C</w:t>
            </w:r>
          </w:p>
        </w:tc>
        <w:tc>
          <w:tcPr>
            <w:tcW w:w="1863" w:type="dxa"/>
            <w:shd w:val="clear" w:color="auto" w:fill="auto"/>
          </w:tcPr>
          <w:p>
            <w:pPr>
              <w:pStyle w:val="181"/>
            </w:pPr>
            <w:r>
              <w:t>B2Q</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tcPr>
          <w:p>
            <w:pPr>
              <w:pStyle w:val="181"/>
            </w:pPr>
          </w:p>
        </w:tc>
        <w:tc>
          <w:tcPr>
            <w:tcW w:w="1385" w:type="dxa"/>
            <w:shd w:val="clear" w:color="auto" w:fill="auto"/>
          </w:tcPr>
          <w:p>
            <w:pPr>
              <w:pStyle w:val="181"/>
            </w:pPr>
            <w:r>
              <w:t>D-F</w:t>
            </w:r>
          </w:p>
        </w:tc>
        <w:tc>
          <w:tcPr>
            <w:tcW w:w="1863" w:type="dxa"/>
            <w:shd w:val="clear" w:color="auto" w:fill="auto"/>
          </w:tcPr>
          <w:p>
            <w:pPr>
              <w:pStyle w:val="181"/>
            </w:pPr>
            <w:r>
              <w:t>Reserved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restart"/>
            <w:shd w:val="clear" w:color="auto" w:fill="auto"/>
            <w:vAlign w:val="center"/>
          </w:tcPr>
          <w:p>
            <w:pPr>
              <w:pStyle w:val="181"/>
            </w:pPr>
            <w:r>
              <w:t>QZSS</w:t>
            </w:r>
          </w:p>
        </w:tc>
        <w:tc>
          <w:tcPr>
            <w:tcW w:w="1559" w:type="dxa"/>
            <w:vMerge w:val="restart"/>
            <w:shd w:val="clear" w:color="auto" w:fill="auto"/>
            <w:vAlign w:val="center"/>
          </w:tcPr>
          <w:p>
            <w:pPr>
              <w:pStyle w:val="181"/>
            </w:pPr>
            <w:r>
              <w:t>5</w:t>
            </w:r>
          </w:p>
        </w:tc>
        <w:tc>
          <w:tcPr>
            <w:tcW w:w="2977" w:type="dxa"/>
            <w:vMerge w:val="restart"/>
            <w:shd w:val="clear" w:color="auto" w:fill="auto"/>
            <w:vAlign w:val="center"/>
          </w:tcPr>
          <w:p>
            <w:pPr>
              <w:pStyle w:val="181"/>
            </w:pPr>
            <w:r>
              <w:t>1-99</w:t>
            </w:r>
          </w:p>
          <w:p>
            <w:pPr>
              <w:pStyle w:val="181"/>
            </w:pPr>
            <w:r>
              <w:t>1-10</w:t>
            </w:r>
            <w:r>
              <w:rPr>
                <w:rFonts w:hint="eastAsia"/>
              </w:rPr>
              <w:t>：</w:t>
            </w:r>
            <w:r>
              <w:t>QZSS</w:t>
            </w:r>
          </w:p>
          <w:p>
            <w:pPr>
              <w:pStyle w:val="181"/>
            </w:pPr>
            <w:r>
              <w:t>55-63</w:t>
            </w:r>
            <w:r>
              <w:rPr>
                <w:rFonts w:hint="eastAsia"/>
              </w:rPr>
              <w:t>：</w:t>
            </w:r>
            <w:r>
              <w:t>QZSS SBAS</w:t>
            </w:r>
          </w:p>
          <w:p>
            <w:pPr>
              <w:pStyle w:val="181"/>
            </w:pPr>
            <w:r>
              <w:t>64-99</w:t>
            </w:r>
            <w:r>
              <w:rPr>
                <w:rFonts w:hint="eastAsia"/>
              </w:rPr>
              <w:t>：未定义</w:t>
            </w:r>
          </w:p>
        </w:tc>
        <w:tc>
          <w:tcPr>
            <w:tcW w:w="1385" w:type="dxa"/>
            <w:shd w:val="clear" w:color="auto" w:fill="auto"/>
          </w:tcPr>
          <w:p>
            <w:pPr>
              <w:pStyle w:val="181"/>
            </w:pPr>
            <w:r>
              <w:t>0</w:t>
            </w:r>
          </w:p>
        </w:tc>
        <w:tc>
          <w:tcPr>
            <w:tcW w:w="1863" w:type="dxa"/>
            <w:shd w:val="clear" w:color="auto" w:fill="auto"/>
          </w:tcPr>
          <w:p>
            <w:pPr>
              <w:pStyle w:val="181"/>
            </w:pPr>
            <w:r>
              <w:t>All Signals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tcPr>
          <w:p>
            <w:pPr>
              <w:pStyle w:val="181"/>
            </w:pPr>
          </w:p>
        </w:tc>
        <w:tc>
          <w:tcPr>
            <w:tcW w:w="1385" w:type="dxa"/>
            <w:shd w:val="clear" w:color="auto" w:fill="auto"/>
          </w:tcPr>
          <w:p>
            <w:pPr>
              <w:pStyle w:val="181"/>
            </w:pPr>
            <w:r>
              <w:t>1</w:t>
            </w:r>
          </w:p>
        </w:tc>
        <w:tc>
          <w:tcPr>
            <w:tcW w:w="1863" w:type="dxa"/>
            <w:shd w:val="clear" w:color="auto" w:fill="auto"/>
          </w:tcPr>
          <w:p>
            <w:pPr>
              <w:pStyle w:val="181"/>
            </w:pPr>
            <w:r>
              <w:t>L1 C/A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tcPr>
          <w:p>
            <w:pPr>
              <w:pStyle w:val="181"/>
            </w:pPr>
          </w:p>
        </w:tc>
        <w:tc>
          <w:tcPr>
            <w:tcW w:w="1385" w:type="dxa"/>
            <w:shd w:val="clear" w:color="auto" w:fill="auto"/>
          </w:tcPr>
          <w:p>
            <w:pPr>
              <w:pStyle w:val="181"/>
            </w:pPr>
            <w:r>
              <w:t>2</w:t>
            </w:r>
          </w:p>
        </w:tc>
        <w:tc>
          <w:tcPr>
            <w:tcW w:w="1863" w:type="dxa"/>
            <w:shd w:val="clear" w:color="auto" w:fill="auto"/>
          </w:tcPr>
          <w:p>
            <w:pPr>
              <w:pStyle w:val="181"/>
            </w:pPr>
            <w:r>
              <w:t>L1C (D)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tcPr>
          <w:p>
            <w:pPr>
              <w:pStyle w:val="181"/>
            </w:pPr>
          </w:p>
        </w:tc>
        <w:tc>
          <w:tcPr>
            <w:tcW w:w="1385" w:type="dxa"/>
            <w:shd w:val="clear" w:color="auto" w:fill="auto"/>
          </w:tcPr>
          <w:p>
            <w:pPr>
              <w:pStyle w:val="181"/>
            </w:pPr>
            <w:r>
              <w:t>3</w:t>
            </w:r>
          </w:p>
        </w:tc>
        <w:tc>
          <w:tcPr>
            <w:tcW w:w="1863" w:type="dxa"/>
            <w:shd w:val="clear" w:color="auto" w:fill="auto"/>
          </w:tcPr>
          <w:p>
            <w:pPr>
              <w:pStyle w:val="181"/>
            </w:pPr>
            <w:r>
              <w:t>L1C (P)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tcPr>
          <w:p>
            <w:pPr>
              <w:pStyle w:val="181"/>
            </w:pPr>
          </w:p>
        </w:tc>
        <w:tc>
          <w:tcPr>
            <w:tcW w:w="1385" w:type="dxa"/>
            <w:shd w:val="clear" w:color="auto" w:fill="auto"/>
          </w:tcPr>
          <w:p>
            <w:pPr>
              <w:pStyle w:val="181"/>
            </w:pPr>
            <w:r>
              <w:t>4</w:t>
            </w:r>
          </w:p>
        </w:tc>
        <w:tc>
          <w:tcPr>
            <w:tcW w:w="1863" w:type="dxa"/>
            <w:shd w:val="clear" w:color="auto" w:fill="auto"/>
          </w:tcPr>
          <w:p>
            <w:pPr>
              <w:pStyle w:val="181"/>
            </w:pPr>
            <w:r>
              <w:t>LIS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tcPr>
          <w:p>
            <w:pPr>
              <w:pStyle w:val="181"/>
            </w:pPr>
          </w:p>
        </w:tc>
        <w:tc>
          <w:tcPr>
            <w:tcW w:w="1385" w:type="dxa"/>
            <w:shd w:val="clear" w:color="auto" w:fill="auto"/>
          </w:tcPr>
          <w:p>
            <w:pPr>
              <w:pStyle w:val="181"/>
            </w:pPr>
            <w:r>
              <w:t>5</w:t>
            </w:r>
          </w:p>
        </w:tc>
        <w:tc>
          <w:tcPr>
            <w:tcW w:w="1863" w:type="dxa"/>
            <w:shd w:val="clear" w:color="auto" w:fill="auto"/>
          </w:tcPr>
          <w:p>
            <w:pPr>
              <w:pStyle w:val="181"/>
            </w:pPr>
            <w:r>
              <w:t>L2C-M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tcPr>
          <w:p>
            <w:pPr>
              <w:pStyle w:val="181"/>
            </w:pPr>
          </w:p>
        </w:tc>
        <w:tc>
          <w:tcPr>
            <w:tcW w:w="1385" w:type="dxa"/>
            <w:shd w:val="clear" w:color="auto" w:fill="auto"/>
          </w:tcPr>
          <w:p>
            <w:pPr>
              <w:pStyle w:val="181"/>
            </w:pPr>
            <w:r>
              <w:t>6</w:t>
            </w:r>
          </w:p>
        </w:tc>
        <w:tc>
          <w:tcPr>
            <w:tcW w:w="1863" w:type="dxa"/>
            <w:shd w:val="clear" w:color="auto" w:fill="auto"/>
          </w:tcPr>
          <w:p>
            <w:pPr>
              <w:pStyle w:val="181"/>
            </w:pPr>
            <w:r>
              <w:t>L2C-L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tcPr>
          <w:p>
            <w:pPr>
              <w:pStyle w:val="181"/>
            </w:pPr>
          </w:p>
        </w:tc>
        <w:tc>
          <w:tcPr>
            <w:tcW w:w="1385" w:type="dxa"/>
            <w:shd w:val="clear" w:color="auto" w:fill="auto"/>
          </w:tcPr>
          <w:p>
            <w:pPr>
              <w:pStyle w:val="181"/>
            </w:pPr>
            <w:r>
              <w:t>7</w:t>
            </w:r>
          </w:p>
        </w:tc>
        <w:tc>
          <w:tcPr>
            <w:tcW w:w="1863" w:type="dxa"/>
            <w:shd w:val="clear" w:color="auto" w:fill="auto"/>
          </w:tcPr>
          <w:p>
            <w:pPr>
              <w:pStyle w:val="181"/>
            </w:pPr>
            <w:r>
              <w:t>L5-I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tcPr>
          <w:p>
            <w:pPr>
              <w:pStyle w:val="181"/>
            </w:pPr>
          </w:p>
        </w:tc>
        <w:tc>
          <w:tcPr>
            <w:tcW w:w="1385" w:type="dxa"/>
            <w:shd w:val="clear" w:color="auto" w:fill="auto"/>
          </w:tcPr>
          <w:p>
            <w:pPr>
              <w:pStyle w:val="181"/>
            </w:pPr>
            <w:r>
              <w:t>8</w:t>
            </w:r>
          </w:p>
        </w:tc>
        <w:tc>
          <w:tcPr>
            <w:tcW w:w="1863" w:type="dxa"/>
            <w:shd w:val="clear" w:color="auto" w:fill="auto"/>
          </w:tcPr>
          <w:p>
            <w:pPr>
              <w:pStyle w:val="181"/>
            </w:pPr>
            <w:r>
              <w:t>L5-Q</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tcPr>
          <w:p>
            <w:pPr>
              <w:pStyle w:val="181"/>
            </w:pPr>
          </w:p>
        </w:tc>
        <w:tc>
          <w:tcPr>
            <w:tcW w:w="1385" w:type="dxa"/>
            <w:shd w:val="clear" w:color="auto" w:fill="auto"/>
          </w:tcPr>
          <w:p>
            <w:pPr>
              <w:pStyle w:val="181"/>
            </w:pPr>
            <w:r>
              <w:t>9</w:t>
            </w:r>
          </w:p>
        </w:tc>
        <w:tc>
          <w:tcPr>
            <w:tcW w:w="1863" w:type="dxa"/>
            <w:shd w:val="clear" w:color="auto" w:fill="auto"/>
          </w:tcPr>
          <w:p>
            <w:pPr>
              <w:pStyle w:val="181"/>
            </w:pPr>
            <w:r>
              <w:t>L6D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tcPr>
          <w:p>
            <w:pPr>
              <w:pStyle w:val="181"/>
            </w:pPr>
          </w:p>
        </w:tc>
        <w:tc>
          <w:tcPr>
            <w:tcW w:w="1385" w:type="dxa"/>
            <w:shd w:val="clear" w:color="auto" w:fill="auto"/>
          </w:tcPr>
          <w:p>
            <w:pPr>
              <w:pStyle w:val="181"/>
            </w:pPr>
            <w:r>
              <w:t>A</w:t>
            </w:r>
          </w:p>
        </w:tc>
        <w:tc>
          <w:tcPr>
            <w:tcW w:w="1863" w:type="dxa"/>
            <w:shd w:val="clear" w:color="auto" w:fill="auto"/>
          </w:tcPr>
          <w:p>
            <w:pPr>
              <w:pStyle w:val="181"/>
            </w:pPr>
            <w:r>
              <w:t>L6E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tcPr>
          <w:p>
            <w:pPr>
              <w:pStyle w:val="181"/>
            </w:pPr>
          </w:p>
        </w:tc>
        <w:tc>
          <w:tcPr>
            <w:tcW w:w="1385" w:type="dxa"/>
            <w:shd w:val="clear" w:color="auto" w:fill="auto"/>
          </w:tcPr>
          <w:p>
            <w:pPr>
              <w:pStyle w:val="181"/>
            </w:pPr>
            <w:r>
              <w:t>B-F</w:t>
            </w:r>
          </w:p>
        </w:tc>
        <w:tc>
          <w:tcPr>
            <w:tcW w:w="1863" w:type="dxa"/>
            <w:shd w:val="clear" w:color="auto" w:fill="auto"/>
          </w:tcPr>
          <w:p>
            <w:pPr>
              <w:pStyle w:val="181"/>
            </w:pPr>
            <w:r>
              <w:t>Reserved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restart"/>
            <w:shd w:val="clear" w:color="auto" w:fill="auto"/>
            <w:vAlign w:val="center"/>
          </w:tcPr>
          <w:p>
            <w:pPr>
              <w:pStyle w:val="181"/>
            </w:pPr>
            <w:r>
              <w:t>NavIC(IRNSS)</w:t>
            </w:r>
          </w:p>
        </w:tc>
        <w:tc>
          <w:tcPr>
            <w:tcW w:w="1559" w:type="dxa"/>
            <w:vMerge w:val="restart"/>
            <w:shd w:val="clear" w:color="auto" w:fill="auto"/>
            <w:vAlign w:val="center"/>
          </w:tcPr>
          <w:p>
            <w:pPr>
              <w:pStyle w:val="181"/>
            </w:pPr>
            <w:r>
              <w:t>6</w:t>
            </w:r>
          </w:p>
        </w:tc>
        <w:tc>
          <w:tcPr>
            <w:tcW w:w="2977" w:type="dxa"/>
            <w:vMerge w:val="restart"/>
            <w:shd w:val="clear" w:color="auto" w:fill="auto"/>
            <w:vAlign w:val="center"/>
          </w:tcPr>
          <w:p>
            <w:pPr>
              <w:pStyle w:val="181"/>
            </w:pPr>
            <w:r>
              <w:t>1-99</w:t>
            </w:r>
          </w:p>
          <w:p>
            <w:pPr>
              <w:pStyle w:val="181"/>
            </w:pPr>
            <w:r>
              <w:t>1-15</w:t>
            </w:r>
            <w:r>
              <w:rPr>
                <w:rFonts w:hint="eastAsia"/>
              </w:rPr>
              <w:t>：</w:t>
            </w:r>
            <w:r>
              <w:t>NavIC(IRNSS)</w:t>
            </w:r>
          </w:p>
          <w:p>
            <w:pPr>
              <w:pStyle w:val="181"/>
            </w:pPr>
            <w:r>
              <w:t>16-31</w:t>
            </w:r>
            <w:r>
              <w:rPr>
                <w:rFonts w:hint="eastAsia"/>
              </w:rPr>
              <w:t>：未定义</w:t>
            </w:r>
          </w:p>
          <w:p>
            <w:pPr>
              <w:pStyle w:val="181"/>
            </w:pPr>
            <w:r>
              <w:t>33-64</w:t>
            </w:r>
            <w:r>
              <w:rPr>
                <w:rFonts w:hint="eastAsia"/>
              </w:rPr>
              <w:t>：</w:t>
            </w:r>
            <w:r>
              <w:t>SBAS</w:t>
            </w:r>
          </w:p>
          <w:p>
            <w:pPr>
              <w:pStyle w:val="181"/>
            </w:pPr>
            <w:r>
              <w:t>65-99</w:t>
            </w:r>
            <w:r>
              <w:rPr>
                <w:rFonts w:hint="eastAsia"/>
              </w:rPr>
              <w:t>：未定义</w:t>
            </w:r>
          </w:p>
        </w:tc>
        <w:tc>
          <w:tcPr>
            <w:tcW w:w="1385" w:type="dxa"/>
            <w:shd w:val="clear" w:color="auto" w:fill="auto"/>
          </w:tcPr>
          <w:p>
            <w:pPr>
              <w:pStyle w:val="181"/>
            </w:pPr>
            <w:r>
              <w:t>0</w:t>
            </w:r>
          </w:p>
        </w:tc>
        <w:tc>
          <w:tcPr>
            <w:tcW w:w="1863" w:type="dxa"/>
            <w:shd w:val="clear" w:color="auto" w:fill="auto"/>
          </w:tcPr>
          <w:p>
            <w:pPr>
              <w:pStyle w:val="181"/>
            </w:pPr>
            <w:r>
              <w:t>All Signals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tcPr>
          <w:p>
            <w:pPr>
              <w:pStyle w:val="181"/>
            </w:pPr>
          </w:p>
        </w:tc>
        <w:tc>
          <w:tcPr>
            <w:tcW w:w="1385" w:type="dxa"/>
            <w:shd w:val="clear" w:color="auto" w:fill="auto"/>
          </w:tcPr>
          <w:p>
            <w:pPr>
              <w:pStyle w:val="181"/>
            </w:pPr>
            <w:r>
              <w:t>1</w:t>
            </w:r>
          </w:p>
        </w:tc>
        <w:tc>
          <w:tcPr>
            <w:tcW w:w="1863" w:type="dxa"/>
            <w:shd w:val="clear" w:color="auto" w:fill="auto"/>
          </w:tcPr>
          <w:p>
            <w:pPr>
              <w:pStyle w:val="181"/>
            </w:pPr>
            <w:r>
              <w:t>L5-SPS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tcPr>
          <w:p>
            <w:pPr>
              <w:pStyle w:val="181"/>
            </w:pPr>
          </w:p>
        </w:tc>
        <w:tc>
          <w:tcPr>
            <w:tcW w:w="1385" w:type="dxa"/>
            <w:shd w:val="clear" w:color="auto" w:fill="auto"/>
          </w:tcPr>
          <w:p>
            <w:pPr>
              <w:pStyle w:val="181"/>
            </w:pPr>
            <w:r>
              <w:t>2</w:t>
            </w:r>
          </w:p>
        </w:tc>
        <w:tc>
          <w:tcPr>
            <w:tcW w:w="1863" w:type="dxa"/>
            <w:shd w:val="clear" w:color="auto" w:fill="auto"/>
          </w:tcPr>
          <w:p>
            <w:pPr>
              <w:pStyle w:val="181"/>
            </w:pPr>
            <w:r>
              <w:t>S-SPS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tcPr>
          <w:p>
            <w:pPr>
              <w:pStyle w:val="181"/>
            </w:pPr>
          </w:p>
        </w:tc>
        <w:tc>
          <w:tcPr>
            <w:tcW w:w="1385" w:type="dxa"/>
            <w:shd w:val="clear" w:color="auto" w:fill="auto"/>
          </w:tcPr>
          <w:p>
            <w:pPr>
              <w:pStyle w:val="181"/>
            </w:pPr>
            <w:r>
              <w:t>3</w:t>
            </w:r>
          </w:p>
        </w:tc>
        <w:tc>
          <w:tcPr>
            <w:tcW w:w="1863" w:type="dxa"/>
            <w:shd w:val="clear" w:color="auto" w:fill="auto"/>
          </w:tcPr>
          <w:p>
            <w:pPr>
              <w:pStyle w:val="181"/>
            </w:pPr>
            <w:r>
              <w:t>L5-RS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tcPr>
          <w:p>
            <w:pPr>
              <w:pStyle w:val="181"/>
            </w:pPr>
          </w:p>
        </w:tc>
        <w:tc>
          <w:tcPr>
            <w:tcW w:w="1385" w:type="dxa"/>
            <w:shd w:val="clear" w:color="auto" w:fill="auto"/>
          </w:tcPr>
          <w:p>
            <w:pPr>
              <w:pStyle w:val="181"/>
            </w:pPr>
            <w:r>
              <w:t>4</w:t>
            </w:r>
          </w:p>
        </w:tc>
        <w:tc>
          <w:tcPr>
            <w:tcW w:w="1863" w:type="dxa"/>
            <w:shd w:val="clear" w:color="auto" w:fill="auto"/>
          </w:tcPr>
          <w:p>
            <w:pPr>
              <w:pStyle w:val="181"/>
            </w:pPr>
            <w:r>
              <w:t>S-RS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tcPr>
          <w:p>
            <w:pPr>
              <w:pStyle w:val="181"/>
            </w:pPr>
          </w:p>
        </w:tc>
        <w:tc>
          <w:tcPr>
            <w:tcW w:w="1385" w:type="dxa"/>
            <w:shd w:val="clear" w:color="auto" w:fill="auto"/>
          </w:tcPr>
          <w:p>
            <w:pPr>
              <w:pStyle w:val="181"/>
            </w:pPr>
            <w:r>
              <w:t>5</w:t>
            </w:r>
          </w:p>
        </w:tc>
        <w:tc>
          <w:tcPr>
            <w:tcW w:w="1863" w:type="dxa"/>
            <w:shd w:val="clear" w:color="auto" w:fill="auto"/>
          </w:tcPr>
          <w:p>
            <w:pPr>
              <w:pStyle w:val="181"/>
            </w:pPr>
            <w:r>
              <w:t>L1-SPS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559" w:type="dxa"/>
            <w:vMerge w:val="continue"/>
            <w:shd w:val="clear" w:color="auto" w:fill="auto"/>
            <w:vAlign w:val="center"/>
          </w:tcPr>
          <w:p>
            <w:pPr>
              <w:pStyle w:val="181"/>
            </w:pPr>
          </w:p>
        </w:tc>
        <w:tc>
          <w:tcPr>
            <w:tcW w:w="2977" w:type="dxa"/>
            <w:vMerge w:val="continue"/>
            <w:shd w:val="clear" w:color="auto" w:fill="auto"/>
          </w:tcPr>
          <w:p>
            <w:pPr>
              <w:pStyle w:val="181"/>
            </w:pPr>
          </w:p>
        </w:tc>
        <w:tc>
          <w:tcPr>
            <w:tcW w:w="1385" w:type="dxa"/>
            <w:shd w:val="clear" w:color="auto" w:fill="auto"/>
          </w:tcPr>
          <w:p>
            <w:pPr>
              <w:pStyle w:val="181"/>
            </w:pPr>
            <w:r>
              <w:t>6-F</w:t>
            </w:r>
          </w:p>
        </w:tc>
        <w:tc>
          <w:tcPr>
            <w:tcW w:w="1863" w:type="dxa"/>
            <w:shd w:val="clear" w:color="auto" w:fill="auto"/>
          </w:tcPr>
          <w:p>
            <w:pPr>
              <w:pStyle w:val="181"/>
            </w:pPr>
            <w:r>
              <w:t>Reserved</w:t>
            </w:r>
          </w:p>
        </w:tc>
      </w:tr>
    </w:tbl>
    <w:p>
      <w:pPr>
        <w:pStyle w:val="236"/>
        <w:keepNext w:val="0"/>
        <w:keepLines w:val="0"/>
        <w:pageBreakBefore w:val="0"/>
        <w:widowControl/>
        <w:numPr>
          <w:ilvl w:val="1"/>
          <w:numId w:val="34"/>
        </w:numPr>
        <w:kinsoku/>
        <w:wordWrap w:val="0"/>
        <w:overflowPunct w:val="0"/>
        <w:topLinePunct w:val="0"/>
        <w:autoSpaceDE/>
        <w:autoSpaceDN w:val="0"/>
        <w:bidi w:val="0"/>
        <w:adjustRightInd/>
        <w:snapToGrid/>
        <w:spacing w:before="157" w:beforeLines="50" w:after="157" w:afterLines="50"/>
        <w:textAlignment w:val="auto"/>
      </w:pPr>
      <w:r>
        <w:t>GSA</w:t>
      </w:r>
      <w:r>
        <w:rPr>
          <w:rFonts w:hint="eastAsia"/>
        </w:rPr>
        <w:t>语句格式</w:t>
      </w:r>
    </w:p>
    <w:p>
      <w:pPr>
        <w:pStyle w:val="232"/>
      </w:pPr>
      <w:r>
        <w:rPr>
          <w:rFonts w:hint="eastAsia"/>
        </w:rPr>
        <w:t>G</w:t>
      </w:r>
      <w:r>
        <w:t>SA</w:t>
      </w:r>
      <w:r>
        <w:rPr>
          <w:rFonts w:hint="eastAsia"/>
        </w:rPr>
        <w:t>语句格式为：</w:t>
      </w:r>
    </w:p>
    <w:p>
      <w:pPr>
        <w:pStyle w:val="232"/>
      </w:pPr>
      <w:r>
        <w:t>$--GSA,a,b,xx,xx,xx,xx,xx,xx,xx,xx,xx,xx,xx,xx,c.c,d.d,e.e,m*hh&lt;CR&gt;&lt;LF&gt;</w:t>
      </w:r>
      <w:r>
        <w:rPr>
          <w:rFonts w:hint="eastAsia"/>
        </w:rPr>
        <w:t>，其含义如表</w:t>
      </w:r>
      <w:r>
        <w:t>A</w:t>
      </w:r>
      <w:r>
        <w:rPr>
          <w:rFonts w:hint="eastAsia"/>
        </w:rPr>
        <w:t>.</w:t>
      </w:r>
      <w:r>
        <w:t>8</w:t>
      </w:r>
      <w:r>
        <w:rPr>
          <w:rFonts w:hint="eastAsia"/>
        </w:rPr>
        <w:t>所示。</w:t>
      </w:r>
    </w:p>
    <w:p>
      <w:pPr>
        <w:pStyle w:val="80"/>
        <w:spacing w:before="156" w:after="156"/>
      </w:pPr>
      <w:r>
        <w:rPr>
          <w:rFonts w:hint="eastAsia"/>
        </w:rPr>
        <w:t>G</w:t>
      </w:r>
      <w:r>
        <w:t>SA</w:t>
      </w:r>
      <w:r>
        <w:rPr>
          <w:rFonts w:hint="eastAsia"/>
        </w:rPr>
        <w:t>语句含义</w:t>
      </w:r>
    </w:p>
    <w:tbl>
      <w:tblPr>
        <w:tblStyle w:val="36"/>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667"/>
        <w:gridCol w:w="4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4667" w:type="dxa"/>
            <w:tcBorders>
              <w:top w:val="single" w:color="auto" w:sz="8" w:space="0"/>
              <w:bottom w:val="single" w:color="auto" w:sz="8" w:space="0"/>
            </w:tcBorders>
            <w:shd w:val="clear" w:color="auto" w:fill="auto"/>
            <w:vAlign w:val="center"/>
          </w:tcPr>
          <w:p>
            <w:pPr>
              <w:pStyle w:val="181"/>
            </w:pPr>
            <w:r>
              <w:rPr>
                <w:rFonts w:hint="eastAsia"/>
              </w:rPr>
              <w:t>字段</w:t>
            </w:r>
          </w:p>
        </w:tc>
        <w:tc>
          <w:tcPr>
            <w:tcW w:w="4667" w:type="dxa"/>
            <w:tcBorders>
              <w:top w:val="single" w:color="auto" w:sz="8" w:space="0"/>
              <w:bottom w:val="single" w:color="auto" w:sz="8" w:space="0"/>
            </w:tcBorders>
            <w:shd w:val="clear" w:color="auto" w:fill="auto"/>
            <w:vAlign w:val="center"/>
          </w:tcPr>
          <w:p>
            <w:pPr>
              <w:pStyle w:val="181"/>
            </w:pPr>
            <w:r>
              <w:rPr>
                <w:rFonts w:hint="eastAsia"/>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tcBorders>
              <w:top w:val="single" w:color="auto" w:sz="8" w:space="0"/>
            </w:tcBorders>
            <w:shd w:val="clear" w:color="auto" w:fill="auto"/>
            <w:vAlign w:val="center"/>
          </w:tcPr>
          <w:p>
            <w:pPr>
              <w:pStyle w:val="181"/>
            </w:pPr>
            <w:r>
              <w:rPr>
                <w:rFonts w:hint="eastAsia"/>
              </w:rPr>
              <w:t>a</w:t>
            </w:r>
          </w:p>
        </w:tc>
        <w:tc>
          <w:tcPr>
            <w:tcW w:w="4667" w:type="dxa"/>
            <w:tcBorders>
              <w:top w:val="single" w:color="auto" w:sz="8" w:space="0"/>
            </w:tcBorders>
            <w:shd w:val="clear" w:color="auto" w:fill="auto"/>
            <w:vAlign w:val="center"/>
          </w:tcPr>
          <w:p>
            <w:pPr>
              <w:pStyle w:val="181"/>
            </w:pPr>
            <w:r>
              <w:rPr>
                <w:rFonts w:hint="eastAsia"/>
              </w:rPr>
              <w:t>模式：M</w:t>
            </w:r>
            <w:r>
              <w:t xml:space="preserve"> = </w:t>
            </w:r>
            <w:r>
              <w:rPr>
                <w:rFonts w:hint="eastAsia"/>
              </w:rPr>
              <w:t>手动，强制使用2D或3D模式</w:t>
            </w:r>
            <w:r>
              <w:br w:type="textWrapping"/>
            </w:r>
            <w:r>
              <w:rPr>
                <w:rFonts w:hint="eastAsia"/>
              </w:rPr>
              <w:t>A</w:t>
            </w:r>
            <w:r>
              <w:t xml:space="preserve"> = </w:t>
            </w:r>
            <w:r>
              <w:rPr>
                <w:rFonts w:hint="eastAsia"/>
              </w:rPr>
              <w:t>自动，允许自动在2D与3D间切换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81"/>
            </w:pPr>
            <w:r>
              <w:rPr>
                <w:rFonts w:hint="eastAsia"/>
              </w:rPr>
              <w:t>b</w:t>
            </w:r>
          </w:p>
        </w:tc>
        <w:tc>
          <w:tcPr>
            <w:tcW w:w="4667" w:type="dxa"/>
            <w:shd w:val="clear" w:color="auto" w:fill="auto"/>
            <w:vAlign w:val="center"/>
          </w:tcPr>
          <w:p>
            <w:pPr>
              <w:pStyle w:val="181"/>
            </w:pPr>
            <w:r>
              <w:rPr>
                <w:rFonts w:hint="eastAsia"/>
              </w:rPr>
              <w:t>模式：1</w:t>
            </w:r>
            <w:r>
              <w:t xml:space="preserve"> = </w:t>
            </w:r>
            <w:r>
              <w:rPr>
                <w:rFonts w:hint="eastAsia"/>
              </w:rPr>
              <w:t>未定位，2</w:t>
            </w:r>
            <w:r>
              <w:t xml:space="preserve"> = 2</w:t>
            </w:r>
            <w:r>
              <w:rPr>
                <w:rFonts w:hint="eastAsia"/>
              </w:rPr>
              <w:t>D，3</w:t>
            </w:r>
            <w:r>
              <w:t xml:space="preserve"> = 3</w:t>
            </w:r>
            <w:r>
              <w:rPr>
                <w:rFonts w:hint="eastAsia"/>
              </w:rPr>
              <w:t>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81"/>
            </w:pPr>
            <w:r>
              <w:rPr>
                <w:rFonts w:hint="eastAsia"/>
              </w:rPr>
              <w:t>xx</w:t>
            </w:r>
            <w:r>
              <w:t>(</w:t>
            </w:r>
            <w:r>
              <w:rPr>
                <w:rFonts w:hint="eastAsia"/>
              </w:rPr>
              <w:t>共1</w:t>
            </w:r>
            <w:r>
              <w:t>2</w:t>
            </w:r>
            <w:r>
              <w:rPr>
                <w:rFonts w:hint="eastAsia"/>
              </w:rPr>
              <w:t>组</w:t>
            </w:r>
            <w:r>
              <w:t>)</w:t>
            </w:r>
          </w:p>
        </w:tc>
        <w:tc>
          <w:tcPr>
            <w:tcW w:w="4667" w:type="dxa"/>
            <w:shd w:val="clear" w:color="auto" w:fill="auto"/>
            <w:vAlign w:val="center"/>
          </w:tcPr>
          <w:p>
            <w:pPr>
              <w:pStyle w:val="181"/>
            </w:pPr>
            <w:r>
              <w:rPr>
                <w:rFonts w:hint="eastAsia"/>
              </w:rPr>
              <w:t>参与定位解算的卫星ID号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81"/>
            </w:pPr>
            <w:r>
              <w:rPr>
                <w:rFonts w:hint="eastAsia"/>
              </w:rPr>
              <w:t>c</w:t>
            </w:r>
            <w:r>
              <w:t>.c</w:t>
            </w:r>
          </w:p>
        </w:tc>
        <w:tc>
          <w:tcPr>
            <w:tcW w:w="4667" w:type="dxa"/>
            <w:shd w:val="clear" w:color="auto" w:fill="auto"/>
            <w:vAlign w:val="center"/>
          </w:tcPr>
          <w:p>
            <w:pPr>
              <w:pStyle w:val="181"/>
            </w:pPr>
            <w:r>
              <w:rPr>
                <w:rFonts w:hint="eastAsia"/>
              </w:rPr>
              <w:t>P</w:t>
            </w:r>
            <w:r>
              <w:t>DOP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81"/>
            </w:pPr>
            <w:r>
              <w:t>d.d</w:t>
            </w:r>
          </w:p>
        </w:tc>
        <w:tc>
          <w:tcPr>
            <w:tcW w:w="4667" w:type="dxa"/>
            <w:shd w:val="clear" w:color="auto" w:fill="auto"/>
            <w:vAlign w:val="center"/>
          </w:tcPr>
          <w:p>
            <w:pPr>
              <w:pStyle w:val="181"/>
            </w:pPr>
            <w:r>
              <w:t>HDOP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81"/>
            </w:pPr>
            <w:r>
              <w:t>e.e</w:t>
            </w:r>
          </w:p>
        </w:tc>
        <w:tc>
          <w:tcPr>
            <w:tcW w:w="4667" w:type="dxa"/>
            <w:shd w:val="clear" w:color="auto" w:fill="auto"/>
            <w:vAlign w:val="center"/>
          </w:tcPr>
          <w:p>
            <w:pPr>
              <w:pStyle w:val="181"/>
            </w:pPr>
            <w:r>
              <w:rPr>
                <w:rFonts w:hint="eastAsia"/>
              </w:rPr>
              <w:t>V</w:t>
            </w:r>
            <w:r>
              <w:t>DOP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81"/>
            </w:pPr>
            <w:r>
              <w:rPr>
                <w:rFonts w:hint="eastAsia"/>
                <w:sz w:val="22"/>
                <w:szCs w:val="22"/>
              </w:rPr>
              <w:t>m</w:t>
            </w:r>
          </w:p>
        </w:tc>
        <w:tc>
          <w:tcPr>
            <w:tcW w:w="4667" w:type="dxa"/>
            <w:shd w:val="clear" w:color="auto" w:fill="auto"/>
            <w:vAlign w:val="center"/>
          </w:tcPr>
          <w:p>
            <w:pPr>
              <w:pStyle w:val="181"/>
            </w:pPr>
            <w:r>
              <w:rPr>
                <w:rFonts w:hint="eastAsia"/>
              </w:rPr>
              <w:t>G</w:t>
            </w:r>
            <w:r>
              <w:t>NSS</w:t>
            </w:r>
            <w:r>
              <w:rPr>
                <w:rFonts w:hint="eastAsia"/>
              </w:rPr>
              <w:t>系统ID</w:t>
            </w:r>
          </w:p>
        </w:tc>
      </w:tr>
    </w:tbl>
    <w:p>
      <w:pPr>
        <w:pStyle w:val="59"/>
        <w:ind w:firstLine="420"/>
      </w:pPr>
    </w:p>
    <w:bookmarkEnd w:id="31"/>
    <w:bookmarkEnd w:id="32"/>
    <w:p>
      <w:pPr>
        <w:sectPr>
          <w:pgSz w:w="11906" w:h="16838"/>
          <w:pgMar w:top="567" w:right="1134" w:bottom="1134" w:left="1134" w:header="1134" w:footer="1134" w:gutter="284"/>
          <w:cols w:space="425" w:num="1"/>
          <w:formProt w:val="0"/>
          <w:docGrid w:type="lines" w:linePitch="312" w:charSpace="0"/>
        </w:sectPr>
      </w:pPr>
    </w:p>
    <w:p>
      <w:pPr>
        <w:pStyle w:val="201"/>
        <w:rPr>
          <w:vanish w:val="0"/>
        </w:rPr>
      </w:pPr>
    </w:p>
    <w:p>
      <w:pPr>
        <w:pStyle w:val="202"/>
        <w:rPr>
          <w:vanish w:val="0"/>
        </w:rPr>
      </w:pPr>
    </w:p>
    <w:p>
      <w:pPr>
        <w:pStyle w:val="79"/>
        <w:spacing w:before="78" w:after="156"/>
      </w:pPr>
      <w:r>
        <w:br w:type="textWrapping"/>
      </w:r>
      <w:r>
        <w:rPr>
          <w:rFonts w:hint="eastAsia"/>
        </w:rPr>
        <w:t>（规范性）</w:t>
      </w:r>
      <w:r>
        <w:br w:type="textWrapping"/>
      </w:r>
      <w:bookmarkStart w:id="37" w:name="_Hlk83394872"/>
      <w:r>
        <w:rPr>
          <w:rFonts w:hint="eastAsia"/>
        </w:rPr>
        <w:t>车载卫星定位系统冷启动状态设置方法</w:t>
      </w:r>
      <w:bookmarkEnd w:id="37"/>
    </w:p>
    <w:p>
      <w:pPr>
        <w:pStyle w:val="232"/>
      </w:pPr>
      <w:bookmarkStart w:id="38" w:name="_Hlk83394899"/>
      <w:r>
        <w:rPr>
          <w:rFonts w:hint="eastAsia"/>
        </w:rPr>
        <w:t>车载卫星定位系统以下述任一种方法进行操作，已获得冷启动状态：</w:t>
      </w:r>
    </w:p>
    <w:p>
      <w:pPr>
        <w:pStyle w:val="232"/>
      </w:pPr>
      <w:r>
        <w:rPr>
          <w:rFonts w:hint="eastAsia"/>
        </w:rPr>
        <w:t>方法1：</w:t>
      </w:r>
    </w:p>
    <w:p>
      <w:pPr>
        <w:pStyle w:val="232"/>
      </w:pPr>
      <w:r>
        <w:rPr>
          <w:rFonts w:hint="eastAsia"/>
        </w:rPr>
        <w:t>卫星信号模拟器运行表</w:t>
      </w:r>
      <w:r>
        <w:t>B</w:t>
      </w:r>
      <w:r>
        <w:rPr>
          <w:rFonts w:hint="eastAsia"/>
        </w:rPr>
        <w:t>.1冷启动状态前置场景，车载卫星定位系统输出信号并进行定位后断电。</w:t>
      </w:r>
    </w:p>
    <w:p>
      <w:pPr>
        <w:pStyle w:val="80"/>
        <w:spacing w:before="156" w:after="156"/>
      </w:pPr>
      <w:r>
        <w:rPr>
          <w:rFonts w:hint="eastAsia"/>
        </w:rPr>
        <w:t>冷启动状态前置场景参数设置</w:t>
      </w:r>
    </w:p>
    <w:tbl>
      <w:tblPr>
        <w:tblStyle w:val="36"/>
        <w:tblW w:w="96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667"/>
        <w:gridCol w:w="49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4667" w:type="dxa"/>
            <w:tcBorders>
              <w:top w:val="single" w:color="auto" w:sz="8" w:space="0"/>
              <w:bottom w:val="single" w:color="auto" w:sz="8" w:space="0"/>
            </w:tcBorders>
            <w:shd w:val="clear" w:color="auto" w:fill="auto"/>
            <w:vAlign w:val="center"/>
          </w:tcPr>
          <w:p>
            <w:pPr>
              <w:pStyle w:val="181"/>
            </w:pPr>
            <w:r>
              <w:rPr>
                <w:rFonts w:hint="eastAsia"/>
              </w:rPr>
              <w:t>参数</w:t>
            </w:r>
          </w:p>
        </w:tc>
        <w:tc>
          <w:tcPr>
            <w:tcW w:w="4962" w:type="dxa"/>
            <w:tcBorders>
              <w:top w:val="single" w:color="auto" w:sz="8" w:space="0"/>
              <w:bottom w:val="single" w:color="auto" w:sz="8" w:space="0"/>
            </w:tcBorders>
            <w:shd w:val="clear" w:color="auto" w:fill="auto"/>
          </w:tcPr>
          <w:p>
            <w:pPr>
              <w:pStyle w:val="181"/>
            </w:pPr>
            <w:r>
              <w:rPr>
                <w:rFonts w:hint="eastAsia"/>
              </w:rPr>
              <w:t>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81"/>
            </w:pPr>
            <w:r>
              <w:rPr>
                <w:rFonts w:hint="eastAsia"/>
              </w:rPr>
              <w:t>位置</w:t>
            </w:r>
          </w:p>
        </w:tc>
        <w:tc>
          <w:tcPr>
            <w:tcW w:w="4962" w:type="dxa"/>
            <w:shd w:val="clear" w:color="auto" w:fill="auto"/>
          </w:tcPr>
          <w:p>
            <w:pPr>
              <w:pStyle w:val="181"/>
            </w:pPr>
            <w:r>
              <w:rPr>
                <w:rFonts w:hint="eastAsia"/>
              </w:rPr>
              <w:t>与附录C中设置的位置相距大于1000公里小于10000公里，时间早于附录C所设置的时间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81"/>
            </w:pPr>
            <w:r>
              <w:rPr>
                <w:rFonts w:hint="eastAsia"/>
              </w:rPr>
              <w:t>仿真可见卫星数</w:t>
            </w:r>
          </w:p>
        </w:tc>
        <w:tc>
          <w:tcPr>
            <w:tcW w:w="4962" w:type="dxa"/>
            <w:shd w:val="clear" w:color="auto" w:fill="auto"/>
          </w:tcPr>
          <w:p>
            <w:pPr>
              <w:pStyle w:val="181"/>
            </w:pPr>
            <w:r>
              <w:rPr>
                <w:rFonts w:hint="eastAsia"/>
              </w:rPr>
              <w:t>GPS≥</w:t>
            </w:r>
            <w:r>
              <w:t>6</w:t>
            </w:r>
            <w:r>
              <w:rPr>
                <w:rFonts w:hint="eastAsia"/>
              </w:rPr>
              <w:t>颗，BDS≥</w:t>
            </w:r>
            <w:r>
              <w:t>6</w:t>
            </w:r>
            <w:r>
              <w:rPr>
                <w:rFonts w:hint="eastAsia"/>
              </w:rPr>
              <w:t>颗，</w:t>
            </w:r>
            <w:r>
              <w:t>Galileo</w:t>
            </w:r>
            <w:r>
              <w:rPr>
                <w:rFonts w:hint="eastAsia"/>
              </w:rPr>
              <w:t>≥</w:t>
            </w:r>
            <w:r>
              <w:t>6</w:t>
            </w:r>
            <w:r>
              <w:rPr>
                <w:rFonts w:hint="eastAsia"/>
              </w:rPr>
              <w:t>颗，GLONASS≥</w:t>
            </w:r>
            <w:r>
              <w:t>6</w:t>
            </w:r>
            <w:r>
              <w:rPr>
                <w:rFonts w:hint="eastAsia"/>
              </w:rPr>
              <w:t>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81"/>
            </w:pPr>
            <w:r>
              <w:rPr>
                <w:rFonts w:hint="eastAsia"/>
              </w:rPr>
              <w:t>HDOP、PDOP</w:t>
            </w:r>
          </w:p>
        </w:tc>
        <w:tc>
          <w:tcPr>
            <w:tcW w:w="4962" w:type="dxa"/>
            <w:shd w:val="clear" w:color="auto" w:fill="auto"/>
          </w:tcPr>
          <w:p>
            <w:pPr>
              <w:pStyle w:val="181"/>
            </w:pPr>
            <w:r>
              <w:rPr>
                <w:rFonts w:hint="eastAsia"/>
              </w:rPr>
              <w:t>PDOP≤</w:t>
            </w:r>
            <w: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81"/>
            </w:pPr>
            <w:r>
              <w:rPr>
                <w:rFonts w:hint="eastAsia"/>
              </w:rPr>
              <w:t>场景仿真时长</w:t>
            </w:r>
          </w:p>
        </w:tc>
        <w:tc>
          <w:tcPr>
            <w:tcW w:w="4962" w:type="dxa"/>
            <w:shd w:val="clear" w:color="auto" w:fill="auto"/>
          </w:tcPr>
          <w:p>
            <w:pPr>
              <w:pStyle w:val="181"/>
            </w:pPr>
            <w:r>
              <w:rPr>
                <w:rFonts w:hint="eastAsia"/>
              </w:rPr>
              <w:t>根据车载卫星定位系统是否输出定位信息，最长1小时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81"/>
            </w:pPr>
            <w:r>
              <w:rPr>
                <w:rFonts w:hint="eastAsia"/>
              </w:rPr>
              <w:t>载具类型</w:t>
            </w:r>
          </w:p>
        </w:tc>
        <w:tc>
          <w:tcPr>
            <w:tcW w:w="4962" w:type="dxa"/>
            <w:shd w:val="clear" w:color="auto" w:fill="auto"/>
          </w:tcPr>
          <w:p>
            <w:pPr>
              <w:pStyle w:val="181"/>
            </w:pPr>
            <w:r>
              <w:rPr>
                <w:rFonts w:hint="eastAsia"/>
              </w:rPr>
              <w:t>静止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81"/>
            </w:pPr>
            <w:r>
              <w:rPr>
                <w:rFonts w:hint="eastAsia"/>
              </w:rPr>
              <w:t>信号输出功率</w:t>
            </w:r>
          </w:p>
        </w:tc>
        <w:tc>
          <w:tcPr>
            <w:tcW w:w="4962" w:type="dxa"/>
            <w:shd w:val="clear" w:color="auto" w:fill="auto"/>
          </w:tcPr>
          <w:p>
            <w:pPr>
              <w:pStyle w:val="181"/>
            </w:pPr>
            <w:r>
              <w:t>-130dBm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81"/>
            </w:pPr>
            <w:r>
              <w:rPr>
                <w:rFonts w:hint="eastAsia"/>
              </w:rPr>
              <w:t>卫星功率是否一样</w:t>
            </w:r>
          </w:p>
        </w:tc>
        <w:tc>
          <w:tcPr>
            <w:tcW w:w="4962" w:type="dxa"/>
            <w:shd w:val="clear" w:color="auto" w:fill="auto"/>
          </w:tcPr>
          <w:p>
            <w:pPr>
              <w:pStyle w:val="181"/>
            </w:pPr>
            <w:r>
              <w:rPr>
                <w:rFonts w:hint="eastAsia"/>
              </w:rPr>
              <w:t>是</w:t>
            </w:r>
          </w:p>
        </w:tc>
      </w:tr>
    </w:tbl>
    <w:p>
      <w:pPr>
        <w:pStyle w:val="232"/>
      </w:pPr>
      <w:r>
        <w:rPr>
          <w:rFonts w:hint="eastAsia"/>
        </w:rPr>
        <w:t>方法2：</w:t>
      </w:r>
    </w:p>
    <w:p>
      <w:pPr>
        <w:pStyle w:val="232"/>
        <w:sectPr>
          <w:pgSz w:w="11906" w:h="16838"/>
          <w:pgMar w:top="1871" w:right="1134" w:bottom="1134" w:left="1134" w:header="1418" w:footer="1134" w:gutter="284"/>
          <w:cols w:space="425" w:num="1"/>
          <w:formProt w:val="0"/>
          <w:docGrid w:type="lines" w:linePitch="312" w:charSpace="0"/>
        </w:sectPr>
      </w:pPr>
      <w:r>
        <w:rPr>
          <w:rFonts w:hint="eastAsia"/>
        </w:rPr>
        <w:t>车载卫星定位系统断电状态持续7天以上。</w:t>
      </w:r>
    </w:p>
    <w:bookmarkEnd w:id="38"/>
    <w:p>
      <w:pPr>
        <w:pStyle w:val="201"/>
        <w:rPr>
          <w:vanish w:val="0"/>
        </w:rPr>
      </w:pPr>
    </w:p>
    <w:p>
      <w:pPr>
        <w:pStyle w:val="202"/>
        <w:rPr>
          <w:vanish w:val="0"/>
        </w:rPr>
      </w:pPr>
    </w:p>
    <w:p>
      <w:pPr>
        <w:pStyle w:val="79"/>
        <w:spacing w:before="78" w:after="156"/>
      </w:pPr>
      <w:r>
        <w:br w:type="textWrapping"/>
      </w:r>
      <w:r>
        <w:rPr>
          <w:rFonts w:hint="eastAsia"/>
        </w:rPr>
        <w:t>（规范性）</w:t>
      </w:r>
      <w:r>
        <w:br w:type="textWrapping"/>
      </w:r>
      <w:r>
        <w:rPr>
          <w:rFonts w:hint="eastAsia"/>
        </w:rPr>
        <w:t>车载卫星定位系统试验场景</w:t>
      </w:r>
    </w:p>
    <w:p>
      <w:pPr>
        <w:pStyle w:val="81"/>
        <w:spacing w:before="156" w:after="156"/>
      </w:pPr>
      <w:bookmarkStart w:id="39" w:name="_Hlk76376071"/>
      <w:bookmarkStart w:id="40" w:name="_Hlk83394956"/>
      <w:r>
        <w:rPr>
          <w:rFonts w:hint="eastAsia"/>
        </w:rPr>
        <w:t>试验场景</w:t>
      </w:r>
    </w:p>
    <w:p>
      <w:pPr>
        <w:pStyle w:val="82"/>
        <w:spacing w:before="156" w:after="156"/>
      </w:pPr>
      <w:r>
        <w:rPr>
          <w:rFonts w:hint="eastAsia"/>
        </w:rPr>
        <w:t>开阔天空环境</w:t>
      </w:r>
    </w:p>
    <w:p>
      <w:pPr>
        <w:ind w:firstLine="420" w:firstLineChars="200"/>
      </w:pPr>
      <w:r>
        <w:rPr>
          <w:rFonts w:hint="eastAsia"/>
        </w:rPr>
        <w:t>车载卫星定位系统开阔天空环境定义如下</w:t>
      </w:r>
      <w:bookmarkEnd w:id="39"/>
      <w:r>
        <w:rPr>
          <w:rFonts w:hint="eastAsia"/>
        </w:rPr>
        <w:t>：</w:t>
      </w:r>
    </w:p>
    <w:tbl>
      <w:tblPr>
        <w:tblStyle w:val="36"/>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110"/>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shd w:val="clear" w:color="auto" w:fill="auto"/>
            <w:vAlign w:val="bottom"/>
          </w:tcPr>
          <w:p>
            <w:pPr>
              <w:pStyle w:val="181"/>
              <w:rPr>
                <w:szCs w:val="18"/>
              </w:rPr>
            </w:pPr>
            <w:r>
              <w:rPr>
                <w:rFonts w:hint="eastAsia" w:hAnsi="宋体" w:cs="宋体"/>
                <w:color w:val="000000"/>
                <w:szCs w:val="18"/>
              </w:rPr>
              <w:t>区</w:t>
            </w:r>
            <w:r>
              <w:rPr>
                <w:rFonts w:hAnsi="宋体" w:cs="宋体"/>
                <w:color w:val="000000"/>
                <w:szCs w:val="18"/>
              </w:rPr>
              <w:t>域</w:t>
            </w:r>
          </w:p>
        </w:tc>
        <w:tc>
          <w:tcPr>
            <w:tcW w:w="3112" w:type="dxa"/>
            <w:tcBorders>
              <w:top w:val="single" w:color="auto" w:sz="8" w:space="0"/>
              <w:bottom w:val="single" w:color="auto" w:sz="8" w:space="0"/>
            </w:tcBorders>
            <w:shd w:val="clear" w:color="auto" w:fill="auto"/>
            <w:vAlign w:val="bottom"/>
          </w:tcPr>
          <w:p>
            <w:pPr>
              <w:pStyle w:val="181"/>
              <w:rPr>
                <w:szCs w:val="18"/>
              </w:rPr>
            </w:pPr>
            <w:r>
              <w:rPr>
                <w:rFonts w:hAnsi="宋体" w:cs="宋体"/>
                <w:color w:val="000000"/>
                <w:szCs w:val="18"/>
              </w:rPr>
              <w:t>仰角范围</w:t>
            </w:r>
            <w:r>
              <w:rPr>
                <w:rFonts w:eastAsia="Times New Roman" w:cs="Calibri"/>
                <w:color w:val="000000"/>
                <w:szCs w:val="18"/>
              </w:rPr>
              <w:t xml:space="preserve"> (</w:t>
            </w:r>
            <w:r>
              <w:rPr>
                <w:rFonts w:hAnsi="宋体" w:cs="宋体"/>
                <w:color w:val="000000"/>
                <w:szCs w:val="18"/>
              </w:rPr>
              <w:t>度</w:t>
            </w:r>
            <w:r>
              <w:rPr>
                <w:rFonts w:eastAsia="Times New Roman" w:cs="Calibri"/>
                <w:color w:val="000000"/>
                <w:szCs w:val="18"/>
              </w:rPr>
              <w:t>)</w:t>
            </w:r>
          </w:p>
        </w:tc>
        <w:tc>
          <w:tcPr>
            <w:tcW w:w="3112" w:type="dxa"/>
            <w:tcBorders>
              <w:top w:val="single" w:color="auto" w:sz="8" w:space="0"/>
              <w:bottom w:val="single" w:color="auto" w:sz="8" w:space="0"/>
            </w:tcBorders>
            <w:shd w:val="clear" w:color="auto" w:fill="auto"/>
            <w:vAlign w:val="bottom"/>
          </w:tcPr>
          <w:p>
            <w:pPr>
              <w:pStyle w:val="181"/>
              <w:rPr>
                <w:szCs w:val="18"/>
              </w:rPr>
            </w:pPr>
            <w:r>
              <w:rPr>
                <w:rFonts w:hAnsi="宋体" w:cs="宋体"/>
                <w:color w:val="000000"/>
                <w:szCs w:val="18"/>
              </w:rPr>
              <w:t>方位角范围</w:t>
            </w:r>
            <w:r>
              <w:rPr>
                <w:rFonts w:eastAsia="Times New Roman" w:cs="Calibri"/>
                <w:color w:val="000000"/>
                <w:szCs w:val="18"/>
              </w:rPr>
              <w:t xml:space="preserve"> (</w:t>
            </w:r>
            <w:r>
              <w:rPr>
                <w:rFonts w:hAnsi="宋体" w:cs="宋体"/>
                <w:color w:val="000000"/>
                <w:szCs w:val="18"/>
              </w:rPr>
              <w:t>度</w:t>
            </w:r>
            <w:r>
              <w:rPr>
                <w:rFonts w:eastAsia="Times New Roman" w:cs="Calibri"/>
                <w:color w:val="000000"/>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tcBorders>
              <w:top w:val="single" w:color="auto" w:sz="8" w:space="0"/>
            </w:tcBorders>
            <w:shd w:val="clear" w:color="auto" w:fill="auto"/>
            <w:vAlign w:val="bottom"/>
          </w:tcPr>
          <w:p>
            <w:pPr>
              <w:pStyle w:val="181"/>
              <w:rPr>
                <w:szCs w:val="18"/>
              </w:rPr>
            </w:pPr>
            <w:r>
              <w:rPr>
                <w:rFonts w:eastAsia="Times New Roman" w:cs="Calibri"/>
                <w:color w:val="000000"/>
                <w:szCs w:val="18"/>
              </w:rPr>
              <w:t>A</w:t>
            </w:r>
          </w:p>
        </w:tc>
        <w:tc>
          <w:tcPr>
            <w:tcW w:w="3112" w:type="dxa"/>
            <w:tcBorders>
              <w:top w:val="single" w:color="auto" w:sz="8" w:space="0"/>
            </w:tcBorders>
            <w:shd w:val="clear" w:color="auto" w:fill="auto"/>
            <w:vAlign w:val="bottom"/>
          </w:tcPr>
          <w:p>
            <w:pPr>
              <w:pStyle w:val="181"/>
              <w:rPr>
                <w:szCs w:val="18"/>
              </w:rPr>
            </w:pPr>
            <w:r>
              <w:rPr>
                <w:rFonts w:eastAsia="Times New Roman" w:cs="Calibri"/>
                <w:color w:val="000000"/>
                <w:szCs w:val="18"/>
              </w:rPr>
              <w:t>0 – 5</w:t>
            </w:r>
          </w:p>
        </w:tc>
        <w:tc>
          <w:tcPr>
            <w:tcW w:w="3112" w:type="dxa"/>
            <w:tcBorders>
              <w:top w:val="single" w:color="auto" w:sz="8" w:space="0"/>
            </w:tcBorders>
            <w:shd w:val="clear" w:color="auto" w:fill="auto"/>
            <w:vAlign w:val="bottom"/>
          </w:tcPr>
          <w:p>
            <w:pPr>
              <w:pStyle w:val="181"/>
              <w:rPr>
                <w:szCs w:val="18"/>
              </w:rPr>
            </w:pPr>
            <w:r>
              <w:rPr>
                <w:rFonts w:eastAsia="Times New Roman" w:cs="Calibri"/>
                <w:color w:val="000000"/>
                <w:szCs w:val="18"/>
              </w:rPr>
              <w:t>0 - 360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181"/>
              <w:rPr>
                <w:szCs w:val="18"/>
              </w:rPr>
            </w:pPr>
            <w:r>
              <w:rPr>
                <w:rFonts w:hint="eastAsia"/>
                <w:szCs w:val="18"/>
              </w:rPr>
              <w:t>背景</w:t>
            </w:r>
          </w:p>
        </w:tc>
        <w:tc>
          <w:tcPr>
            <w:tcW w:w="6224" w:type="dxa"/>
            <w:gridSpan w:val="2"/>
            <w:shd w:val="clear" w:color="auto" w:fill="auto"/>
            <w:vAlign w:val="center"/>
          </w:tcPr>
          <w:p>
            <w:pPr>
              <w:pStyle w:val="181"/>
              <w:rPr>
                <w:szCs w:val="18"/>
              </w:rPr>
            </w:pPr>
            <w:r>
              <w:rPr>
                <w:rFonts w:eastAsia="Times New Roman" w:cs="Calibri"/>
                <w:color w:val="000000"/>
                <w:szCs w:val="18"/>
              </w:rPr>
              <w:t>A</w:t>
            </w:r>
            <w:r>
              <w:rPr>
                <w:rFonts w:hAnsi="宋体" w:cs="宋体"/>
                <w:color w:val="000000"/>
                <w:szCs w:val="18"/>
              </w:rPr>
              <w:t>区外范围</w:t>
            </w:r>
          </w:p>
        </w:tc>
      </w:tr>
    </w:tbl>
    <w:p>
      <w:pPr>
        <w:spacing w:line="240" w:lineRule="auto"/>
        <w:jc w:val="center"/>
      </w:pPr>
      <w:r>
        <w:drawing>
          <wp:inline distT="0" distB="0" distL="0" distR="0">
            <wp:extent cx="2751455" cy="27590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71975" cy="2779382"/>
                    </a:xfrm>
                    <a:prstGeom prst="rect">
                      <a:avLst/>
                    </a:prstGeom>
                    <a:noFill/>
                    <a:ln>
                      <a:noFill/>
                    </a:ln>
                  </pic:spPr>
                </pic:pic>
              </a:graphicData>
            </a:graphic>
          </wp:inline>
        </w:drawing>
      </w:r>
    </w:p>
    <w:p>
      <w:pPr>
        <w:pStyle w:val="185"/>
        <w:ind w:firstLine="360"/>
      </w:pPr>
      <w:r>
        <w:rPr>
          <w:rFonts w:hint="eastAsia"/>
        </w:rPr>
        <w:t>其中：</w:t>
      </w:r>
    </w:p>
    <w:p>
      <w:pPr>
        <w:pStyle w:val="185"/>
        <w:ind w:firstLine="360"/>
      </w:pPr>
      <w:r>
        <w:t>X</w:t>
      </w:r>
      <w:r>
        <w:rPr>
          <w:vertAlign w:val="subscript"/>
        </w:rPr>
        <w:t>1</w:t>
      </w:r>
      <w:r>
        <w:rPr>
          <w:rFonts w:hint="eastAsia"/>
        </w:rPr>
        <w:t>为</w:t>
      </w:r>
      <w:r>
        <w:t>0 dB</w:t>
      </w:r>
    </w:p>
    <w:p>
      <w:pPr>
        <w:pStyle w:val="185"/>
        <w:ind w:firstLine="360"/>
      </w:pPr>
      <w:r>
        <w:t>X</w:t>
      </w:r>
      <w:r>
        <w:rPr>
          <w:vertAlign w:val="subscript"/>
        </w:rPr>
        <w:t>2</w:t>
      </w:r>
      <w:r>
        <w:rPr>
          <w:rFonts w:hint="eastAsia"/>
        </w:rPr>
        <w:t>为-</w:t>
      </w:r>
      <w:r>
        <w:t>100 dB</w:t>
      </w:r>
      <w:r>
        <w:rPr>
          <w:rFonts w:hint="eastAsia"/>
        </w:rPr>
        <w:t>或信号关闭</w:t>
      </w:r>
    </w:p>
    <w:p>
      <w:pPr>
        <w:pStyle w:val="86"/>
        <w:spacing w:before="156" w:after="156"/>
      </w:pPr>
      <w:r>
        <w:rPr>
          <w:rFonts w:hint="eastAsia"/>
        </w:rPr>
        <w:t>开阔天空环境</w:t>
      </w:r>
    </w:p>
    <w:p>
      <w:pPr>
        <w:pStyle w:val="82"/>
        <w:spacing w:before="156" w:after="156"/>
      </w:pPr>
      <w:r>
        <w:rPr>
          <w:rFonts w:hint="eastAsia"/>
        </w:rPr>
        <w:t>城市峡谷环境</w:t>
      </w:r>
    </w:p>
    <w:p>
      <w:pPr>
        <w:pStyle w:val="59"/>
        <w:ind w:firstLine="420"/>
      </w:pPr>
      <w:r>
        <w:rPr>
          <w:rFonts w:hint="eastAsia"/>
        </w:rPr>
        <w:t>车载卫星定位系统城市峡谷环境定义如下：</w:t>
      </w:r>
    </w:p>
    <w:tbl>
      <w:tblPr>
        <w:tblStyle w:val="36"/>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110"/>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blHeader/>
          <w:jc w:val="center"/>
        </w:trPr>
        <w:tc>
          <w:tcPr>
            <w:tcW w:w="3110" w:type="dxa"/>
            <w:tcBorders>
              <w:top w:val="single" w:color="auto" w:sz="8" w:space="0"/>
              <w:bottom w:val="single" w:color="auto" w:sz="8" w:space="0"/>
            </w:tcBorders>
            <w:shd w:val="clear" w:color="auto" w:fill="auto"/>
            <w:vAlign w:val="center"/>
          </w:tcPr>
          <w:p>
            <w:pPr>
              <w:pStyle w:val="181"/>
              <w:rPr>
                <w:szCs w:val="18"/>
              </w:rPr>
            </w:pPr>
            <w:r>
              <w:rPr>
                <w:rFonts w:hint="eastAsia" w:hAnsi="宋体" w:cs="宋体"/>
                <w:color w:val="000000"/>
                <w:szCs w:val="18"/>
              </w:rPr>
              <w:t>区域</w:t>
            </w:r>
          </w:p>
        </w:tc>
        <w:tc>
          <w:tcPr>
            <w:tcW w:w="3112" w:type="dxa"/>
            <w:tcBorders>
              <w:top w:val="single" w:color="auto" w:sz="8" w:space="0"/>
              <w:bottom w:val="single" w:color="auto" w:sz="8" w:space="0"/>
            </w:tcBorders>
            <w:shd w:val="clear" w:color="auto" w:fill="auto"/>
            <w:vAlign w:val="center"/>
          </w:tcPr>
          <w:p>
            <w:pPr>
              <w:pStyle w:val="181"/>
              <w:rPr>
                <w:szCs w:val="18"/>
              </w:rPr>
            </w:pPr>
            <w:r>
              <w:rPr>
                <w:rFonts w:hint="eastAsia" w:hAnsi="宋体" w:cs="宋体"/>
                <w:color w:val="000000"/>
                <w:szCs w:val="18"/>
              </w:rPr>
              <w:t>仰角范围</w:t>
            </w:r>
            <w:r>
              <w:rPr>
                <w:rFonts w:cs="宋体"/>
                <w:color w:val="000000"/>
                <w:szCs w:val="18"/>
              </w:rPr>
              <w:t xml:space="preserve"> (</w:t>
            </w:r>
            <w:r>
              <w:rPr>
                <w:rFonts w:hint="eastAsia" w:hAnsi="宋体" w:cs="宋体"/>
                <w:color w:val="000000"/>
                <w:szCs w:val="18"/>
              </w:rPr>
              <w:t>度</w:t>
            </w:r>
            <w:r>
              <w:rPr>
                <w:rFonts w:cs="宋体"/>
                <w:color w:val="000000"/>
                <w:szCs w:val="18"/>
              </w:rPr>
              <w:t>)</w:t>
            </w:r>
          </w:p>
        </w:tc>
        <w:tc>
          <w:tcPr>
            <w:tcW w:w="3112" w:type="dxa"/>
            <w:tcBorders>
              <w:top w:val="single" w:color="auto" w:sz="8" w:space="0"/>
              <w:bottom w:val="single" w:color="auto" w:sz="8" w:space="0"/>
            </w:tcBorders>
            <w:shd w:val="clear" w:color="auto" w:fill="auto"/>
            <w:vAlign w:val="center"/>
          </w:tcPr>
          <w:p>
            <w:pPr>
              <w:pStyle w:val="181"/>
              <w:rPr>
                <w:szCs w:val="18"/>
              </w:rPr>
            </w:pPr>
            <w:r>
              <w:rPr>
                <w:rFonts w:hint="eastAsia" w:hAnsi="宋体" w:cs="宋体"/>
                <w:color w:val="000000"/>
                <w:szCs w:val="18"/>
              </w:rPr>
              <w:t>方位角范围</w:t>
            </w:r>
            <w:r>
              <w:rPr>
                <w:rFonts w:cs="宋体"/>
                <w:color w:val="000000"/>
                <w:szCs w:val="18"/>
              </w:rPr>
              <w:t xml:space="preserve"> (</w:t>
            </w:r>
            <w:r>
              <w:rPr>
                <w:rFonts w:hint="eastAsia" w:hAnsi="宋体" w:cs="宋体"/>
                <w:color w:val="000000"/>
                <w:szCs w:val="18"/>
              </w:rPr>
              <w:t>度</w:t>
            </w:r>
            <w:r>
              <w:rPr>
                <w:rFonts w:cs="宋体"/>
                <w:color w:val="000000"/>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tcBorders>
              <w:top w:val="single" w:color="auto" w:sz="8" w:space="0"/>
            </w:tcBorders>
            <w:shd w:val="clear" w:color="auto" w:fill="auto"/>
            <w:vAlign w:val="center"/>
          </w:tcPr>
          <w:p>
            <w:pPr>
              <w:pStyle w:val="181"/>
              <w:rPr>
                <w:szCs w:val="18"/>
              </w:rPr>
            </w:pPr>
            <w:r>
              <w:rPr>
                <w:rFonts w:eastAsia="Times New Roman"/>
                <w:color w:val="000000"/>
                <w:szCs w:val="18"/>
              </w:rPr>
              <w:t>A</w:t>
            </w:r>
          </w:p>
        </w:tc>
        <w:tc>
          <w:tcPr>
            <w:tcW w:w="3112" w:type="dxa"/>
            <w:tcBorders>
              <w:top w:val="single" w:color="auto" w:sz="8" w:space="0"/>
            </w:tcBorders>
            <w:shd w:val="clear" w:color="auto" w:fill="auto"/>
            <w:vAlign w:val="center"/>
          </w:tcPr>
          <w:p>
            <w:pPr>
              <w:pStyle w:val="181"/>
              <w:rPr>
                <w:szCs w:val="18"/>
              </w:rPr>
            </w:pPr>
            <w:r>
              <w:rPr>
                <w:rFonts w:eastAsia="Times New Roman"/>
                <w:color w:val="000000"/>
                <w:szCs w:val="18"/>
              </w:rPr>
              <w:t>0 – 5</w:t>
            </w:r>
          </w:p>
        </w:tc>
        <w:tc>
          <w:tcPr>
            <w:tcW w:w="3112" w:type="dxa"/>
            <w:tcBorders>
              <w:top w:val="single" w:color="auto" w:sz="8" w:space="0"/>
            </w:tcBorders>
            <w:shd w:val="clear" w:color="auto" w:fill="auto"/>
            <w:vAlign w:val="center"/>
          </w:tcPr>
          <w:p>
            <w:pPr>
              <w:pStyle w:val="181"/>
              <w:rPr>
                <w:szCs w:val="18"/>
              </w:rPr>
            </w:pPr>
            <w:r>
              <w:rPr>
                <w:rFonts w:eastAsia="Times New Roman"/>
                <w:color w:val="000000"/>
                <w:szCs w:val="18"/>
              </w:rPr>
              <w:t>0 - 360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181"/>
              <w:rPr>
                <w:szCs w:val="18"/>
              </w:rPr>
            </w:pPr>
            <w:r>
              <w:rPr>
                <w:rFonts w:eastAsia="Times New Roman"/>
                <w:color w:val="000000"/>
                <w:szCs w:val="18"/>
              </w:rPr>
              <w:t>B</w:t>
            </w:r>
          </w:p>
        </w:tc>
        <w:tc>
          <w:tcPr>
            <w:tcW w:w="3112" w:type="dxa"/>
            <w:shd w:val="clear" w:color="auto" w:fill="auto"/>
            <w:vAlign w:val="center"/>
          </w:tcPr>
          <w:p>
            <w:pPr>
              <w:pStyle w:val="181"/>
              <w:rPr>
                <w:szCs w:val="18"/>
              </w:rPr>
            </w:pPr>
            <w:r>
              <w:rPr>
                <w:rFonts w:eastAsia="Times New Roman"/>
                <w:color w:val="000000"/>
                <w:szCs w:val="18"/>
              </w:rPr>
              <w:t>5 – 30</w:t>
            </w:r>
          </w:p>
        </w:tc>
        <w:tc>
          <w:tcPr>
            <w:tcW w:w="3112" w:type="dxa"/>
            <w:shd w:val="clear" w:color="auto" w:fill="auto"/>
            <w:vAlign w:val="center"/>
          </w:tcPr>
          <w:p>
            <w:pPr>
              <w:pStyle w:val="181"/>
              <w:rPr>
                <w:szCs w:val="18"/>
              </w:rPr>
            </w:pPr>
            <w:r>
              <w:rPr>
                <w:rFonts w:eastAsia="Times New Roman"/>
                <w:color w:val="000000"/>
                <w:szCs w:val="18"/>
              </w:rPr>
              <w:t>210 – 330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181"/>
              <w:rPr>
                <w:szCs w:val="18"/>
              </w:rPr>
            </w:pPr>
            <w:r>
              <w:rPr>
                <w:rFonts w:eastAsia="Times New Roman"/>
                <w:color w:val="000000"/>
                <w:szCs w:val="18"/>
              </w:rPr>
              <w:t>C</w:t>
            </w:r>
          </w:p>
        </w:tc>
        <w:tc>
          <w:tcPr>
            <w:tcW w:w="3112" w:type="dxa"/>
            <w:shd w:val="clear" w:color="auto" w:fill="auto"/>
            <w:vAlign w:val="center"/>
          </w:tcPr>
          <w:p>
            <w:pPr>
              <w:pStyle w:val="181"/>
              <w:rPr>
                <w:szCs w:val="18"/>
              </w:rPr>
            </w:pPr>
            <w:r>
              <w:rPr>
                <w:rFonts w:eastAsia="Times New Roman"/>
                <w:color w:val="000000"/>
                <w:szCs w:val="18"/>
              </w:rPr>
              <w:t>5 – 30</w:t>
            </w:r>
          </w:p>
        </w:tc>
        <w:tc>
          <w:tcPr>
            <w:tcW w:w="3112" w:type="dxa"/>
            <w:shd w:val="clear" w:color="auto" w:fill="auto"/>
            <w:vAlign w:val="center"/>
          </w:tcPr>
          <w:p>
            <w:pPr>
              <w:pStyle w:val="181"/>
              <w:rPr>
                <w:szCs w:val="18"/>
              </w:rPr>
            </w:pPr>
            <w:r>
              <w:rPr>
                <w:rFonts w:eastAsia="Times New Roman"/>
                <w:color w:val="000000"/>
                <w:szCs w:val="18"/>
              </w:rPr>
              <w:t>30 – 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181"/>
              <w:rPr>
                <w:szCs w:val="18"/>
              </w:rPr>
            </w:pPr>
            <w:r>
              <w:rPr>
                <w:rFonts w:hint="eastAsia"/>
                <w:szCs w:val="18"/>
              </w:rPr>
              <w:t>背景</w:t>
            </w:r>
          </w:p>
        </w:tc>
        <w:tc>
          <w:tcPr>
            <w:tcW w:w="6224" w:type="dxa"/>
            <w:gridSpan w:val="2"/>
            <w:shd w:val="clear" w:color="auto" w:fill="auto"/>
            <w:vAlign w:val="center"/>
          </w:tcPr>
          <w:p>
            <w:pPr>
              <w:pStyle w:val="181"/>
              <w:rPr>
                <w:szCs w:val="18"/>
              </w:rPr>
            </w:pPr>
            <w:r>
              <w:rPr>
                <w:rFonts w:eastAsia="Times New Roman"/>
                <w:color w:val="000000"/>
                <w:szCs w:val="18"/>
              </w:rPr>
              <w:t>A,B,C</w:t>
            </w:r>
            <w:r>
              <w:rPr>
                <w:rFonts w:hint="eastAsia" w:hAnsi="宋体"/>
                <w:color w:val="000000"/>
                <w:szCs w:val="18"/>
              </w:rPr>
              <w:t>区外范围</w:t>
            </w:r>
          </w:p>
        </w:tc>
      </w:tr>
    </w:tbl>
    <w:p>
      <w:pPr>
        <w:pStyle w:val="59"/>
        <w:ind w:firstLine="0" w:firstLineChars="0"/>
        <w:jc w:val="center"/>
      </w:pPr>
      <w:r>
        <w:drawing>
          <wp:inline distT="0" distB="0" distL="0" distR="0">
            <wp:extent cx="2811780" cy="28041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836922" cy="2829341"/>
                    </a:xfrm>
                    <a:prstGeom prst="rect">
                      <a:avLst/>
                    </a:prstGeom>
                    <a:noFill/>
                    <a:ln>
                      <a:noFill/>
                    </a:ln>
                  </pic:spPr>
                </pic:pic>
              </a:graphicData>
            </a:graphic>
          </wp:inline>
        </w:drawing>
      </w:r>
    </w:p>
    <w:p>
      <w:pPr>
        <w:pStyle w:val="185"/>
        <w:ind w:firstLine="360"/>
      </w:pPr>
      <w:r>
        <w:rPr>
          <w:rFonts w:hint="eastAsia"/>
        </w:rPr>
        <w:t>其中：</w:t>
      </w:r>
    </w:p>
    <w:p>
      <w:pPr>
        <w:pStyle w:val="185"/>
        <w:ind w:firstLine="360"/>
      </w:pPr>
      <w:r>
        <w:t>X</w:t>
      </w:r>
      <w:r>
        <w:rPr>
          <w:vertAlign w:val="subscript"/>
        </w:rPr>
        <w:t>1</w:t>
      </w:r>
      <w:r>
        <w:rPr>
          <w:rFonts w:hint="eastAsia"/>
        </w:rPr>
        <w:t>为</w:t>
      </w:r>
      <w:r>
        <w:t>0 dB</w:t>
      </w:r>
    </w:p>
    <w:p>
      <w:pPr>
        <w:pStyle w:val="185"/>
        <w:ind w:firstLine="360"/>
      </w:pPr>
      <w:r>
        <w:t>X</w:t>
      </w:r>
      <w:r>
        <w:rPr>
          <w:vertAlign w:val="subscript"/>
        </w:rPr>
        <w:t>2</w:t>
      </w:r>
      <w:r>
        <w:rPr>
          <w:rFonts w:hint="eastAsia"/>
        </w:rPr>
        <w:t>为-</w:t>
      </w:r>
      <w:r>
        <w:t>100 dB</w:t>
      </w:r>
      <w:r>
        <w:rPr>
          <w:rFonts w:hint="eastAsia"/>
        </w:rPr>
        <w:t>或信号关闭</w:t>
      </w:r>
    </w:p>
    <w:p>
      <w:pPr>
        <w:pStyle w:val="185"/>
        <w:ind w:firstLine="360"/>
      </w:pPr>
      <w:r>
        <w:t>X</w:t>
      </w:r>
      <w:r>
        <w:rPr>
          <w:vertAlign w:val="subscript"/>
        </w:rPr>
        <w:t>2</w:t>
      </w:r>
      <w:r>
        <w:rPr>
          <w:rFonts w:hint="eastAsia"/>
        </w:rPr>
        <w:t>为-</w:t>
      </w:r>
      <w:r>
        <w:t>40 dB</w:t>
      </w:r>
    </w:p>
    <w:p>
      <w:pPr>
        <w:pStyle w:val="86"/>
        <w:spacing w:before="156" w:after="156"/>
      </w:pPr>
      <w:r>
        <w:rPr>
          <w:rFonts w:hint="eastAsia"/>
        </w:rPr>
        <w:t>城市峡谷环境</w:t>
      </w:r>
    </w:p>
    <w:p>
      <w:pPr>
        <w:pStyle w:val="81"/>
        <w:spacing w:before="156" w:after="156"/>
      </w:pPr>
      <w:r>
        <w:rPr>
          <w:rFonts w:hint="eastAsia"/>
        </w:rPr>
        <w:t>场景参数配置</w:t>
      </w:r>
    </w:p>
    <w:p>
      <w:pPr>
        <w:ind w:firstLine="420" w:firstLineChars="200"/>
      </w:pPr>
      <w:r>
        <w:rPr>
          <w:rFonts w:hint="eastAsia"/>
        </w:rPr>
        <w:t>车载卫星定位系统试验场景按照表</w:t>
      </w:r>
      <w:r>
        <w:rPr>
          <w:rFonts w:ascii="宋体" w:hAnsi="宋体"/>
        </w:rPr>
        <w:t>C.1-C.6</w:t>
      </w:r>
      <w:r>
        <w:rPr>
          <w:rFonts w:hint="eastAsia"/>
        </w:rPr>
        <w:t>进行参数配置：</w:t>
      </w:r>
    </w:p>
    <w:p>
      <w:pPr>
        <w:pStyle w:val="80"/>
        <w:numPr>
          <w:ilvl w:val="1"/>
          <w:numId w:val="35"/>
        </w:numPr>
        <w:spacing w:before="156" w:after="156"/>
      </w:pPr>
      <w:r>
        <w:rPr>
          <w:rFonts w:hint="eastAsia"/>
        </w:rPr>
        <w:t>静态试验场景关键参数</w:t>
      </w:r>
    </w:p>
    <w:tbl>
      <w:tblPr>
        <w:tblStyle w:val="36"/>
        <w:tblW w:w="96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109"/>
        <w:gridCol w:w="65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3109" w:type="dxa"/>
            <w:tcBorders>
              <w:top w:val="single" w:color="auto" w:sz="8" w:space="0"/>
              <w:bottom w:val="single" w:color="auto" w:sz="8" w:space="0"/>
            </w:tcBorders>
            <w:shd w:val="clear" w:color="auto" w:fill="auto"/>
            <w:vAlign w:val="center"/>
          </w:tcPr>
          <w:p>
            <w:pPr>
              <w:pStyle w:val="181"/>
            </w:pPr>
            <w:r>
              <w:rPr>
                <w:rFonts w:hint="eastAsia"/>
              </w:rPr>
              <w:t>参数</w:t>
            </w:r>
          </w:p>
        </w:tc>
        <w:tc>
          <w:tcPr>
            <w:tcW w:w="6520" w:type="dxa"/>
            <w:tcBorders>
              <w:top w:val="single" w:color="auto" w:sz="8" w:space="0"/>
              <w:bottom w:val="single" w:color="auto" w:sz="8" w:space="0"/>
            </w:tcBorders>
            <w:shd w:val="clear" w:color="auto" w:fill="auto"/>
          </w:tcPr>
          <w:p>
            <w:pPr>
              <w:pStyle w:val="181"/>
            </w:pPr>
            <w:r>
              <w:rPr>
                <w:rFonts w:hint="eastAsia"/>
              </w:rPr>
              <w:t>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09" w:type="dxa"/>
            <w:tcBorders>
              <w:top w:val="single" w:color="auto" w:sz="8" w:space="0"/>
            </w:tcBorders>
            <w:shd w:val="clear" w:color="auto" w:fill="auto"/>
            <w:vAlign w:val="center"/>
          </w:tcPr>
          <w:p>
            <w:pPr>
              <w:pStyle w:val="181"/>
            </w:pPr>
            <w:r>
              <w:rPr>
                <w:rFonts w:hint="eastAsia"/>
              </w:rPr>
              <w:t>位置</w:t>
            </w:r>
          </w:p>
        </w:tc>
        <w:tc>
          <w:tcPr>
            <w:tcW w:w="6520" w:type="dxa"/>
            <w:tcBorders>
              <w:top w:val="single" w:color="auto" w:sz="8" w:space="0"/>
            </w:tcBorders>
            <w:shd w:val="clear" w:color="auto" w:fill="auto"/>
          </w:tcPr>
          <w:p>
            <w:pPr>
              <w:pStyle w:val="181"/>
              <w:rPr>
                <w:highlight w:val="yellow"/>
              </w:rPr>
            </w:pPr>
            <w:r>
              <w:rPr>
                <w:rFonts w:hint="eastAsia"/>
              </w:rPr>
              <w:t>中国领土范围内的陆地位置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09" w:type="dxa"/>
            <w:shd w:val="clear" w:color="auto" w:fill="auto"/>
            <w:vAlign w:val="center"/>
          </w:tcPr>
          <w:p>
            <w:pPr>
              <w:pStyle w:val="181"/>
            </w:pPr>
            <w:r>
              <w:rPr>
                <w:rFonts w:hint="eastAsia"/>
              </w:rPr>
              <w:t>星座与信号</w:t>
            </w:r>
          </w:p>
        </w:tc>
        <w:tc>
          <w:tcPr>
            <w:tcW w:w="6520" w:type="dxa"/>
            <w:shd w:val="clear" w:color="auto" w:fill="auto"/>
          </w:tcPr>
          <w:p>
            <w:pPr>
              <w:pStyle w:val="181"/>
            </w:pPr>
            <w:r>
              <w:rPr>
                <w:rFonts w:hint="eastAsia"/>
              </w:rPr>
              <w:t>GPSL1，BDSB</w:t>
            </w:r>
            <w:r>
              <w:t>1I</w:t>
            </w:r>
            <w:r>
              <w:rPr>
                <w:rFonts w:hint="eastAsia"/>
              </w:rPr>
              <w:t>，</w:t>
            </w:r>
            <w:r>
              <w:t>Galileo E1</w:t>
            </w:r>
            <w:r>
              <w:rPr>
                <w:rFonts w:hint="eastAsia"/>
              </w:rPr>
              <w:t>，</w:t>
            </w:r>
            <w:r>
              <w:t>GLONASS G1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09" w:type="dxa"/>
            <w:shd w:val="clear" w:color="auto" w:fill="auto"/>
            <w:vAlign w:val="center"/>
          </w:tcPr>
          <w:p>
            <w:pPr>
              <w:pStyle w:val="181"/>
            </w:pPr>
            <w:r>
              <w:rPr>
                <w:rFonts w:hint="eastAsia"/>
              </w:rPr>
              <w:t>仿真可见卫星数</w:t>
            </w:r>
          </w:p>
        </w:tc>
        <w:tc>
          <w:tcPr>
            <w:tcW w:w="6520" w:type="dxa"/>
            <w:shd w:val="clear" w:color="auto" w:fill="auto"/>
          </w:tcPr>
          <w:p>
            <w:pPr>
              <w:pStyle w:val="181"/>
            </w:pPr>
            <w:r>
              <w:rPr>
                <w:rFonts w:hint="eastAsia"/>
              </w:rPr>
              <w:t>GPS≥</w:t>
            </w:r>
            <w:r>
              <w:t>6</w:t>
            </w:r>
            <w:r>
              <w:rPr>
                <w:rFonts w:hint="eastAsia"/>
              </w:rPr>
              <w:t>颗，BDS≥</w:t>
            </w:r>
            <w:r>
              <w:t>6</w:t>
            </w:r>
            <w:r>
              <w:rPr>
                <w:rFonts w:hint="eastAsia"/>
              </w:rPr>
              <w:t>颗，</w:t>
            </w:r>
            <w:r>
              <w:t>Galileo</w:t>
            </w:r>
            <w:r>
              <w:rPr>
                <w:rFonts w:hint="eastAsia"/>
              </w:rPr>
              <w:t>≥</w:t>
            </w:r>
            <w:r>
              <w:t>6</w:t>
            </w:r>
            <w:r>
              <w:rPr>
                <w:rFonts w:hint="eastAsia"/>
              </w:rPr>
              <w:t>颗，GLONASS≥</w:t>
            </w:r>
            <w:r>
              <w:t>6</w:t>
            </w:r>
            <w:r>
              <w:rPr>
                <w:rFonts w:hint="eastAsia"/>
              </w:rPr>
              <w:t>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09" w:type="dxa"/>
            <w:shd w:val="clear" w:color="auto" w:fill="auto"/>
            <w:vAlign w:val="center"/>
          </w:tcPr>
          <w:p>
            <w:pPr>
              <w:pStyle w:val="181"/>
            </w:pPr>
            <w:r>
              <w:rPr>
                <w:rFonts w:hint="eastAsia"/>
              </w:rPr>
              <w:t>HDOP、PDOP</w:t>
            </w:r>
          </w:p>
        </w:tc>
        <w:tc>
          <w:tcPr>
            <w:tcW w:w="6520" w:type="dxa"/>
            <w:shd w:val="clear" w:color="auto" w:fill="auto"/>
          </w:tcPr>
          <w:p>
            <w:pPr>
              <w:pStyle w:val="181"/>
            </w:pPr>
            <w:r>
              <w:rPr>
                <w:rFonts w:hint="eastAsia"/>
              </w:rPr>
              <w:t>开阔天空：P</w:t>
            </w:r>
            <w:r>
              <w:t>DOP</w:t>
            </w:r>
            <w:r>
              <w:rPr>
                <w:rFonts w:hint="eastAsia"/>
              </w:rPr>
              <w:t>≤</w:t>
            </w:r>
            <w:r>
              <w:t>2.5</w:t>
            </w:r>
          </w:p>
          <w:p>
            <w:pPr>
              <w:pStyle w:val="181"/>
              <w:rPr>
                <w:strike/>
              </w:rPr>
            </w:pPr>
            <w:r>
              <w:rPr>
                <w:rFonts w:hint="eastAsia"/>
              </w:rPr>
              <w:t>城市峡谷：P</w:t>
            </w:r>
            <w:r>
              <w:t>DOP</w:t>
            </w:r>
            <w:r>
              <w:rPr>
                <w:rFonts w:hint="eastAsia"/>
              </w:rPr>
              <w:t>≤</w:t>
            </w:r>
            <w: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09" w:type="dxa"/>
            <w:shd w:val="clear" w:color="auto" w:fill="auto"/>
            <w:vAlign w:val="center"/>
          </w:tcPr>
          <w:p>
            <w:pPr>
              <w:pStyle w:val="181"/>
            </w:pPr>
            <w:r>
              <w:rPr>
                <w:rFonts w:hint="eastAsia"/>
              </w:rPr>
              <w:t>场景仿真时长</w:t>
            </w:r>
          </w:p>
        </w:tc>
        <w:tc>
          <w:tcPr>
            <w:tcW w:w="6520" w:type="dxa"/>
            <w:shd w:val="clear" w:color="auto" w:fill="auto"/>
          </w:tcPr>
          <w:p>
            <w:pPr>
              <w:pStyle w:val="181"/>
            </w:pPr>
            <w:r>
              <w:t>1</w:t>
            </w:r>
            <w:r>
              <w:rPr>
                <w:rFonts w:hint="eastAsia"/>
              </w:rPr>
              <w:t>小时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09" w:type="dxa"/>
            <w:shd w:val="clear" w:color="auto" w:fill="auto"/>
            <w:vAlign w:val="center"/>
          </w:tcPr>
          <w:p>
            <w:pPr>
              <w:pStyle w:val="181"/>
            </w:pPr>
            <w:r>
              <w:rPr>
                <w:rFonts w:hint="eastAsia"/>
              </w:rPr>
              <w:t>轨迹</w:t>
            </w:r>
          </w:p>
        </w:tc>
        <w:tc>
          <w:tcPr>
            <w:tcW w:w="6520" w:type="dxa"/>
            <w:shd w:val="clear" w:color="auto" w:fill="auto"/>
          </w:tcPr>
          <w:p>
            <w:pPr>
              <w:pStyle w:val="181"/>
            </w:pPr>
            <w:r>
              <w:rPr>
                <w:rFonts w:hint="eastAsia"/>
              </w:rPr>
              <w:t>静态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09" w:type="dxa"/>
            <w:shd w:val="clear" w:color="auto" w:fill="auto"/>
            <w:vAlign w:val="center"/>
          </w:tcPr>
          <w:p>
            <w:pPr>
              <w:pStyle w:val="181"/>
            </w:pPr>
            <w:r>
              <w:rPr>
                <w:rFonts w:hint="eastAsia"/>
              </w:rPr>
              <w:t>信号输出功率</w:t>
            </w:r>
          </w:p>
        </w:tc>
        <w:tc>
          <w:tcPr>
            <w:tcW w:w="6520" w:type="dxa"/>
            <w:shd w:val="clear" w:color="auto" w:fill="auto"/>
          </w:tcPr>
          <w:p>
            <w:pPr>
              <w:pStyle w:val="181"/>
            </w:pPr>
            <w:r>
              <w:t>-130dBm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09" w:type="dxa"/>
            <w:shd w:val="clear" w:color="auto" w:fill="auto"/>
            <w:vAlign w:val="center"/>
          </w:tcPr>
          <w:p>
            <w:pPr>
              <w:pStyle w:val="181"/>
            </w:pPr>
            <w:r>
              <w:rPr>
                <w:rFonts w:hint="eastAsia"/>
              </w:rPr>
              <w:t>卫星功率是否相同</w:t>
            </w:r>
          </w:p>
        </w:tc>
        <w:tc>
          <w:tcPr>
            <w:tcW w:w="6520" w:type="dxa"/>
            <w:shd w:val="clear" w:color="auto" w:fill="auto"/>
          </w:tcPr>
          <w:p>
            <w:pPr>
              <w:pStyle w:val="181"/>
            </w:pPr>
            <w:r>
              <w:rPr>
                <w:rFonts w:hint="eastAsia"/>
              </w:rPr>
              <w:t>是</w:t>
            </w:r>
          </w:p>
        </w:tc>
      </w:tr>
    </w:tbl>
    <w:p>
      <w:pPr>
        <w:pStyle w:val="80"/>
        <w:spacing w:before="156" w:after="156"/>
        <w:ind w:firstLine="420"/>
        <w:textAlignment w:val="auto"/>
      </w:pPr>
      <w:r>
        <w:rPr>
          <w:rFonts w:hint="eastAsia" w:hAnsi="宋体"/>
        </w:rPr>
        <w:t>动态试验场景</w:t>
      </w:r>
      <w:r>
        <w:rPr>
          <w:rFonts w:hint="eastAsia"/>
        </w:rPr>
        <w:t>关键参数</w:t>
      </w:r>
    </w:p>
    <w:tbl>
      <w:tblPr>
        <w:tblStyle w:val="36"/>
        <w:tblW w:w="96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42" w:type="dxa"/>
          <w:bottom w:w="0" w:type="dxa"/>
          <w:right w:w="0" w:type="dxa"/>
        </w:tblCellMar>
      </w:tblPr>
      <w:tblGrid>
        <w:gridCol w:w="3109"/>
        <w:gridCol w:w="65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42" w:type="dxa"/>
            <w:bottom w:w="0" w:type="dxa"/>
            <w:right w:w="0" w:type="dxa"/>
          </w:tblCellMar>
        </w:tblPrEx>
        <w:trPr>
          <w:tblHeader/>
          <w:jc w:val="center"/>
        </w:trPr>
        <w:tc>
          <w:tcPr>
            <w:tcW w:w="3109" w:type="dxa"/>
            <w:tcBorders>
              <w:top w:val="single" w:color="auto" w:sz="8" w:space="0"/>
              <w:bottom w:val="single" w:color="auto" w:sz="8" w:space="0"/>
            </w:tcBorders>
            <w:shd w:val="clear" w:color="auto" w:fill="auto"/>
            <w:vAlign w:val="center"/>
          </w:tcPr>
          <w:p>
            <w:pPr>
              <w:pStyle w:val="181"/>
            </w:pPr>
            <w:r>
              <w:rPr>
                <w:rFonts w:hint="eastAsia"/>
              </w:rPr>
              <w:t>参数</w:t>
            </w:r>
          </w:p>
        </w:tc>
        <w:tc>
          <w:tcPr>
            <w:tcW w:w="6520" w:type="dxa"/>
            <w:tcBorders>
              <w:top w:val="single" w:color="auto" w:sz="8" w:space="0"/>
              <w:bottom w:val="single" w:color="auto" w:sz="8" w:space="0"/>
            </w:tcBorders>
            <w:shd w:val="clear" w:color="auto" w:fill="auto"/>
          </w:tcPr>
          <w:p>
            <w:pPr>
              <w:pStyle w:val="181"/>
            </w:pPr>
            <w:r>
              <w:rPr>
                <w:rFonts w:hint="eastAsia"/>
              </w:rPr>
              <w:t>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42" w:type="dxa"/>
            <w:bottom w:w="0" w:type="dxa"/>
            <w:right w:w="0" w:type="dxa"/>
          </w:tblCellMar>
        </w:tblPrEx>
        <w:trPr>
          <w:jc w:val="center"/>
        </w:trPr>
        <w:tc>
          <w:tcPr>
            <w:tcW w:w="3109" w:type="dxa"/>
            <w:shd w:val="clear" w:color="auto" w:fill="auto"/>
            <w:vAlign w:val="center"/>
          </w:tcPr>
          <w:p>
            <w:pPr>
              <w:pStyle w:val="181"/>
            </w:pPr>
            <w:r>
              <w:rPr>
                <w:rFonts w:hint="eastAsia"/>
              </w:rPr>
              <w:t>位置</w:t>
            </w:r>
          </w:p>
        </w:tc>
        <w:tc>
          <w:tcPr>
            <w:tcW w:w="6520" w:type="dxa"/>
            <w:shd w:val="clear" w:color="auto" w:fill="auto"/>
          </w:tcPr>
          <w:p>
            <w:pPr>
              <w:pStyle w:val="181"/>
            </w:pPr>
            <w:r>
              <w:rPr>
                <w:rFonts w:hint="eastAsia"/>
              </w:rPr>
              <w:t>中国领土范围内的陆地位置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42" w:type="dxa"/>
            <w:bottom w:w="0" w:type="dxa"/>
            <w:right w:w="0" w:type="dxa"/>
          </w:tblCellMar>
        </w:tblPrEx>
        <w:trPr>
          <w:jc w:val="center"/>
        </w:trPr>
        <w:tc>
          <w:tcPr>
            <w:tcW w:w="3109" w:type="dxa"/>
            <w:shd w:val="clear" w:color="auto" w:fill="auto"/>
            <w:vAlign w:val="center"/>
          </w:tcPr>
          <w:p>
            <w:pPr>
              <w:pStyle w:val="181"/>
            </w:pPr>
            <w:r>
              <w:rPr>
                <w:rFonts w:hint="eastAsia"/>
              </w:rPr>
              <w:t>星座与信号</w:t>
            </w:r>
          </w:p>
        </w:tc>
        <w:tc>
          <w:tcPr>
            <w:tcW w:w="6520" w:type="dxa"/>
            <w:shd w:val="clear" w:color="auto" w:fill="auto"/>
          </w:tcPr>
          <w:p>
            <w:pPr>
              <w:pStyle w:val="181"/>
            </w:pPr>
            <w:r>
              <w:rPr>
                <w:rFonts w:hint="eastAsia"/>
              </w:rPr>
              <w:t>GPSL1，BDSB</w:t>
            </w:r>
            <w:r>
              <w:t>1I</w:t>
            </w:r>
            <w:r>
              <w:rPr>
                <w:rFonts w:hint="eastAsia"/>
              </w:rPr>
              <w:t>，</w:t>
            </w:r>
            <w:r>
              <w:t>Galileo E1</w:t>
            </w:r>
            <w:r>
              <w:rPr>
                <w:rFonts w:hint="eastAsia"/>
              </w:rPr>
              <w:t>，</w:t>
            </w:r>
            <w:r>
              <w:t>GLONASS G1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42" w:type="dxa"/>
            <w:bottom w:w="0" w:type="dxa"/>
            <w:right w:w="0" w:type="dxa"/>
          </w:tblCellMar>
        </w:tblPrEx>
        <w:trPr>
          <w:jc w:val="center"/>
        </w:trPr>
        <w:tc>
          <w:tcPr>
            <w:tcW w:w="3109" w:type="dxa"/>
            <w:shd w:val="clear" w:color="auto" w:fill="auto"/>
            <w:vAlign w:val="center"/>
          </w:tcPr>
          <w:p>
            <w:pPr>
              <w:pStyle w:val="181"/>
            </w:pPr>
            <w:r>
              <w:rPr>
                <w:rFonts w:hint="eastAsia"/>
              </w:rPr>
              <w:t>仿真可见卫星数</w:t>
            </w:r>
          </w:p>
        </w:tc>
        <w:tc>
          <w:tcPr>
            <w:tcW w:w="6520" w:type="dxa"/>
            <w:shd w:val="clear" w:color="auto" w:fill="auto"/>
          </w:tcPr>
          <w:p>
            <w:pPr>
              <w:pStyle w:val="181"/>
            </w:pPr>
            <w:r>
              <w:rPr>
                <w:rFonts w:hint="eastAsia"/>
              </w:rPr>
              <w:t>GPS≥</w:t>
            </w:r>
            <w:r>
              <w:t>6</w:t>
            </w:r>
            <w:r>
              <w:rPr>
                <w:rFonts w:hint="eastAsia"/>
              </w:rPr>
              <w:t>颗，BDS≥</w:t>
            </w:r>
            <w:r>
              <w:t>6</w:t>
            </w:r>
            <w:r>
              <w:rPr>
                <w:rFonts w:hint="eastAsia"/>
              </w:rPr>
              <w:t>颗，</w:t>
            </w:r>
            <w:r>
              <w:t>Galileo</w:t>
            </w:r>
            <w:r>
              <w:rPr>
                <w:rFonts w:hint="eastAsia"/>
              </w:rPr>
              <w:t>≥</w:t>
            </w:r>
            <w:r>
              <w:t>6</w:t>
            </w:r>
            <w:r>
              <w:rPr>
                <w:rFonts w:hint="eastAsia"/>
              </w:rPr>
              <w:t>颗，GLONASS≥</w:t>
            </w:r>
            <w:r>
              <w:t>6</w:t>
            </w:r>
            <w:r>
              <w:rPr>
                <w:rFonts w:hint="eastAsia"/>
              </w:rPr>
              <w:t>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42" w:type="dxa"/>
            <w:bottom w:w="0" w:type="dxa"/>
            <w:right w:w="0" w:type="dxa"/>
          </w:tblCellMar>
        </w:tblPrEx>
        <w:trPr>
          <w:jc w:val="center"/>
        </w:trPr>
        <w:tc>
          <w:tcPr>
            <w:tcW w:w="3109" w:type="dxa"/>
            <w:shd w:val="clear" w:color="auto" w:fill="auto"/>
            <w:vAlign w:val="center"/>
          </w:tcPr>
          <w:p>
            <w:pPr>
              <w:pStyle w:val="181"/>
            </w:pPr>
            <w:r>
              <w:rPr>
                <w:rFonts w:hint="eastAsia"/>
              </w:rPr>
              <w:t>HDOP、PDOP</w:t>
            </w:r>
          </w:p>
        </w:tc>
        <w:tc>
          <w:tcPr>
            <w:tcW w:w="6520" w:type="dxa"/>
            <w:shd w:val="clear" w:color="auto" w:fill="auto"/>
          </w:tcPr>
          <w:p>
            <w:pPr>
              <w:pStyle w:val="181"/>
            </w:pPr>
            <w:r>
              <w:rPr>
                <w:rFonts w:hint="eastAsia"/>
              </w:rPr>
              <w:t>开阔天空：P</w:t>
            </w:r>
            <w:r>
              <w:t>DOP</w:t>
            </w:r>
            <w:r>
              <w:rPr>
                <w:rFonts w:hint="eastAsia"/>
              </w:rPr>
              <w:t>≤</w:t>
            </w:r>
            <w:r>
              <w:t>2.5</w:t>
            </w:r>
          </w:p>
          <w:p>
            <w:pPr>
              <w:pStyle w:val="181"/>
            </w:pPr>
            <w:r>
              <w:rPr>
                <w:rFonts w:hint="eastAsia"/>
              </w:rPr>
              <w:t>城市峡谷：P</w:t>
            </w:r>
            <w:r>
              <w:t>DOP</w:t>
            </w:r>
            <w:r>
              <w:rPr>
                <w:rFonts w:hint="eastAsia"/>
              </w:rPr>
              <w:t>≤</w:t>
            </w:r>
            <w: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42" w:type="dxa"/>
            <w:bottom w:w="0" w:type="dxa"/>
            <w:right w:w="0" w:type="dxa"/>
          </w:tblCellMar>
        </w:tblPrEx>
        <w:trPr>
          <w:jc w:val="center"/>
        </w:trPr>
        <w:tc>
          <w:tcPr>
            <w:tcW w:w="3109" w:type="dxa"/>
            <w:shd w:val="clear" w:color="auto" w:fill="auto"/>
            <w:vAlign w:val="center"/>
          </w:tcPr>
          <w:p>
            <w:pPr>
              <w:pStyle w:val="181"/>
              <w:rPr>
                <w:highlight w:val="yellow"/>
              </w:rPr>
            </w:pPr>
            <w:r>
              <w:rPr>
                <w:rFonts w:hint="eastAsia"/>
              </w:rPr>
              <w:t>场景仿真时长</w:t>
            </w:r>
          </w:p>
        </w:tc>
        <w:tc>
          <w:tcPr>
            <w:tcW w:w="6520" w:type="dxa"/>
            <w:shd w:val="clear" w:color="auto" w:fill="auto"/>
          </w:tcPr>
          <w:p>
            <w:pPr>
              <w:pStyle w:val="181"/>
              <w:rPr>
                <w:highlight w:val="yellow"/>
              </w:rPr>
            </w:pPr>
            <w:r>
              <w:rPr>
                <w:rFonts w:hint="eastAsia"/>
              </w:rPr>
              <w:t>1小时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42" w:type="dxa"/>
            <w:bottom w:w="0" w:type="dxa"/>
            <w:right w:w="0" w:type="dxa"/>
          </w:tblCellMar>
        </w:tblPrEx>
        <w:trPr>
          <w:jc w:val="center"/>
        </w:trPr>
        <w:tc>
          <w:tcPr>
            <w:tcW w:w="3109" w:type="dxa"/>
            <w:shd w:val="clear" w:color="auto" w:fill="auto"/>
            <w:vAlign w:val="center"/>
          </w:tcPr>
          <w:p>
            <w:pPr>
              <w:pStyle w:val="181"/>
            </w:pPr>
            <w:r>
              <w:rPr>
                <w:rFonts w:hint="eastAsia"/>
              </w:rPr>
              <w:t>轨迹</w:t>
            </w:r>
          </w:p>
        </w:tc>
        <w:tc>
          <w:tcPr>
            <w:tcW w:w="6520" w:type="dxa"/>
            <w:shd w:val="clear" w:color="auto" w:fill="auto"/>
            <w:vAlign w:val="center"/>
          </w:tcPr>
          <w:p>
            <w:pPr>
              <w:pStyle w:val="181"/>
              <w:numPr>
                <w:ilvl w:val="0"/>
                <w:numId w:val="36"/>
              </w:numPr>
              <w:jc w:val="both"/>
            </w:pPr>
            <w:r>
              <w:rPr>
                <w:rFonts w:hint="eastAsia"/>
              </w:rPr>
              <w:t>起始位置开始向北初始速度为3</w:t>
            </w:r>
            <w:r>
              <w:t>0</w:t>
            </w:r>
            <w:r>
              <w:rPr>
                <w:rFonts w:hint="eastAsia"/>
              </w:rPr>
              <w:t>公里/小时；</w:t>
            </w:r>
          </w:p>
          <w:p>
            <w:pPr>
              <w:pStyle w:val="181"/>
              <w:numPr>
                <w:ilvl w:val="0"/>
                <w:numId w:val="36"/>
              </w:numPr>
              <w:jc w:val="both"/>
            </w:pPr>
            <w:r>
              <w:rPr>
                <w:rFonts w:hint="eastAsia"/>
              </w:rPr>
              <w:t>在250米内从30公里/小时加速到300公里/小时；</w:t>
            </w:r>
          </w:p>
          <w:p>
            <w:pPr>
              <w:pStyle w:val="181"/>
              <w:numPr>
                <w:ilvl w:val="0"/>
                <w:numId w:val="36"/>
              </w:numPr>
              <w:jc w:val="both"/>
            </w:pPr>
            <w:r>
              <w:rPr>
                <w:rFonts w:hint="eastAsia"/>
              </w:rPr>
              <w:t>保持3</w:t>
            </w:r>
            <w:r>
              <w:t>00</w:t>
            </w:r>
            <w:r>
              <w:rPr>
                <w:rFonts w:hint="eastAsia"/>
              </w:rPr>
              <w:t>公里/小时速度运动</w:t>
            </w:r>
            <w:r>
              <w:t>300</w:t>
            </w:r>
            <w:r>
              <w:rPr>
                <w:rFonts w:hint="eastAsia"/>
              </w:rPr>
              <w:t>秒后，在250米内减速到30公里/小时；</w:t>
            </w:r>
          </w:p>
          <w:p>
            <w:pPr>
              <w:pStyle w:val="181"/>
              <w:numPr>
                <w:ilvl w:val="0"/>
                <w:numId w:val="36"/>
              </w:numPr>
              <w:jc w:val="both"/>
            </w:pPr>
            <w:r>
              <w:rPr>
                <w:rFonts w:hint="eastAsia"/>
              </w:rPr>
              <w:t>顺时针90度转弯，转弯半径20米，保持时速30公里/小时；</w:t>
            </w:r>
          </w:p>
          <w:p>
            <w:pPr>
              <w:pStyle w:val="181"/>
              <w:numPr>
                <w:ilvl w:val="0"/>
                <w:numId w:val="36"/>
              </w:numPr>
              <w:jc w:val="both"/>
            </w:pPr>
            <w:r>
              <w:rPr>
                <w:rFonts w:hint="eastAsia"/>
              </w:rPr>
              <w:t>在250米内加速到最终速度300公里/小时；</w:t>
            </w:r>
          </w:p>
          <w:p>
            <w:pPr>
              <w:pStyle w:val="181"/>
              <w:numPr>
                <w:ilvl w:val="0"/>
                <w:numId w:val="36"/>
              </w:numPr>
              <w:jc w:val="both"/>
            </w:pPr>
            <w:r>
              <w:rPr>
                <w:rFonts w:hint="eastAsia"/>
              </w:rPr>
              <w:t>保持3</w:t>
            </w:r>
            <w:r>
              <w:t>00</w:t>
            </w:r>
            <w:r>
              <w:rPr>
                <w:rFonts w:hint="eastAsia"/>
              </w:rPr>
              <w:t>公里/小时速度运动</w:t>
            </w:r>
            <w:r>
              <w:t>300</w:t>
            </w:r>
            <w:r>
              <w:rPr>
                <w:rFonts w:hint="eastAsia"/>
              </w:rPr>
              <w:t>秒后，在2</w:t>
            </w:r>
            <w:r>
              <w:t>50</w:t>
            </w:r>
            <w:r>
              <w:rPr>
                <w:rFonts w:hint="eastAsia"/>
              </w:rPr>
              <w:t>米内减速到3</w:t>
            </w:r>
            <w:r>
              <w:t>0</w:t>
            </w:r>
            <w:r>
              <w:rPr>
                <w:rFonts w:hint="eastAsia"/>
              </w:rPr>
              <w:t>公里/小时；</w:t>
            </w:r>
          </w:p>
          <w:p>
            <w:pPr>
              <w:pStyle w:val="181"/>
              <w:numPr>
                <w:ilvl w:val="0"/>
                <w:numId w:val="36"/>
              </w:numPr>
              <w:jc w:val="both"/>
            </w:pPr>
            <w:r>
              <w:rPr>
                <w:rFonts w:hint="eastAsia"/>
              </w:rPr>
              <w:t>顺时针90度转弯，转弯半径20米，保持时速30公里/小时；</w:t>
            </w:r>
          </w:p>
          <w:p>
            <w:pPr>
              <w:pStyle w:val="181"/>
              <w:jc w:val="both"/>
            </w:pPr>
            <w:r>
              <w:rPr>
                <w:rFonts w:hint="eastAsia"/>
              </w:rPr>
              <w:t>重复第2-第</w:t>
            </w:r>
            <w:r>
              <w:t>7</w:t>
            </w:r>
            <w:r>
              <w:rPr>
                <w:rFonts w:hint="eastAsia"/>
              </w:rPr>
              <w:t>步来完成矩形（圆角），并持续同样的运动轨迹至场景结束。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42" w:type="dxa"/>
            <w:bottom w:w="0" w:type="dxa"/>
            <w:right w:w="0" w:type="dxa"/>
          </w:tblCellMar>
        </w:tblPrEx>
        <w:trPr>
          <w:jc w:val="center"/>
        </w:trPr>
        <w:tc>
          <w:tcPr>
            <w:tcW w:w="3109" w:type="dxa"/>
            <w:shd w:val="clear" w:color="auto" w:fill="auto"/>
            <w:vAlign w:val="center"/>
          </w:tcPr>
          <w:p>
            <w:pPr>
              <w:pStyle w:val="181"/>
            </w:pPr>
            <w:r>
              <w:rPr>
                <w:rFonts w:hint="eastAsia"/>
              </w:rPr>
              <w:t>信号输出功率</w:t>
            </w:r>
          </w:p>
        </w:tc>
        <w:tc>
          <w:tcPr>
            <w:tcW w:w="6520" w:type="dxa"/>
            <w:shd w:val="clear" w:color="auto" w:fill="auto"/>
          </w:tcPr>
          <w:p>
            <w:pPr>
              <w:pStyle w:val="181"/>
            </w:pPr>
            <w:r>
              <w:t>-130dBm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42" w:type="dxa"/>
            <w:bottom w:w="0" w:type="dxa"/>
            <w:right w:w="0" w:type="dxa"/>
          </w:tblCellMar>
        </w:tblPrEx>
        <w:trPr>
          <w:jc w:val="center"/>
        </w:trPr>
        <w:tc>
          <w:tcPr>
            <w:tcW w:w="3109" w:type="dxa"/>
            <w:shd w:val="clear" w:color="auto" w:fill="auto"/>
            <w:vAlign w:val="center"/>
          </w:tcPr>
          <w:p>
            <w:pPr>
              <w:pStyle w:val="181"/>
            </w:pPr>
            <w:r>
              <w:rPr>
                <w:rFonts w:hint="eastAsia"/>
              </w:rPr>
              <w:t>卫星功率是否相同</w:t>
            </w:r>
          </w:p>
        </w:tc>
        <w:tc>
          <w:tcPr>
            <w:tcW w:w="6520" w:type="dxa"/>
            <w:shd w:val="clear" w:color="auto" w:fill="auto"/>
          </w:tcPr>
          <w:p>
            <w:pPr>
              <w:pStyle w:val="181"/>
            </w:pPr>
            <w:r>
              <w:rPr>
                <w:rFonts w:hint="eastAsia"/>
              </w:rPr>
              <w:t>是</w:t>
            </w:r>
          </w:p>
        </w:tc>
      </w:tr>
    </w:tbl>
    <w:p>
      <w:pPr>
        <w:pStyle w:val="59"/>
        <w:ind w:firstLine="420"/>
        <w:jc w:val="center"/>
      </w:pPr>
      <w:r>
        <w:drawing>
          <wp:inline distT="0" distB="0" distL="0" distR="0">
            <wp:extent cx="2350770" cy="127381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2368762" cy="1283493"/>
                    </a:xfrm>
                    <a:prstGeom prst="rect">
                      <a:avLst/>
                    </a:prstGeom>
                  </pic:spPr>
                </pic:pic>
              </a:graphicData>
            </a:graphic>
          </wp:inline>
        </w:drawing>
      </w:r>
    </w:p>
    <w:p>
      <w:pPr>
        <w:pStyle w:val="86"/>
        <w:spacing w:before="156" w:after="156"/>
      </w:pPr>
      <w:r>
        <w:rPr>
          <w:rFonts w:hint="eastAsia"/>
        </w:rPr>
        <w:t>运动轨迹</w:t>
      </w:r>
    </w:p>
    <w:p>
      <w:pPr>
        <w:pStyle w:val="80"/>
        <w:spacing w:before="156" w:after="156"/>
        <w:textAlignment w:val="auto"/>
      </w:pPr>
      <w:bookmarkStart w:id="41" w:name="_Hlk74217217"/>
      <w:r>
        <w:t>独立北斗</w:t>
      </w:r>
      <w:r>
        <w:rPr>
          <w:rFonts w:hint="eastAsia" w:hAnsi="宋体"/>
        </w:rPr>
        <w:t>静态试验场景</w:t>
      </w:r>
      <w:r>
        <w:rPr>
          <w:rFonts w:hint="eastAsia"/>
        </w:rPr>
        <w:t>关键参数</w:t>
      </w:r>
    </w:p>
    <w:bookmarkEnd w:id="41"/>
    <w:tbl>
      <w:tblPr>
        <w:tblStyle w:val="36"/>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967"/>
        <w:gridCol w:w="63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2967" w:type="dxa"/>
            <w:tcBorders>
              <w:top w:val="single" w:color="auto" w:sz="8" w:space="0"/>
              <w:bottom w:val="single" w:color="auto" w:sz="8" w:space="0"/>
            </w:tcBorders>
            <w:shd w:val="clear" w:color="auto" w:fill="auto"/>
            <w:vAlign w:val="center"/>
          </w:tcPr>
          <w:p>
            <w:pPr>
              <w:pStyle w:val="181"/>
            </w:pPr>
            <w:r>
              <w:rPr>
                <w:rFonts w:hint="eastAsia"/>
              </w:rPr>
              <w:t>参数</w:t>
            </w:r>
          </w:p>
        </w:tc>
        <w:tc>
          <w:tcPr>
            <w:tcW w:w="6367" w:type="dxa"/>
            <w:tcBorders>
              <w:top w:val="single" w:color="auto" w:sz="8" w:space="0"/>
              <w:bottom w:val="single" w:color="auto" w:sz="8" w:space="0"/>
            </w:tcBorders>
            <w:shd w:val="clear" w:color="auto" w:fill="auto"/>
          </w:tcPr>
          <w:p>
            <w:pPr>
              <w:pStyle w:val="181"/>
            </w:pPr>
            <w:r>
              <w:rPr>
                <w:rFonts w:hint="eastAsia"/>
              </w:rPr>
              <w:t>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967" w:type="dxa"/>
            <w:shd w:val="clear" w:color="auto" w:fill="auto"/>
            <w:vAlign w:val="center"/>
          </w:tcPr>
          <w:p>
            <w:pPr>
              <w:pStyle w:val="181"/>
            </w:pPr>
            <w:r>
              <w:rPr>
                <w:rFonts w:hint="eastAsia"/>
              </w:rPr>
              <w:t>位置</w:t>
            </w:r>
          </w:p>
        </w:tc>
        <w:tc>
          <w:tcPr>
            <w:tcW w:w="6367" w:type="dxa"/>
            <w:shd w:val="clear" w:color="auto" w:fill="auto"/>
          </w:tcPr>
          <w:p>
            <w:pPr>
              <w:pStyle w:val="181"/>
            </w:pPr>
            <w:r>
              <w:rPr>
                <w:rFonts w:hint="eastAsia"/>
              </w:rPr>
              <w:t>中国领土范围内的陆地位置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967" w:type="dxa"/>
            <w:shd w:val="clear" w:color="auto" w:fill="auto"/>
            <w:vAlign w:val="center"/>
          </w:tcPr>
          <w:p>
            <w:pPr>
              <w:pStyle w:val="181"/>
            </w:pPr>
            <w:r>
              <w:rPr>
                <w:rFonts w:hint="eastAsia"/>
              </w:rPr>
              <w:t>星座与信号</w:t>
            </w:r>
          </w:p>
        </w:tc>
        <w:tc>
          <w:tcPr>
            <w:tcW w:w="6367" w:type="dxa"/>
            <w:shd w:val="clear" w:color="auto" w:fill="auto"/>
          </w:tcPr>
          <w:p>
            <w:pPr>
              <w:pStyle w:val="181"/>
            </w:pPr>
            <w:r>
              <w:rPr>
                <w:rFonts w:hint="eastAsia"/>
              </w:rPr>
              <w:t>BDSB</w:t>
            </w:r>
            <w:r>
              <w:t>1I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967" w:type="dxa"/>
            <w:shd w:val="clear" w:color="auto" w:fill="auto"/>
            <w:vAlign w:val="center"/>
          </w:tcPr>
          <w:p>
            <w:pPr>
              <w:pStyle w:val="181"/>
            </w:pPr>
            <w:r>
              <w:rPr>
                <w:rFonts w:hint="eastAsia"/>
              </w:rPr>
              <w:t>仿真可见卫星数</w:t>
            </w:r>
          </w:p>
        </w:tc>
        <w:tc>
          <w:tcPr>
            <w:tcW w:w="6367" w:type="dxa"/>
            <w:shd w:val="clear" w:color="auto" w:fill="auto"/>
          </w:tcPr>
          <w:p>
            <w:pPr>
              <w:pStyle w:val="181"/>
            </w:pPr>
            <w:r>
              <w:rPr>
                <w:rFonts w:hint="eastAsia"/>
              </w:rPr>
              <w:t>BDS≥</w:t>
            </w:r>
            <w:r>
              <w:t>6</w:t>
            </w:r>
            <w:r>
              <w:rPr>
                <w:rFonts w:hint="eastAsia"/>
              </w:rPr>
              <w:t>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967" w:type="dxa"/>
            <w:shd w:val="clear" w:color="auto" w:fill="auto"/>
            <w:vAlign w:val="center"/>
          </w:tcPr>
          <w:p>
            <w:pPr>
              <w:pStyle w:val="181"/>
            </w:pPr>
            <w:r>
              <w:rPr>
                <w:rFonts w:hint="eastAsia"/>
              </w:rPr>
              <w:t>HDOP、PDOP</w:t>
            </w:r>
          </w:p>
        </w:tc>
        <w:tc>
          <w:tcPr>
            <w:tcW w:w="6367" w:type="dxa"/>
            <w:shd w:val="clear" w:color="auto" w:fill="auto"/>
          </w:tcPr>
          <w:p>
            <w:pPr>
              <w:pStyle w:val="181"/>
            </w:pPr>
            <w:r>
              <w:rPr>
                <w:rFonts w:hint="eastAsia"/>
              </w:rPr>
              <w:t>开阔天空：P</w:t>
            </w:r>
            <w:r>
              <w:t>DOP</w:t>
            </w:r>
            <w:r>
              <w:rPr>
                <w:rFonts w:hint="eastAsia"/>
              </w:rPr>
              <w:t>≤</w:t>
            </w:r>
            <w:r>
              <w:t>2.5</w:t>
            </w:r>
          </w:p>
          <w:p>
            <w:pPr>
              <w:pStyle w:val="181"/>
            </w:pPr>
            <w:r>
              <w:rPr>
                <w:rFonts w:hint="eastAsia"/>
              </w:rPr>
              <w:t>城市峡谷：P</w:t>
            </w:r>
            <w:r>
              <w:t>DOP</w:t>
            </w:r>
            <w:r>
              <w:rPr>
                <w:rFonts w:hint="eastAsia"/>
              </w:rPr>
              <w:t>≤</w:t>
            </w:r>
            <w: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967" w:type="dxa"/>
            <w:shd w:val="clear" w:color="auto" w:fill="auto"/>
            <w:vAlign w:val="center"/>
          </w:tcPr>
          <w:p>
            <w:pPr>
              <w:pStyle w:val="181"/>
            </w:pPr>
            <w:r>
              <w:rPr>
                <w:rFonts w:hint="eastAsia"/>
              </w:rPr>
              <w:t>场景仿真时长</w:t>
            </w:r>
          </w:p>
        </w:tc>
        <w:tc>
          <w:tcPr>
            <w:tcW w:w="6367" w:type="dxa"/>
            <w:shd w:val="clear" w:color="auto" w:fill="auto"/>
          </w:tcPr>
          <w:p>
            <w:pPr>
              <w:pStyle w:val="181"/>
            </w:pPr>
            <w:r>
              <w:t>1</w:t>
            </w:r>
            <w:r>
              <w:rPr>
                <w:rFonts w:hint="eastAsia"/>
              </w:rPr>
              <w:t>小时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967" w:type="dxa"/>
            <w:shd w:val="clear" w:color="auto" w:fill="auto"/>
            <w:vAlign w:val="center"/>
          </w:tcPr>
          <w:p>
            <w:pPr>
              <w:pStyle w:val="181"/>
            </w:pPr>
            <w:r>
              <w:rPr>
                <w:rFonts w:hint="eastAsia"/>
              </w:rPr>
              <w:t>轨迹</w:t>
            </w:r>
          </w:p>
        </w:tc>
        <w:tc>
          <w:tcPr>
            <w:tcW w:w="6367" w:type="dxa"/>
            <w:shd w:val="clear" w:color="auto" w:fill="auto"/>
          </w:tcPr>
          <w:p>
            <w:pPr>
              <w:pStyle w:val="181"/>
            </w:pPr>
            <w:r>
              <w:rPr>
                <w:rFonts w:hint="eastAsia"/>
              </w:rPr>
              <w:t>静态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967" w:type="dxa"/>
            <w:shd w:val="clear" w:color="auto" w:fill="auto"/>
            <w:vAlign w:val="center"/>
          </w:tcPr>
          <w:p>
            <w:pPr>
              <w:pStyle w:val="181"/>
            </w:pPr>
            <w:r>
              <w:rPr>
                <w:rFonts w:hint="eastAsia"/>
              </w:rPr>
              <w:t>信号输出功率</w:t>
            </w:r>
          </w:p>
        </w:tc>
        <w:tc>
          <w:tcPr>
            <w:tcW w:w="6367" w:type="dxa"/>
            <w:shd w:val="clear" w:color="auto" w:fill="auto"/>
          </w:tcPr>
          <w:p>
            <w:pPr>
              <w:pStyle w:val="181"/>
            </w:pPr>
            <w:r>
              <w:t>-130dBm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967" w:type="dxa"/>
            <w:shd w:val="clear" w:color="auto" w:fill="auto"/>
            <w:vAlign w:val="center"/>
          </w:tcPr>
          <w:p>
            <w:pPr>
              <w:pStyle w:val="181"/>
            </w:pPr>
            <w:r>
              <w:rPr>
                <w:rFonts w:hint="eastAsia"/>
              </w:rPr>
              <w:t>卫星功率是否相同</w:t>
            </w:r>
          </w:p>
        </w:tc>
        <w:tc>
          <w:tcPr>
            <w:tcW w:w="6367" w:type="dxa"/>
            <w:shd w:val="clear" w:color="auto" w:fill="auto"/>
          </w:tcPr>
          <w:p>
            <w:pPr>
              <w:pStyle w:val="181"/>
            </w:pPr>
            <w:r>
              <w:rPr>
                <w:rFonts w:hint="eastAsia"/>
              </w:rPr>
              <w:t>是</w:t>
            </w:r>
          </w:p>
        </w:tc>
      </w:tr>
    </w:tbl>
    <w:p>
      <w:pPr>
        <w:pStyle w:val="80"/>
        <w:spacing w:before="156" w:after="156"/>
      </w:pPr>
      <w:r>
        <w:rPr>
          <w:rFonts w:hint="eastAsia"/>
        </w:rPr>
        <w:t>独立北斗动态试验场景关键参数</w:t>
      </w:r>
    </w:p>
    <w:tbl>
      <w:tblPr>
        <w:tblStyle w:val="36"/>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42" w:type="dxa"/>
          <w:bottom w:w="0" w:type="dxa"/>
          <w:right w:w="0" w:type="dxa"/>
        </w:tblCellMar>
      </w:tblPr>
      <w:tblGrid>
        <w:gridCol w:w="2967"/>
        <w:gridCol w:w="63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42" w:type="dxa"/>
            <w:bottom w:w="0" w:type="dxa"/>
            <w:right w:w="0" w:type="dxa"/>
          </w:tblCellMar>
        </w:tblPrEx>
        <w:trPr>
          <w:tblHeader/>
          <w:jc w:val="center"/>
        </w:trPr>
        <w:tc>
          <w:tcPr>
            <w:tcW w:w="2967" w:type="dxa"/>
            <w:tcBorders>
              <w:top w:val="single" w:color="auto" w:sz="8" w:space="0"/>
              <w:bottom w:val="single" w:color="auto" w:sz="8" w:space="0"/>
            </w:tcBorders>
            <w:shd w:val="clear" w:color="auto" w:fill="auto"/>
            <w:vAlign w:val="center"/>
          </w:tcPr>
          <w:p>
            <w:pPr>
              <w:pStyle w:val="181"/>
            </w:pPr>
            <w:r>
              <w:rPr>
                <w:rFonts w:hint="eastAsia"/>
              </w:rPr>
              <w:t>参数</w:t>
            </w:r>
          </w:p>
        </w:tc>
        <w:tc>
          <w:tcPr>
            <w:tcW w:w="6367" w:type="dxa"/>
            <w:tcBorders>
              <w:top w:val="single" w:color="auto" w:sz="8" w:space="0"/>
              <w:bottom w:val="single" w:color="auto" w:sz="8" w:space="0"/>
            </w:tcBorders>
            <w:shd w:val="clear" w:color="auto" w:fill="auto"/>
          </w:tcPr>
          <w:p>
            <w:pPr>
              <w:pStyle w:val="181"/>
            </w:pPr>
            <w:r>
              <w:rPr>
                <w:rFonts w:hint="eastAsia"/>
              </w:rPr>
              <w:t>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42" w:type="dxa"/>
            <w:bottom w:w="0" w:type="dxa"/>
            <w:right w:w="0" w:type="dxa"/>
          </w:tblCellMar>
        </w:tblPrEx>
        <w:trPr>
          <w:jc w:val="center"/>
        </w:trPr>
        <w:tc>
          <w:tcPr>
            <w:tcW w:w="2967" w:type="dxa"/>
            <w:shd w:val="clear" w:color="auto" w:fill="auto"/>
            <w:vAlign w:val="center"/>
          </w:tcPr>
          <w:p>
            <w:pPr>
              <w:pStyle w:val="181"/>
            </w:pPr>
            <w:r>
              <w:rPr>
                <w:rFonts w:hint="eastAsia"/>
              </w:rPr>
              <w:t>位置</w:t>
            </w:r>
          </w:p>
        </w:tc>
        <w:tc>
          <w:tcPr>
            <w:tcW w:w="6367" w:type="dxa"/>
            <w:shd w:val="clear" w:color="auto" w:fill="auto"/>
          </w:tcPr>
          <w:p>
            <w:pPr>
              <w:pStyle w:val="181"/>
            </w:pPr>
            <w:r>
              <w:rPr>
                <w:rFonts w:hint="eastAsia"/>
              </w:rPr>
              <w:t>中国领土范围内的陆地位置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42" w:type="dxa"/>
            <w:bottom w:w="0" w:type="dxa"/>
            <w:right w:w="0" w:type="dxa"/>
          </w:tblCellMar>
        </w:tblPrEx>
        <w:trPr>
          <w:jc w:val="center"/>
        </w:trPr>
        <w:tc>
          <w:tcPr>
            <w:tcW w:w="2967" w:type="dxa"/>
            <w:shd w:val="clear" w:color="auto" w:fill="auto"/>
            <w:vAlign w:val="center"/>
          </w:tcPr>
          <w:p>
            <w:pPr>
              <w:pStyle w:val="181"/>
            </w:pPr>
            <w:r>
              <w:rPr>
                <w:rFonts w:hint="eastAsia"/>
              </w:rPr>
              <w:t>星座与信号</w:t>
            </w:r>
          </w:p>
        </w:tc>
        <w:tc>
          <w:tcPr>
            <w:tcW w:w="6367" w:type="dxa"/>
            <w:shd w:val="clear" w:color="auto" w:fill="auto"/>
          </w:tcPr>
          <w:p>
            <w:pPr>
              <w:pStyle w:val="181"/>
            </w:pPr>
            <w:r>
              <w:rPr>
                <w:rFonts w:hint="eastAsia"/>
              </w:rPr>
              <w:t>BDSB</w:t>
            </w:r>
            <w:r>
              <w:t>1I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42" w:type="dxa"/>
            <w:bottom w:w="0" w:type="dxa"/>
            <w:right w:w="0" w:type="dxa"/>
          </w:tblCellMar>
        </w:tblPrEx>
        <w:trPr>
          <w:jc w:val="center"/>
        </w:trPr>
        <w:tc>
          <w:tcPr>
            <w:tcW w:w="2967" w:type="dxa"/>
            <w:shd w:val="clear" w:color="auto" w:fill="auto"/>
            <w:vAlign w:val="center"/>
          </w:tcPr>
          <w:p>
            <w:pPr>
              <w:pStyle w:val="181"/>
            </w:pPr>
            <w:r>
              <w:rPr>
                <w:rFonts w:hint="eastAsia"/>
              </w:rPr>
              <w:t>仿真可见卫星数</w:t>
            </w:r>
          </w:p>
        </w:tc>
        <w:tc>
          <w:tcPr>
            <w:tcW w:w="6367" w:type="dxa"/>
            <w:shd w:val="clear" w:color="auto" w:fill="auto"/>
          </w:tcPr>
          <w:p>
            <w:pPr>
              <w:pStyle w:val="181"/>
            </w:pPr>
            <w:r>
              <w:rPr>
                <w:rFonts w:hint="eastAsia"/>
              </w:rPr>
              <w:t>BDS≥</w:t>
            </w:r>
            <w:r>
              <w:t>6</w:t>
            </w:r>
            <w:r>
              <w:rPr>
                <w:rFonts w:hint="eastAsia"/>
              </w:rPr>
              <w:t>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42" w:type="dxa"/>
            <w:bottom w:w="0" w:type="dxa"/>
            <w:right w:w="0" w:type="dxa"/>
          </w:tblCellMar>
        </w:tblPrEx>
        <w:trPr>
          <w:jc w:val="center"/>
        </w:trPr>
        <w:tc>
          <w:tcPr>
            <w:tcW w:w="2967" w:type="dxa"/>
            <w:shd w:val="clear" w:color="auto" w:fill="auto"/>
            <w:vAlign w:val="center"/>
          </w:tcPr>
          <w:p>
            <w:pPr>
              <w:pStyle w:val="181"/>
            </w:pPr>
            <w:r>
              <w:rPr>
                <w:rFonts w:hint="eastAsia"/>
              </w:rPr>
              <w:t>HDOP、PDOP</w:t>
            </w:r>
          </w:p>
        </w:tc>
        <w:tc>
          <w:tcPr>
            <w:tcW w:w="6367" w:type="dxa"/>
            <w:shd w:val="clear" w:color="auto" w:fill="auto"/>
          </w:tcPr>
          <w:p>
            <w:pPr>
              <w:pStyle w:val="181"/>
            </w:pPr>
            <w:r>
              <w:rPr>
                <w:rFonts w:hint="eastAsia"/>
              </w:rPr>
              <w:t>开阔天空：P</w:t>
            </w:r>
            <w:r>
              <w:t>DOP</w:t>
            </w:r>
            <w:r>
              <w:rPr>
                <w:rFonts w:hint="eastAsia"/>
              </w:rPr>
              <w:t>≤</w:t>
            </w:r>
            <w:r>
              <w:t>2.5</w:t>
            </w:r>
          </w:p>
          <w:p>
            <w:pPr>
              <w:pStyle w:val="181"/>
            </w:pPr>
            <w:r>
              <w:rPr>
                <w:rFonts w:hint="eastAsia"/>
              </w:rPr>
              <w:t>城市峡谷：P</w:t>
            </w:r>
            <w:r>
              <w:t>DOP</w:t>
            </w:r>
            <w:r>
              <w:rPr>
                <w:rFonts w:hint="eastAsia"/>
              </w:rPr>
              <w:t>≤</w:t>
            </w:r>
            <w: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42" w:type="dxa"/>
            <w:bottom w:w="0" w:type="dxa"/>
            <w:right w:w="0" w:type="dxa"/>
          </w:tblCellMar>
        </w:tblPrEx>
        <w:trPr>
          <w:jc w:val="center"/>
        </w:trPr>
        <w:tc>
          <w:tcPr>
            <w:tcW w:w="2967" w:type="dxa"/>
            <w:shd w:val="clear" w:color="auto" w:fill="auto"/>
            <w:vAlign w:val="center"/>
          </w:tcPr>
          <w:p>
            <w:pPr>
              <w:pStyle w:val="181"/>
              <w:rPr>
                <w:highlight w:val="yellow"/>
              </w:rPr>
            </w:pPr>
            <w:r>
              <w:rPr>
                <w:rFonts w:hint="eastAsia"/>
              </w:rPr>
              <w:t>场景仿真时长</w:t>
            </w:r>
          </w:p>
        </w:tc>
        <w:tc>
          <w:tcPr>
            <w:tcW w:w="6367" w:type="dxa"/>
            <w:shd w:val="clear" w:color="auto" w:fill="auto"/>
          </w:tcPr>
          <w:p>
            <w:pPr>
              <w:pStyle w:val="181"/>
              <w:rPr>
                <w:highlight w:val="yellow"/>
              </w:rPr>
            </w:pPr>
            <w:r>
              <w:rPr>
                <w:rFonts w:hint="eastAsia"/>
              </w:rPr>
              <w:t>1小时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42" w:type="dxa"/>
            <w:bottom w:w="0" w:type="dxa"/>
            <w:right w:w="0" w:type="dxa"/>
          </w:tblCellMar>
        </w:tblPrEx>
        <w:trPr>
          <w:jc w:val="center"/>
        </w:trPr>
        <w:tc>
          <w:tcPr>
            <w:tcW w:w="2967" w:type="dxa"/>
            <w:shd w:val="clear" w:color="auto" w:fill="auto"/>
            <w:vAlign w:val="center"/>
          </w:tcPr>
          <w:p>
            <w:pPr>
              <w:pStyle w:val="181"/>
            </w:pPr>
            <w:r>
              <w:rPr>
                <w:rFonts w:hint="eastAsia"/>
              </w:rPr>
              <w:t>轨迹</w:t>
            </w:r>
          </w:p>
        </w:tc>
        <w:tc>
          <w:tcPr>
            <w:tcW w:w="6367" w:type="dxa"/>
            <w:shd w:val="clear" w:color="auto" w:fill="auto"/>
            <w:vAlign w:val="center"/>
          </w:tcPr>
          <w:p>
            <w:pPr>
              <w:pStyle w:val="181"/>
              <w:numPr>
                <w:ilvl w:val="0"/>
                <w:numId w:val="37"/>
              </w:numPr>
              <w:jc w:val="both"/>
            </w:pPr>
            <w:r>
              <w:rPr>
                <w:rFonts w:hint="eastAsia"/>
              </w:rPr>
              <w:t>起始位置开始向北初始速度为3</w:t>
            </w:r>
            <w:r>
              <w:t>0</w:t>
            </w:r>
            <w:r>
              <w:rPr>
                <w:rFonts w:hint="eastAsia"/>
              </w:rPr>
              <w:t>公里/小时；</w:t>
            </w:r>
          </w:p>
          <w:p>
            <w:pPr>
              <w:pStyle w:val="181"/>
              <w:numPr>
                <w:ilvl w:val="0"/>
                <w:numId w:val="37"/>
              </w:numPr>
              <w:jc w:val="both"/>
            </w:pPr>
            <w:r>
              <w:rPr>
                <w:rFonts w:hint="eastAsia"/>
              </w:rPr>
              <w:t>在250米内从30公里/小时加速到300公里/小时；</w:t>
            </w:r>
          </w:p>
          <w:p>
            <w:pPr>
              <w:pStyle w:val="181"/>
              <w:numPr>
                <w:ilvl w:val="0"/>
                <w:numId w:val="37"/>
              </w:numPr>
              <w:jc w:val="both"/>
            </w:pPr>
            <w:r>
              <w:rPr>
                <w:rFonts w:hint="eastAsia"/>
              </w:rPr>
              <w:t>保持3</w:t>
            </w:r>
            <w:r>
              <w:t>00</w:t>
            </w:r>
            <w:r>
              <w:rPr>
                <w:rFonts w:hint="eastAsia"/>
              </w:rPr>
              <w:t>公里/小时速度运动</w:t>
            </w:r>
            <w:r>
              <w:t>300</w:t>
            </w:r>
            <w:r>
              <w:rPr>
                <w:rFonts w:hint="eastAsia"/>
              </w:rPr>
              <w:t>秒后，在250米内减速到30公里/小时；</w:t>
            </w:r>
          </w:p>
          <w:p>
            <w:pPr>
              <w:pStyle w:val="181"/>
              <w:numPr>
                <w:ilvl w:val="0"/>
                <w:numId w:val="37"/>
              </w:numPr>
              <w:jc w:val="both"/>
            </w:pPr>
            <w:r>
              <w:rPr>
                <w:rFonts w:hint="eastAsia"/>
              </w:rPr>
              <w:t>顺时针90度转弯，转弯半径20米，保持时速30公里/小时；</w:t>
            </w:r>
          </w:p>
          <w:p>
            <w:pPr>
              <w:pStyle w:val="181"/>
              <w:numPr>
                <w:ilvl w:val="0"/>
                <w:numId w:val="37"/>
              </w:numPr>
              <w:jc w:val="both"/>
            </w:pPr>
            <w:r>
              <w:rPr>
                <w:rFonts w:hint="eastAsia"/>
              </w:rPr>
              <w:t>在250米内加速到最终速度300公里/小时；</w:t>
            </w:r>
          </w:p>
          <w:p>
            <w:pPr>
              <w:pStyle w:val="181"/>
              <w:numPr>
                <w:ilvl w:val="0"/>
                <w:numId w:val="37"/>
              </w:numPr>
              <w:jc w:val="both"/>
            </w:pPr>
            <w:r>
              <w:rPr>
                <w:rFonts w:hint="eastAsia"/>
              </w:rPr>
              <w:t>保持3</w:t>
            </w:r>
            <w:r>
              <w:t>00</w:t>
            </w:r>
            <w:r>
              <w:rPr>
                <w:rFonts w:hint="eastAsia"/>
              </w:rPr>
              <w:t>公里/小时速度运动</w:t>
            </w:r>
            <w:r>
              <w:t>300</w:t>
            </w:r>
            <w:r>
              <w:rPr>
                <w:rFonts w:hint="eastAsia"/>
              </w:rPr>
              <w:t>秒后，在2</w:t>
            </w:r>
            <w:r>
              <w:t>50</w:t>
            </w:r>
            <w:r>
              <w:rPr>
                <w:rFonts w:hint="eastAsia"/>
              </w:rPr>
              <w:t>米内减速到3</w:t>
            </w:r>
            <w:r>
              <w:t>0</w:t>
            </w:r>
            <w:r>
              <w:rPr>
                <w:rFonts w:hint="eastAsia"/>
              </w:rPr>
              <w:t>公里/小时；</w:t>
            </w:r>
          </w:p>
          <w:p>
            <w:pPr>
              <w:pStyle w:val="181"/>
              <w:numPr>
                <w:ilvl w:val="0"/>
                <w:numId w:val="37"/>
              </w:numPr>
              <w:jc w:val="both"/>
            </w:pPr>
            <w:r>
              <w:rPr>
                <w:rFonts w:hint="eastAsia"/>
              </w:rPr>
              <w:t>顺时针90度转弯，转弯半径20米，保持时速30公里/小时；</w:t>
            </w:r>
          </w:p>
          <w:p>
            <w:pPr>
              <w:pStyle w:val="181"/>
              <w:jc w:val="both"/>
            </w:pPr>
            <w:r>
              <w:rPr>
                <w:rFonts w:hint="eastAsia"/>
              </w:rPr>
              <w:t>重复第2-第</w:t>
            </w:r>
            <w:r>
              <w:t>7</w:t>
            </w:r>
            <w:r>
              <w:rPr>
                <w:rFonts w:hint="eastAsia"/>
              </w:rPr>
              <w:t>步来完成矩形（圆角），并持续同样的运动轨迹至场景结束。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42" w:type="dxa"/>
            <w:bottom w:w="0" w:type="dxa"/>
            <w:right w:w="0" w:type="dxa"/>
          </w:tblCellMar>
        </w:tblPrEx>
        <w:trPr>
          <w:jc w:val="center"/>
        </w:trPr>
        <w:tc>
          <w:tcPr>
            <w:tcW w:w="2967" w:type="dxa"/>
            <w:shd w:val="clear" w:color="auto" w:fill="auto"/>
            <w:vAlign w:val="center"/>
          </w:tcPr>
          <w:p>
            <w:pPr>
              <w:pStyle w:val="181"/>
            </w:pPr>
            <w:r>
              <w:rPr>
                <w:rFonts w:hint="eastAsia"/>
              </w:rPr>
              <w:t>信号输出功率</w:t>
            </w:r>
          </w:p>
        </w:tc>
        <w:tc>
          <w:tcPr>
            <w:tcW w:w="6367" w:type="dxa"/>
            <w:shd w:val="clear" w:color="auto" w:fill="auto"/>
          </w:tcPr>
          <w:p>
            <w:pPr>
              <w:pStyle w:val="181"/>
            </w:pPr>
            <w:r>
              <w:t>-130dBm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42" w:type="dxa"/>
            <w:bottom w:w="0" w:type="dxa"/>
            <w:right w:w="0" w:type="dxa"/>
          </w:tblCellMar>
        </w:tblPrEx>
        <w:trPr>
          <w:jc w:val="center"/>
        </w:trPr>
        <w:tc>
          <w:tcPr>
            <w:tcW w:w="2967" w:type="dxa"/>
            <w:shd w:val="clear" w:color="auto" w:fill="auto"/>
            <w:vAlign w:val="center"/>
          </w:tcPr>
          <w:p>
            <w:pPr>
              <w:pStyle w:val="181"/>
            </w:pPr>
            <w:r>
              <w:rPr>
                <w:rFonts w:hint="eastAsia"/>
              </w:rPr>
              <w:t>卫星功率是否相同</w:t>
            </w:r>
          </w:p>
        </w:tc>
        <w:tc>
          <w:tcPr>
            <w:tcW w:w="6367" w:type="dxa"/>
            <w:shd w:val="clear" w:color="auto" w:fill="auto"/>
          </w:tcPr>
          <w:p>
            <w:pPr>
              <w:pStyle w:val="181"/>
            </w:pPr>
            <w:r>
              <w:rPr>
                <w:rFonts w:hint="eastAsia"/>
              </w:rPr>
              <w:t>是</w:t>
            </w:r>
          </w:p>
        </w:tc>
      </w:tr>
      <w:bookmarkEnd w:id="40"/>
    </w:tbl>
    <w:p>
      <w:pPr>
        <w:pStyle w:val="59"/>
        <w:ind w:firstLine="0" w:firstLineChars="0"/>
        <w:sectPr>
          <w:pgSz w:w="11906" w:h="16838"/>
          <w:pgMar w:top="1871" w:right="1134" w:bottom="1134" w:left="1134" w:header="1418" w:footer="1134" w:gutter="284"/>
          <w:cols w:space="425" w:num="1"/>
          <w:formProt w:val="0"/>
          <w:docGrid w:type="lines" w:linePitch="312" w:charSpace="0"/>
        </w:sectPr>
      </w:pPr>
    </w:p>
    <w:p>
      <w:pPr>
        <w:pStyle w:val="201"/>
        <w:rPr>
          <w:vanish w:val="0"/>
        </w:rPr>
      </w:pPr>
    </w:p>
    <w:p>
      <w:pPr>
        <w:pStyle w:val="202"/>
        <w:rPr>
          <w:vanish w:val="0"/>
        </w:rPr>
      </w:pPr>
    </w:p>
    <w:p>
      <w:pPr>
        <w:pStyle w:val="79"/>
        <w:spacing w:before="78" w:after="156"/>
      </w:pPr>
      <w:r>
        <w:br w:type="textWrapping"/>
      </w:r>
      <w:r>
        <w:rPr>
          <w:rFonts w:hint="eastAsia"/>
        </w:rPr>
        <w:t>（规范性）</w:t>
      </w:r>
      <w:r>
        <w:br w:type="textWrapping"/>
      </w:r>
      <w:r>
        <w:rPr>
          <w:rFonts w:hint="eastAsia"/>
        </w:rPr>
        <w:t>定位精度的数据处理方法</w:t>
      </w:r>
    </w:p>
    <w:p>
      <w:pPr>
        <w:pStyle w:val="81"/>
        <w:spacing w:before="156" w:after="156"/>
        <w:rPr>
          <w:szCs w:val="21"/>
        </w:rPr>
      </w:pPr>
      <w:bookmarkStart w:id="42" w:name="_Hlk83394995"/>
      <w:r>
        <w:rPr>
          <w:rFonts w:hint="eastAsia"/>
        </w:rPr>
        <w:t>概述</w:t>
      </w:r>
    </w:p>
    <w:p>
      <w:pPr>
        <w:pStyle w:val="232"/>
      </w:pPr>
      <w:r>
        <w:rPr>
          <w:rFonts w:hint="eastAsia"/>
        </w:rPr>
        <w:t>静态定位精度和动态定位精度试验，按本附录给出的方法进行数据处理。</w:t>
      </w:r>
    </w:p>
    <w:p>
      <w:pPr>
        <w:pStyle w:val="81"/>
        <w:spacing w:before="156" w:after="156"/>
      </w:pPr>
      <w:r>
        <w:rPr>
          <w:rFonts w:hint="eastAsia"/>
        </w:rPr>
        <w:t>排序法</w:t>
      </w:r>
    </w:p>
    <w:p>
      <w:pPr>
        <w:pStyle w:val="232"/>
      </w:pPr>
      <w:r>
        <w:rPr>
          <w:rFonts w:hint="eastAsia"/>
        </w:rPr>
        <w:t>对比每个时间点卫星信号模拟器系统输出位置与车载卫星定位系统输出的位置，得到每个时间点的位置误差。将全部有效定位数据的误差从小到大进行排序，取位于全部有效样本总量95%处的样本点的误差作为定位精度（95%）测量结果。</w:t>
      </w:r>
    </w:p>
    <w:p>
      <w:pPr>
        <w:spacing w:after="200" w:line="265" w:lineRule="auto"/>
        <w:ind w:right="565" w:rightChars="269"/>
        <w:rPr>
          <w:rFonts w:ascii="宋体" w:hAnsi="宋体" w:cs="宋体"/>
        </w:rPr>
        <w:sectPr>
          <w:pgSz w:w="11906" w:h="16838"/>
          <w:pgMar w:top="1871" w:right="1134" w:bottom="1134" w:left="1134" w:header="1418" w:footer="1134" w:gutter="284"/>
          <w:cols w:space="425" w:num="1"/>
          <w:formProt w:val="0"/>
          <w:docGrid w:type="lines" w:linePitch="312" w:charSpace="0"/>
        </w:sectPr>
      </w:pPr>
    </w:p>
    <w:bookmarkEnd w:id="42"/>
    <w:p>
      <w:pPr>
        <w:pStyle w:val="201"/>
        <w:rPr>
          <w:vanish w:val="0"/>
        </w:rPr>
      </w:pPr>
    </w:p>
    <w:p>
      <w:pPr>
        <w:pStyle w:val="202"/>
        <w:rPr>
          <w:vanish w:val="0"/>
        </w:rPr>
      </w:pPr>
    </w:p>
    <w:p>
      <w:pPr>
        <w:pStyle w:val="79"/>
        <w:spacing w:before="78" w:after="156"/>
      </w:pPr>
      <w:r>
        <w:br w:type="textWrapping"/>
      </w:r>
      <w:r>
        <w:rPr>
          <w:rFonts w:hint="eastAsia"/>
        </w:rPr>
        <w:t>（规范性）</w:t>
      </w:r>
      <w:r>
        <w:br w:type="textWrapping"/>
      </w:r>
      <w:r>
        <w:rPr>
          <w:rFonts w:hint="eastAsia"/>
        </w:rPr>
        <w:t>速度精度的数据处理方法</w:t>
      </w:r>
    </w:p>
    <w:p>
      <w:pPr>
        <w:pStyle w:val="81"/>
        <w:spacing w:before="156" w:after="156"/>
        <w:rPr>
          <w:szCs w:val="21"/>
        </w:rPr>
      </w:pPr>
      <w:bookmarkStart w:id="43" w:name="_Hlk83395031"/>
      <w:r>
        <w:rPr>
          <w:rFonts w:hint="eastAsia"/>
        </w:rPr>
        <w:t>概述</w:t>
      </w:r>
    </w:p>
    <w:p>
      <w:pPr>
        <w:pStyle w:val="232"/>
      </w:pPr>
      <w:r>
        <w:rPr>
          <w:rFonts w:hint="eastAsia"/>
        </w:rPr>
        <w:t>速度精度试验，按本附录给出的方法进行数据处理。</w:t>
      </w:r>
    </w:p>
    <w:p>
      <w:pPr>
        <w:pStyle w:val="81"/>
        <w:spacing w:before="156" w:after="156"/>
      </w:pPr>
      <w:r>
        <w:rPr>
          <w:rFonts w:hint="eastAsia"/>
        </w:rPr>
        <w:t>排序法</w:t>
      </w:r>
    </w:p>
    <w:p>
      <w:pPr>
        <w:pStyle w:val="232"/>
      </w:pPr>
      <w:r>
        <w:rPr>
          <w:rFonts w:hint="eastAsia"/>
        </w:rPr>
        <w:t>对比每个时间点模拟器系统输出速度与车载卫星定位系统输出的速度值，得到每个时间点的速度误差。将全部有效定位数据的误差从小到大进行排序，取位于全部有效样本总量95%处的样本点的误差作为速度精度（95%）测量结果。</w:t>
      </w:r>
    </w:p>
    <w:bookmarkEnd w:id="43"/>
    <w:p>
      <w:pPr>
        <w:pStyle w:val="59"/>
        <w:ind w:firstLine="0" w:firstLineChars="0"/>
        <w:jc w:val="center"/>
        <w:sectPr>
          <w:pgSz w:w="11906" w:h="16838"/>
          <w:pgMar w:top="1871" w:right="1134" w:bottom="1134" w:left="1134" w:header="1418" w:footer="1134" w:gutter="284"/>
          <w:cols w:space="425" w:num="1"/>
          <w:formProt w:val="0"/>
          <w:docGrid w:type="lines" w:linePitch="312" w:charSpace="0"/>
        </w:sectPr>
      </w:pPr>
    </w:p>
    <w:p>
      <w:pPr>
        <w:pStyle w:val="201"/>
        <w:rPr>
          <w:vanish w:val="0"/>
        </w:rPr>
      </w:pPr>
    </w:p>
    <w:p>
      <w:pPr>
        <w:pStyle w:val="202"/>
        <w:rPr>
          <w:vanish w:val="0"/>
        </w:rPr>
      </w:pPr>
    </w:p>
    <w:p>
      <w:pPr>
        <w:pStyle w:val="79"/>
        <w:spacing w:before="78" w:after="156"/>
      </w:pPr>
      <w:r>
        <w:br w:type="textWrapping"/>
      </w:r>
      <w:r>
        <w:rPr>
          <w:rFonts w:hint="eastAsia"/>
        </w:rPr>
        <w:t>（规范性）</w:t>
      </w:r>
      <w:r>
        <w:br w:type="textWrapping"/>
      </w:r>
      <w:r>
        <w:rPr>
          <w:rFonts w:hint="eastAsia"/>
        </w:rPr>
        <w:t>授时精度的数据处理方法</w:t>
      </w:r>
    </w:p>
    <w:p>
      <w:pPr>
        <w:pStyle w:val="81"/>
        <w:spacing w:before="156" w:after="156"/>
        <w:rPr>
          <w:szCs w:val="21"/>
        </w:rPr>
      </w:pPr>
      <w:bookmarkStart w:id="44" w:name="_Hlk83395063"/>
      <w:r>
        <w:rPr>
          <w:rFonts w:hint="eastAsia"/>
        </w:rPr>
        <w:t>概述</w:t>
      </w:r>
    </w:p>
    <w:p>
      <w:pPr>
        <w:pStyle w:val="232"/>
      </w:pPr>
      <w:r>
        <w:rPr>
          <w:rFonts w:hint="eastAsia"/>
        </w:rPr>
        <w:t>授时精度试验，按本附录给出的方法进行数据处理。</w:t>
      </w:r>
    </w:p>
    <w:p>
      <w:pPr>
        <w:pStyle w:val="81"/>
        <w:spacing w:before="156" w:after="156"/>
      </w:pPr>
      <w:r>
        <w:rPr>
          <w:rFonts w:hint="eastAsia"/>
        </w:rPr>
        <w:t>排序法</w:t>
      </w:r>
    </w:p>
    <w:p>
      <w:pPr>
        <w:pStyle w:val="232"/>
        <w:sectPr>
          <w:pgSz w:w="11906" w:h="16838"/>
          <w:pgMar w:top="1871" w:right="1134" w:bottom="1134" w:left="1134" w:header="1418" w:footer="1134" w:gutter="284"/>
          <w:cols w:space="425" w:num="1"/>
          <w:formProt w:val="0"/>
          <w:docGrid w:type="lines" w:linePitch="312" w:charSpace="0"/>
        </w:sectPr>
      </w:pPr>
      <w:r>
        <w:rPr>
          <w:rFonts w:hint="eastAsia"/>
        </w:rPr>
        <w:t xml:space="preserve">对比卫星信号模拟器与车载卫星定位系统输出的脉冲上升沿得到时间差。将时间差从小到大进行排序，取位于全部有效样本总量95%处的样本点的误差作为授时精度（95%）测量结果。 </w:t>
      </w:r>
    </w:p>
    <w:bookmarkEnd w:id="44"/>
    <w:p>
      <w:pPr>
        <w:pStyle w:val="201"/>
        <w:rPr>
          <w:vanish w:val="0"/>
        </w:rPr>
      </w:pPr>
    </w:p>
    <w:p>
      <w:pPr>
        <w:pStyle w:val="202"/>
        <w:rPr>
          <w:vanish w:val="0"/>
        </w:rPr>
      </w:pPr>
    </w:p>
    <w:p>
      <w:pPr>
        <w:pStyle w:val="79"/>
        <w:spacing w:before="78" w:after="156"/>
      </w:pPr>
      <w:r>
        <w:br w:type="textWrapping"/>
      </w:r>
      <w:r>
        <w:rPr>
          <w:rFonts w:hint="eastAsia"/>
        </w:rPr>
        <w:t>（资料性）</w:t>
      </w:r>
      <w:r>
        <w:br w:type="textWrapping"/>
      </w:r>
      <w:r>
        <w:rPr>
          <w:rFonts w:hint="eastAsia"/>
        </w:rPr>
        <w:t>高温耐久性试验</w:t>
      </w:r>
    </w:p>
    <w:p>
      <w:pPr>
        <w:pStyle w:val="81"/>
        <w:spacing w:before="156" w:after="156"/>
        <w:rPr>
          <w:szCs w:val="21"/>
        </w:rPr>
      </w:pPr>
      <w:r>
        <w:rPr>
          <w:rFonts w:hint="eastAsia"/>
        </w:rPr>
        <w:t>高温耐久性</w:t>
      </w:r>
    </w:p>
    <w:p>
      <w:pPr>
        <w:pStyle w:val="232"/>
      </w:pPr>
      <w:r>
        <w:rPr>
          <w:rFonts w:hint="eastAsia"/>
        </w:rPr>
        <w:t>安装在乘客舱内太阳直射处的车载卫星定位系统在T</w:t>
      </w:r>
      <w:r>
        <w:rPr>
          <w:rFonts w:hint="eastAsia"/>
          <w:vertAlign w:val="subscript"/>
        </w:rPr>
        <w:t>max</w:t>
      </w:r>
      <w:r>
        <w:rPr>
          <w:rFonts w:hint="eastAsia"/>
        </w:rPr>
        <w:t>以GB/T 28046.1-2011定义的工作模式3.2进行试验，试验持续时间为1407h。在试验期间按照试验持续时间的25％、50％、75％进行检查，试验结束后以GB/T 28046.1-2011定义的工作模式3.2进行测试。</w:t>
      </w:r>
    </w:p>
    <w:p>
      <w:pPr>
        <w:pStyle w:val="182"/>
      </w:pPr>
      <w:r>
        <w:rPr>
          <w:rFonts w:hint="eastAsia"/>
        </w:rPr>
        <w:t>持续试验时间参见附录</w:t>
      </w:r>
      <w:r>
        <w:t>F</w:t>
      </w:r>
      <w:r>
        <w:rPr>
          <w:rFonts w:hint="eastAsia"/>
        </w:rPr>
        <w:t>中Arrhenius模型计算。</w:t>
      </w:r>
    </w:p>
    <w:p>
      <w:pPr>
        <w:pStyle w:val="81"/>
        <w:spacing w:before="156" w:after="156"/>
        <w:rPr>
          <w:szCs w:val="21"/>
        </w:rPr>
      </w:pPr>
      <w:r>
        <w:rPr>
          <w:rFonts w:hint="eastAsia"/>
        </w:rPr>
        <w:t>耐久性试验结果判定</w:t>
      </w:r>
    </w:p>
    <w:p>
      <w:pPr>
        <w:pStyle w:val="232"/>
        <w:rPr>
          <w:rFonts w:hAnsi="宋体"/>
        </w:rPr>
      </w:pPr>
      <w:r>
        <w:rPr>
          <w:rFonts w:hint="eastAsia"/>
        </w:rPr>
        <w:t>按照</w:t>
      </w:r>
      <w:r>
        <w:t>F</w:t>
      </w:r>
      <w:r>
        <w:rPr>
          <w:rFonts w:hint="eastAsia"/>
        </w:rPr>
        <w:t>.1进行试验，试验中和试验后，车载卫星定位系统输出的位置、速度和时间</w:t>
      </w:r>
      <w:r>
        <w:rPr>
          <w:rFonts w:hint="eastAsia" w:hAnsi="宋体"/>
        </w:rPr>
        <w:t>应满足5</w:t>
      </w:r>
      <w:r>
        <w:rPr>
          <w:rFonts w:hAnsi="宋体"/>
        </w:rPr>
        <w:t>.2.1.2.2</w:t>
      </w:r>
      <w:r>
        <w:rPr>
          <w:rFonts w:hint="eastAsia" w:hAnsi="宋体"/>
        </w:rPr>
        <w:t>，</w:t>
      </w:r>
      <w:r>
        <w:rPr>
          <w:rFonts w:hAnsi="宋体"/>
        </w:rPr>
        <w:t>5.2.1.3.2</w:t>
      </w:r>
      <w:r>
        <w:rPr>
          <w:rFonts w:hint="eastAsia" w:hAnsi="宋体"/>
        </w:rPr>
        <w:t>和5.2.5.2的要求。</w:t>
      </w:r>
    </w:p>
    <w:p>
      <w:pPr>
        <w:pStyle w:val="232"/>
      </w:pPr>
      <w:r>
        <w:rPr>
          <w:rFonts w:hint="eastAsia"/>
        </w:rPr>
        <w:t>。</w:t>
      </w:r>
    </w:p>
    <w:p>
      <w:pPr>
        <w:pStyle w:val="59"/>
        <w:ind w:left="1029" w:firstLine="420"/>
      </w:pPr>
    </w:p>
    <w:p>
      <w:pPr>
        <w:pStyle w:val="59"/>
        <w:ind w:left="1029" w:firstLine="420"/>
      </w:pPr>
    </w:p>
    <w:p>
      <w:pPr>
        <w:pStyle w:val="59"/>
        <w:ind w:left="1029" w:firstLine="420"/>
      </w:pPr>
    </w:p>
    <w:p>
      <w:pPr>
        <w:pStyle w:val="59"/>
        <w:ind w:left="1029" w:firstLine="420"/>
      </w:pPr>
    </w:p>
    <w:p>
      <w:pPr>
        <w:pStyle w:val="232"/>
        <w:sectPr>
          <w:pgSz w:w="11906" w:h="16838"/>
          <w:pgMar w:top="1871" w:right="1134" w:bottom="1134" w:left="1134" w:header="1418" w:footer="1134" w:gutter="284"/>
          <w:cols w:space="425" w:num="1"/>
          <w:formProt w:val="0"/>
          <w:docGrid w:type="lines" w:linePitch="312" w:charSpace="0"/>
        </w:sectPr>
      </w:pPr>
    </w:p>
    <w:p>
      <w:pPr>
        <w:pStyle w:val="201"/>
        <w:rPr>
          <w:vanish w:val="0"/>
        </w:rPr>
      </w:pPr>
    </w:p>
    <w:p>
      <w:pPr>
        <w:pStyle w:val="202"/>
        <w:rPr>
          <w:vanish w:val="0"/>
        </w:rPr>
      </w:pPr>
    </w:p>
    <w:p>
      <w:pPr>
        <w:pStyle w:val="79"/>
        <w:spacing w:before="78" w:after="156"/>
      </w:pPr>
      <w:r>
        <w:br w:type="textWrapping"/>
      </w:r>
      <w:r>
        <w:rPr>
          <w:rFonts w:hint="eastAsia"/>
        </w:rPr>
        <w:t>（资料性）</w:t>
      </w:r>
      <w:r>
        <w:br w:type="textWrapping"/>
      </w:r>
      <w:r>
        <w:rPr>
          <w:rFonts w:hint="eastAsia"/>
        </w:rPr>
        <w:t>耐久性试验计算模型</w:t>
      </w:r>
    </w:p>
    <w:p>
      <w:pPr>
        <w:pStyle w:val="81"/>
        <w:spacing w:before="156" w:after="156"/>
        <w:rPr>
          <w:szCs w:val="21"/>
        </w:rPr>
      </w:pPr>
      <w:r>
        <w:rPr>
          <w:rFonts w:hint="eastAsia"/>
        </w:rPr>
        <w:t>产品在汽车上安装位置的典型温度模型</w:t>
      </w:r>
    </w:p>
    <w:p>
      <w:pPr>
        <w:pStyle w:val="82"/>
        <w:spacing w:before="156" w:after="156"/>
        <w:rPr>
          <w:szCs w:val="21"/>
        </w:rPr>
      </w:pPr>
      <w:r>
        <w:rPr>
          <w:rFonts w:hint="eastAsia"/>
        </w:rPr>
        <w:t>产品在汽车安装位置的平均温升</w:t>
      </w:r>
    </w:p>
    <w:p>
      <w:pPr>
        <w:pStyle w:val="59"/>
        <w:ind w:firstLine="420"/>
      </w:pPr>
      <w:r>
        <w:rPr>
          <w:rFonts w:hint="eastAsia"/>
        </w:rPr>
        <w:t>产品在汽车上不同安装位置的平均温升如表</w:t>
      </w:r>
      <w:r>
        <w:t>H</w:t>
      </w:r>
      <w:r>
        <w:rPr>
          <w:rFonts w:hint="eastAsia"/>
        </w:rPr>
        <w:t>.1所示。</w:t>
      </w:r>
    </w:p>
    <w:p>
      <w:pPr>
        <w:pStyle w:val="80"/>
        <w:spacing w:before="156" w:after="156"/>
        <w:ind w:left="168" w:hanging="168"/>
        <w:rPr>
          <w:kern w:val="2"/>
          <w:szCs w:val="21"/>
        </w:rPr>
      </w:pPr>
      <w:r>
        <w:rPr>
          <w:rFonts w:hint="eastAsia"/>
        </w:rPr>
        <w:t>不同安装位置的温度模型和平均温升</w:t>
      </w:r>
    </w:p>
    <w:tbl>
      <w:tblPr>
        <w:tblStyle w:val="35"/>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198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trPr>
        <w:tc>
          <w:tcPr>
            <w:tcW w:w="4678" w:type="dxa"/>
            <w:tcBorders>
              <w:top w:val="single" w:color="auto" w:sz="4" w:space="0"/>
              <w:left w:val="single" w:color="auto" w:sz="4" w:space="0"/>
              <w:bottom w:val="single" w:color="auto" w:sz="4" w:space="0"/>
              <w:right w:val="single" w:color="auto" w:sz="4" w:space="0"/>
            </w:tcBorders>
          </w:tcPr>
          <w:p>
            <w:pPr>
              <w:pStyle w:val="231"/>
              <w:ind w:right="630"/>
              <w:jc w:val="center"/>
              <w:rPr>
                <w:rFonts w:hAnsi="宋体"/>
                <w:sz w:val="18"/>
                <w:szCs w:val="18"/>
              </w:rPr>
            </w:pPr>
            <w:r>
              <w:rPr>
                <w:rFonts w:hint="eastAsia" w:hAnsi="宋体"/>
                <w:sz w:val="18"/>
                <w:szCs w:val="18"/>
              </w:rPr>
              <w:t>汽车上的安装位置</w:t>
            </w:r>
          </w:p>
        </w:tc>
        <w:tc>
          <w:tcPr>
            <w:tcW w:w="1985" w:type="dxa"/>
            <w:tcBorders>
              <w:top w:val="single" w:color="auto" w:sz="4" w:space="0"/>
              <w:left w:val="nil"/>
              <w:bottom w:val="single" w:color="auto" w:sz="4" w:space="0"/>
              <w:right w:val="single" w:color="auto" w:sz="4" w:space="0"/>
            </w:tcBorders>
          </w:tcPr>
          <w:p>
            <w:pPr>
              <w:pStyle w:val="231"/>
              <w:jc w:val="center"/>
              <w:rPr>
                <w:rFonts w:hAnsi="宋体"/>
                <w:sz w:val="18"/>
                <w:szCs w:val="18"/>
              </w:rPr>
            </w:pPr>
            <w:r>
              <w:rPr>
                <w:rFonts w:hint="eastAsia" w:hAnsi="宋体"/>
                <w:sz w:val="18"/>
                <w:szCs w:val="18"/>
              </w:rPr>
              <w:t>位置温度模型</w:t>
            </w:r>
          </w:p>
        </w:tc>
        <w:tc>
          <w:tcPr>
            <w:tcW w:w="2551" w:type="dxa"/>
            <w:tcBorders>
              <w:top w:val="single" w:color="auto" w:sz="4" w:space="0"/>
              <w:left w:val="nil"/>
              <w:bottom w:val="single" w:color="auto" w:sz="4" w:space="0"/>
              <w:right w:val="single" w:color="auto" w:sz="4" w:space="0"/>
            </w:tcBorders>
          </w:tcPr>
          <w:p>
            <w:pPr>
              <w:pStyle w:val="231"/>
              <w:jc w:val="center"/>
              <w:rPr>
                <w:rFonts w:hAnsi="宋体"/>
                <w:sz w:val="18"/>
                <w:szCs w:val="18"/>
              </w:rPr>
            </w:pPr>
            <w:r>
              <w:rPr>
                <w:rFonts w:hint="eastAsia" w:hAnsi="宋体"/>
                <w:sz w:val="18"/>
                <w:szCs w:val="18"/>
              </w:rPr>
              <w:t>位置平均温生升（△T）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trPr>
        <w:tc>
          <w:tcPr>
            <w:tcW w:w="4678" w:type="dxa"/>
            <w:tcBorders>
              <w:top w:val="single" w:color="auto" w:sz="4" w:space="0"/>
              <w:left w:val="single" w:color="auto" w:sz="4" w:space="0"/>
              <w:bottom w:val="single" w:color="auto" w:sz="4" w:space="0"/>
              <w:right w:val="single" w:color="auto" w:sz="4" w:space="0"/>
            </w:tcBorders>
          </w:tcPr>
          <w:p>
            <w:pPr>
              <w:pStyle w:val="231"/>
              <w:ind w:right="630"/>
              <w:jc w:val="center"/>
              <w:rPr>
                <w:rFonts w:hAnsi="宋体"/>
                <w:sz w:val="18"/>
                <w:szCs w:val="18"/>
              </w:rPr>
            </w:pPr>
            <w:r>
              <w:rPr>
                <w:rFonts w:hint="eastAsia" w:hAnsi="宋体"/>
                <w:sz w:val="18"/>
                <w:szCs w:val="18"/>
              </w:rPr>
              <w:t>无特殊的要求</w:t>
            </w:r>
          </w:p>
        </w:tc>
        <w:tc>
          <w:tcPr>
            <w:tcW w:w="1985" w:type="dxa"/>
            <w:tcBorders>
              <w:top w:val="single" w:color="auto" w:sz="4" w:space="0"/>
              <w:left w:val="nil"/>
              <w:bottom w:val="single" w:color="auto" w:sz="4" w:space="0"/>
              <w:right w:val="single" w:color="auto" w:sz="4" w:space="0"/>
            </w:tcBorders>
          </w:tcPr>
          <w:p>
            <w:pPr>
              <w:pStyle w:val="231"/>
              <w:jc w:val="center"/>
              <w:rPr>
                <w:rFonts w:hAnsi="宋体"/>
                <w:sz w:val="18"/>
                <w:szCs w:val="18"/>
              </w:rPr>
            </w:pPr>
            <w:r>
              <w:rPr>
                <w:rFonts w:hint="eastAsia" w:hAnsi="宋体"/>
                <w:sz w:val="18"/>
                <w:szCs w:val="18"/>
              </w:rPr>
              <w:t>1</w:t>
            </w:r>
          </w:p>
        </w:tc>
        <w:tc>
          <w:tcPr>
            <w:tcW w:w="2551" w:type="dxa"/>
            <w:tcBorders>
              <w:top w:val="single" w:color="auto" w:sz="4" w:space="0"/>
              <w:left w:val="nil"/>
              <w:bottom w:val="single" w:color="auto" w:sz="4" w:space="0"/>
              <w:right w:val="single" w:color="auto" w:sz="4" w:space="0"/>
            </w:tcBorders>
          </w:tcPr>
          <w:p>
            <w:pPr>
              <w:pStyle w:val="231"/>
              <w:jc w:val="center"/>
              <w:rPr>
                <w:rFonts w:hAnsi="宋体"/>
                <w:sz w:val="18"/>
                <w:szCs w:val="18"/>
              </w:rPr>
            </w:pPr>
            <w:r>
              <w:rPr>
                <w:rFonts w:hint="eastAsia" w:hAnsi="宋体"/>
                <w:sz w:val="18"/>
                <w:szCs w:val="18"/>
              </w:rPr>
              <w:t>36K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trPr>
        <w:tc>
          <w:tcPr>
            <w:tcW w:w="4678" w:type="dxa"/>
            <w:tcBorders>
              <w:top w:val="single" w:color="auto" w:sz="4" w:space="0"/>
              <w:left w:val="single" w:color="auto" w:sz="4" w:space="0"/>
              <w:bottom w:val="single" w:color="auto" w:sz="4" w:space="0"/>
              <w:right w:val="single" w:color="auto" w:sz="4" w:space="0"/>
            </w:tcBorders>
          </w:tcPr>
          <w:p>
            <w:pPr>
              <w:pStyle w:val="231"/>
              <w:ind w:right="630"/>
              <w:jc w:val="center"/>
              <w:rPr>
                <w:rFonts w:hAnsi="宋体"/>
                <w:sz w:val="18"/>
                <w:szCs w:val="18"/>
              </w:rPr>
            </w:pPr>
            <w:r>
              <w:rPr>
                <w:rFonts w:hint="eastAsia" w:hAnsi="宋体"/>
                <w:sz w:val="18"/>
                <w:szCs w:val="18"/>
              </w:rPr>
              <w:t>乘客舱内太阳直射处</w:t>
            </w:r>
          </w:p>
        </w:tc>
        <w:tc>
          <w:tcPr>
            <w:tcW w:w="1985" w:type="dxa"/>
            <w:tcBorders>
              <w:top w:val="single" w:color="auto" w:sz="4" w:space="0"/>
              <w:left w:val="nil"/>
              <w:bottom w:val="single" w:color="auto" w:sz="4" w:space="0"/>
              <w:right w:val="single" w:color="auto" w:sz="4" w:space="0"/>
            </w:tcBorders>
          </w:tcPr>
          <w:p>
            <w:pPr>
              <w:pStyle w:val="231"/>
              <w:jc w:val="center"/>
              <w:rPr>
                <w:rFonts w:hAnsi="宋体"/>
                <w:sz w:val="18"/>
                <w:szCs w:val="18"/>
              </w:rPr>
            </w:pPr>
            <w:r>
              <w:rPr>
                <w:rFonts w:hint="eastAsia" w:hAnsi="宋体"/>
                <w:sz w:val="18"/>
                <w:szCs w:val="18"/>
              </w:rPr>
              <w:t>2</w:t>
            </w:r>
          </w:p>
        </w:tc>
        <w:tc>
          <w:tcPr>
            <w:tcW w:w="2551" w:type="dxa"/>
            <w:tcBorders>
              <w:top w:val="single" w:color="auto" w:sz="4" w:space="0"/>
              <w:left w:val="nil"/>
              <w:bottom w:val="single" w:color="auto" w:sz="4" w:space="0"/>
              <w:right w:val="single" w:color="auto" w:sz="4" w:space="0"/>
            </w:tcBorders>
          </w:tcPr>
          <w:p>
            <w:pPr>
              <w:pStyle w:val="231"/>
              <w:jc w:val="center"/>
              <w:rPr>
                <w:rFonts w:hAnsi="宋体"/>
                <w:sz w:val="18"/>
                <w:szCs w:val="18"/>
              </w:rPr>
            </w:pPr>
            <w:r>
              <w:rPr>
                <w:rFonts w:hint="eastAsia" w:hAnsi="宋体"/>
                <w:sz w:val="18"/>
                <w:szCs w:val="18"/>
              </w:rPr>
              <w:t>46K</w:t>
            </w:r>
          </w:p>
        </w:tc>
      </w:tr>
    </w:tbl>
    <w:p>
      <w:pPr>
        <w:pStyle w:val="82"/>
        <w:spacing w:before="156" w:after="156"/>
      </w:pPr>
      <w:r>
        <w:rPr>
          <w:rFonts w:hint="eastAsia"/>
        </w:rPr>
        <w:t>产品在不同温区的占比</w:t>
      </w:r>
    </w:p>
    <w:p>
      <w:pPr>
        <w:pStyle w:val="232"/>
        <w:rPr>
          <w:szCs w:val="21"/>
        </w:rPr>
      </w:pPr>
      <w:r>
        <w:rPr>
          <w:rFonts w:hint="eastAsia"/>
        </w:rPr>
        <w:t>产品的位置温度模型1见表</w:t>
      </w:r>
      <w:r>
        <w:t>H</w:t>
      </w:r>
      <w:r>
        <w:rPr>
          <w:rFonts w:hint="eastAsia"/>
        </w:rPr>
        <w:t>.2，位置温度模型2见表</w:t>
      </w:r>
      <w:r>
        <w:t>H</w:t>
      </w:r>
      <w:r>
        <w:rPr>
          <w:rFonts w:hint="eastAsia"/>
        </w:rPr>
        <w:t>.3。</w:t>
      </w:r>
    </w:p>
    <w:p>
      <w:pPr>
        <w:pStyle w:val="80"/>
        <w:spacing w:before="156" w:after="156"/>
        <w:ind w:left="168" w:hanging="168"/>
      </w:pPr>
      <w:r>
        <w:rPr>
          <w:rFonts w:hint="eastAsia"/>
        </w:rPr>
        <w:t>位置温度模型1</w:t>
      </w:r>
    </w:p>
    <w:tbl>
      <w:tblPr>
        <w:tblStyle w:val="35"/>
        <w:tblW w:w="918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4678" w:type="dxa"/>
            <w:tcBorders>
              <w:top w:val="single" w:color="auto" w:sz="4" w:space="0"/>
              <w:left w:val="single" w:color="auto" w:sz="4" w:space="0"/>
              <w:bottom w:val="single" w:color="auto" w:sz="4" w:space="0"/>
              <w:right w:val="single" w:color="auto" w:sz="4" w:space="0"/>
            </w:tcBorders>
          </w:tcPr>
          <w:p>
            <w:pPr>
              <w:pStyle w:val="231"/>
              <w:ind w:right="630"/>
              <w:jc w:val="center"/>
              <w:rPr>
                <w:rFonts w:hAnsi="宋体"/>
                <w:sz w:val="18"/>
                <w:szCs w:val="18"/>
              </w:rPr>
            </w:pPr>
            <w:r>
              <w:rPr>
                <w:rFonts w:hint="eastAsia" w:hAnsi="宋体"/>
                <w:sz w:val="18"/>
                <w:szCs w:val="18"/>
              </w:rPr>
              <w:t>温度（T.i）</w:t>
            </w:r>
          </w:p>
          <w:p>
            <w:pPr>
              <w:pStyle w:val="231"/>
              <w:ind w:right="630"/>
              <w:jc w:val="center"/>
              <w:rPr>
                <w:rFonts w:hAnsi="宋体"/>
                <w:sz w:val="18"/>
                <w:szCs w:val="18"/>
              </w:rPr>
            </w:pPr>
            <w:r>
              <w:rPr>
                <w:rFonts w:hint="eastAsia" w:hAnsi="宋体"/>
                <w:sz w:val="18"/>
                <w:szCs w:val="18"/>
              </w:rPr>
              <w:t>℃</w:t>
            </w:r>
          </w:p>
        </w:tc>
        <w:tc>
          <w:tcPr>
            <w:tcW w:w="4502" w:type="dxa"/>
            <w:tcBorders>
              <w:top w:val="single" w:color="auto" w:sz="4" w:space="0"/>
              <w:left w:val="nil"/>
              <w:bottom w:val="single" w:color="auto" w:sz="4" w:space="0"/>
              <w:right w:val="single" w:color="auto" w:sz="4" w:space="0"/>
            </w:tcBorders>
          </w:tcPr>
          <w:p>
            <w:pPr>
              <w:pStyle w:val="231"/>
              <w:ind w:right="630"/>
              <w:jc w:val="center"/>
              <w:rPr>
                <w:rFonts w:hAnsi="宋体"/>
                <w:sz w:val="18"/>
                <w:szCs w:val="18"/>
              </w:rPr>
            </w:pPr>
            <w:r>
              <w:rPr>
                <w:rFonts w:hint="eastAsia" w:hAnsi="宋体"/>
                <w:sz w:val="18"/>
                <w:szCs w:val="18"/>
              </w:rPr>
              <w:t>温度占比（Pi）</w:t>
            </w:r>
          </w:p>
          <w:p>
            <w:pPr>
              <w:pStyle w:val="231"/>
              <w:ind w:right="630"/>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4678" w:type="dxa"/>
            <w:tcBorders>
              <w:top w:val="single" w:color="auto" w:sz="4" w:space="0"/>
              <w:left w:val="single" w:color="auto" w:sz="4" w:space="0"/>
              <w:bottom w:val="single" w:color="auto" w:sz="4" w:space="0"/>
              <w:right w:val="single" w:color="auto" w:sz="4" w:space="0"/>
            </w:tcBorders>
          </w:tcPr>
          <w:p>
            <w:pPr>
              <w:pStyle w:val="231"/>
              <w:ind w:right="630"/>
              <w:jc w:val="center"/>
              <w:rPr>
                <w:rFonts w:hAnsi="宋体"/>
                <w:sz w:val="18"/>
                <w:szCs w:val="18"/>
              </w:rPr>
            </w:pPr>
            <w:r>
              <w:rPr>
                <w:rFonts w:hint="eastAsia" w:hAnsi="宋体"/>
                <w:sz w:val="18"/>
                <w:szCs w:val="18"/>
              </w:rPr>
              <w:t>-40</w:t>
            </w:r>
          </w:p>
        </w:tc>
        <w:tc>
          <w:tcPr>
            <w:tcW w:w="4502" w:type="dxa"/>
            <w:tcBorders>
              <w:top w:val="single" w:color="auto" w:sz="4" w:space="0"/>
              <w:left w:val="nil"/>
              <w:bottom w:val="single" w:color="auto" w:sz="4" w:space="0"/>
              <w:right w:val="single" w:color="auto" w:sz="4" w:space="0"/>
            </w:tcBorders>
          </w:tcPr>
          <w:p>
            <w:pPr>
              <w:pStyle w:val="231"/>
              <w:ind w:right="630"/>
              <w:jc w:val="center"/>
              <w:rPr>
                <w:rFonts w:hAnsi="宋体"/>
                <w:sz w:val="18"/>
                <w:szCs w:val="18"/>
              </w:rPr>
            </w:pPr>
            <w:r>
              <w:rPr>
                <w:rFonts w:hint="eastAsia" w:hAnsi="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4678" w:type="dxa"/>
            <w:tcBorders>
              <w:top w:val="single" w:color="auto" w:sz="4" w:space="0"/>
              <w:left w:val="single" w:color="auto" w:sz="4" w:space="0"/>
              <w:bottom w:val="single" w:color="auto" w:sz="4" w:space="0"/>
              <w:right w:val="single" w:color="auto" w:sz="4" w:space="0"/>
            </w:tcBorders>
          </w:tcPr>
          <w:p>
            <w:pPr>
              <w:pStyle w:val="231"/>
              <w:ind w:right="630"/>
              <w:jc w:val="center"/>
              <w:rPr>
                <w:rFonts w:hAnsi="宋体"/>
                <w:sz w:val="18"/>
                <w:szCs w:val="18"/>
              </w:rPr>
            </w:pPr>
            <w:r>
              <w:rPr>
                <w:rFonts w:hint="eastAsia" w:hAnsi="宋体"/>
                <w:sz w:val="18"/>
                <w:szCs w:val="18"/>
              </w:rPr>
              <w:t>23</w:t>
            </w:r>
          </w:p>
        </w:tc>
        <w:tc>
          <w:tcPr>
            <w:tcW w:w="4502" w:type="dxa"/>
            <w:tcBorders>
              <w:top w:val="single" w:color="auto" w:sz="4" w:space="0"/>
              <w:left w:val="nil"/>
              <w:bottom w:val="single" w:color="auto" w:sz="4" w:space="0"/>
              <w:right w:val="single" w:color="auto" w:sz="4" w:space="0"/>
            </w:tcBorders>
          </w:tcPr>
          <w:p>
            <w:pPr>
              <w:pStyle w:val="231"/>
              <w:ind w:right="630"/>
              <w:jc w:val="center"/>
              <w:rPr>
                <w:rFonts w:hAnsi="宋体"/>
                <w:sz w:val="18"/>
                <w:szCs w:val="18"/>
              </w:rPr>
            </w:pPr>
            <w:r>
              <w:rPr>
                <w:rFonts w:hint="eastAsia"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4678" w:type="dxa"/>
            <w:tcBorders>
              <w:top w:val="single" w:color="auto" w:sz="4" w:space="0"/>
              <w:left w:val="single" w:color="auto" w:sz="4" w:space="0"/>
              <w:bottom w:val="single" w:color="auto" w:sz="4" w:space="0"/>
              <w:right w:val="single" w:color="auto" w:sz="4" w:space="0"/>
            </w:tcBorders>
          </w:tcPr>
          <w:p>
            <w:pPr>
              <w:pStyle w:val="231"/>
              <w:ind w:right="630"/>
              <w:jc w:val="center"/>
              <w:rPr>
                <w:rFonts w:hAnsi="宋体"/>
                <w:sz w:val="18"/>
                <w:szCs w:val="18"/>
              </w:rPr>
            </w:pPr>
            <w:r>
              <w:rPr>
                <w:rFonts w:hint="eastAsia" w:hAnsi="宋体"/>
                <w:sz w:val="18"/>
                <w:szCs w:val="18"/>
              </w:rPr>
              <w:t>40</w:t>
            </w:r>
          </w:p>
        </w:tc>
        <w:tc>
          <w:tcPr>
            <w:tcW w:w="4502" w:type="dxa"/>
            <w:tcBorders>
              <w:top w:val="single" w:color="auto" w:sz="4" w:space="0"/>
              <w:left w:val="nil"/>
              <w:bottom w:val="single" w:color="auto" w:sz="4" w:space="0"/>
              <w:right w:val="single" w:color="auto" w:sz="4" w:space="0"/>
            </w:tcBorders>
          </w:tcPr>
          <w:p>
            <w:pPr>
              <w:pStyle w:val="231"/>
              <w:ind w:right="630"/>
              <w:jc w:val="center"/>
              <w:rPr>
                <w:rFonts w:hAnsi="宋体"/>
                <w:sz w:val="18"/>
                <w:szCs w:val="18"/>
              </w:rPr>
            </w:pPr>
            <w:r>
              <w:rPr>
                <w:rFonts w:hint="eastAsia" w:hAnsi="宋体"/>
                <w:sz w:val="18"/>
                <w:szCs w:val="18"/>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4678" w:type="dxa"/>
            <w:tcBorders>
              <w:top w:val="single" w:color="auto" w:sz="4" w:space="0"/>
              <w:left w:val="single" w:color="auto" w:sz="4" w:space="0"/>
              <w:bottom w:val="single" w:color="auto" w:sz="4" w:space="0"/>
              <w:right w:val="single" w:color="auto" w:sz="4" w:space="0"/>
            </w:tcBorders>
          </w:tcPr>
          <w:p>
            <w:pPr>
              <w:pStyle w:val="231"/>
              <w:ind w:right="630"/>
              <w:jc w:val="center"/>
              <w:rPr>
                <w:rFonts w:hAnsi="宋体"/>
                <w:sz w:val="18"/>
                <w:szCs w:val="18"/>
              </w:rPr>
            </w:pPr>
            <w:r>
              <w:rPr>
                <w:rFonts w:hint="eastAsia" w:hAnsi="宋体"/>
                <w:sz w:val="18"/>
                <w:szCs w:val="18"/>
              </w:rPr>
              <w:t>80</w:t>
            </w:r>
          </w:p>
        </w:tc>
        <w:tc>
          <w:tcPr>
            <w:tcW w:w="4502" w:type="dxa"/>
            <w:tcBorders>
              <w:top w:val="single" w:color="auto" w:sz="4" w:space="0"/>
              <w:left w:val="nil"/>
              <w:bottom w:val="single" w:color="auto" w:sz="4" w:space="0"/>
              <w:right w:val="single" w:color="auto" w:sz="4" w:space="0"/>
            </w:tcBorders>
          </w:tcPr>
          <w:p>
            <w:pPr>
              <w:pStyle w:val="231"/>
              <w:ind w:right="630"/>
              <w:jc w:val="center"/>
              <w:rPr>
                <w:rFonts w:hAnsi="宋体"/>
                <w:sz w:val="18"/>
                <w:szCs w:val="18"/>
              </w:rPr>
            </w:pPr>
            <w:r>
              <w:rPr>
                <w:rFonts w:hint="eastAsia" w:hAnsi="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4678" w:type="dxa"/>
            <w:tcBorders>
              <w:top w:val="single" w:color="auto" w:sz="4" w:space="0"/>
              <w:left w:val="single" w:color="auto" w:sz="4" w:space="0"/>
              <w:bottom w:val="single" w:color="auto" w:sz="4" w:space="0"/>
              <w:right w:val="single" w:color="auto" w:sz="4" w:space="0"/>
            </w:tcBorders>
          </w:tcPr>
          <w:p>
            <w:pPr>
              <w:pStyle w:val="231"/>
              <w:ind w:right="630"/>
              <w:jc w:val="center"/>
              <w:rPr>
                <w:rFonts w:hAnsi="宋体"/>
                <w:sz w:val="18"/>
                <w:szCs w:val="18"/>
              </w:rPr>
            </w:pPr>
            <w:r>
              <w:rPr>
                <w:rFonts w:hint="eastAsia" w:hAnsi="宋体"/>
                <w:sz w:val="18"/>
                <w:szCs w:val="18"/>
              </w:rPr>
              <w:t>85</w:t>
            </w:r>
          </w:p>
        </w:tc>
        <w:tc>
          <w:tcPr>
            <w:tcW w:w="4502" w:type="dxa"/>
            <w:tcBorders>
              <w:top w:val="single" w:color="auto" w:sz="4" w:space="0"/>
              <w:left w:val="nil"/>
              <w:bottom w:val="single" w:color="auto" w:sz="4" w:space="0"/>
              <w:right w:val="single" w:color="auto" w:sz="4" w:space="0"/>
            </w:tcBorders>
          </w:tcPr>
          <w:p>
            <w:pPr>
              <w:pStyle w:val="231"/>
              <w:ind w:right="630"/>
              <w:jc w:val="center"/>
              <w:rPr>
                <w:rFonts w:hAnsi="宋体"/>
                <w:sz w:val="18"/>
                <w:szCs w:val="18"/>
              </w:rPr>
            </w:pPr>
            <w:r>
              <w:rPr>
                <w:rFonts w:hint="eastAsia" w:hAnsi="宋体"/>
                <w:sz w:val="18"/>
                <w:szCs w:val="18"/>
              </w:rPr>
              <w:t>1</w:t>
            </w:r>
          </w:p>
        </w:tc>
      </w:tr>
    </w:tbl>
    <w:p>
      <w:pPr>
        <w:pStyle w:val="80"/>
        <w:spacing w:before="156" w:after="156"/>
        <w:ind w:left="168" w:hanging="168"/>
        <w:rPr>
          <w:rFonts w:hAnsi="黑体" w:cs="宋体"/>
          <w:kern w:val="2"/>
          <w:szCs w:val="21"/>
        </w:rPr>
      </w:pPr>
      <w:r>
        <w:rPr>
          <w:rFonts w:hint="eastAsia"/>
        </w:rPr>
        <w:t>位置温度模型2</w:t>
      </w:r>
    </w:p>
    <w:tbl>
      <w:tblPr>
        <w:tblStyle w:val="35"/>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4678" w:type="dxa"/>
            <w:tcBorders>
              <w:top w:val="single" w:color="auto" w:sz="4" w:space="0"/>
              <w:left w:val="single" w:color="auto" w:sz="4" w:space="0"/>
              <w:bottom w:val="single" w:color="auto" w:sz="4" w:space="0"/>
              <w:right w:val="single" w:color="auto" w:sz="4" w:space="0"/>
            </w:tcBorders>
          </w:tcPr>
          <w:p>
            <w:pPr>
              <w:pStyle w:val="231"/>
              <w:ind w:right="630"/>
              <w:jc w:val="center"/>
              <w:rPr>
                <w:rFonts w:hAnsi="宋体"/>
                <w:sz w:val="18"/>
                <w:szCs w:val="18"/>
              </w:rPr>
            </w:pPr>
            <w:r>
              <w:rPr>
                <w:rFonts w:hint="eastAsia" w:hAnsi="宋体"/>
                <w:sz w:val="18"/>
                <w:szCs w:val="18"/>
              </w:rPr>
              <w:t>位置温度（T.i）</w:t>
            </w:r>
          </w:p>
          <w:p>
            <w:pPr>
              <w:pStyle w:val="231"/>
              <w:ind w:right="630"/>
              <w:jc w:val="center"/>
              <w:rPr>
                <w:rFonts w:hAnsi="宋体"/>
                <w:sz w:val="18"/>
                <w:szCs w:val="18"/>
              </w:rPr>
            </w:pPr>
            <w:r>
              <w:rPr>
                <w:rFonts w:hint="eastAsia" w:hAnsi="宋体"/>
                <w:sz w:val="18"/>
                <w:szCs w:val="18"/>
              </w:rPr>
              <w:t>℃</w:t>
            </w:r>
          </w:p>
        </w:tc>
        <w:tc>
          <w:tcPr>
            <w:tcW w:w="4536" w:type="dxa"/>
            <w:tcBorders>
              <w:top w:val="single" w:color="auto" w:sz="4" w:space="0"/>
              <w:left w:val="nil"/>
              <w:bottom w:val="single" w:color="auto" w:sz="4" w:space="0"/>
              <w:right w:val="single" w:color="auto" w:sz="4" w:space="0"/>
            </w:tcBorders>
          </w:tcPr>
          <w:p>
            <w:pPr>
              <w:pStyle w:val="231"/>
              <w:ind w:right="630"/>
              <w:jc w:val="center"/>
              <w:rPr>
                <w:rFonts w:hAnsi="宋体"/>
                <w:sz w:val="18"/>
                <w:szCs w:val="18"/>
              </w:rPr>
            </w:pPr>
            <w:r>
              <w:rPr>
                <w:rFonts w:hint="eastAsia" w:hAnsi="宋体"/>
                <w:sz w:val="18"/>
                <w:szCs w:val="18"/>
              </w:rPr>
              <w:t>温度占比（Pi）</w:t>
            </w:r>
          </w:p>
          <w:p>
            <w:pPr>
              <w:pStyle w:val="231"/>
              <w:ind w:right="630"/>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4678" w:type="dxa"/>
            <w:tcBorders>
              <w:top w:val="single" w:color="auto" w:sz="4" w:space="0"/>
              <w:left w:val="single" w:color="auto" w:sz="4" w:space="0"/>
              <w:bottom w:val="single" w:color="auto" w:sz="4" w:space="0"/>
              <w:right w:val="single" w:color="auto" w:sz="4" w:space="0"/>
            </w:tcBorders>
          </w:tcPr>
          <w:p>
            <w:pPr>
              <w:pStyle w:val="231"/>
              <w:ind w:right="630"/>
              <w:jc w:val="center"/>
              <w:rPr>
                <w:rFonts w:hAnsi="宋体"/>
                <w:sz w:val="18"/>
                <w:szCs w:val="18"/>
              </w:rPr>
            </w:pPr>
            <w:r>
              <w:rPr>
                <w:rFonts w:hint="eastAsia" w:hAnsi="宋体"/>
                <w:sz w:val="18"/>
                <w:szCs w:val="18"/>
              </w:rPr>
              <w:t>-40</w:t>
            </w:r>
          </w:p>
        </w:tc>
        <w:tc>
          <w:tcPr>
            <w:tcW w:w="4536" w:type="dxa"/>
            <w:tcBorders>
              <w:top w:val="single" w:color="auto" w:sz="4" w:space="0"/>
              <w:left w:val="nil"/>
              <w:bottom w:val="single" w:color="auto" w:sz="4" w:space="0"/>
              <w:right w:val="single" w:color="auto" w:sz="4" w:space="0"/>
            </w:tcBorders>
          </w:tcPr>
          <w:p>
            <w:pPr>
              <w:pStyle w:val="231"/>
              <w:ind w:right="630"/>
              <w:jc w:val="center"/>
              <w:rPr>
                <w:rFonts w:hAnsi="宋体"/>
                <w:sz w:val="18"/>
                <w:szCs w:val="18"/>
              </w:rPr>
            </w:pPr>
            <w:r>
              <w:rPr>
                <w:rFonts w:hint="eastAsia" w:hAnsi="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4678" w:type="dxa"/>
            <w:tcBorders>
              <w:top w:val="single" w:color="auto" w:sz="4" w:space="0"/>
              <w:left w:val="single" w:color="auto" w:sz="4" w:space="0"/>
              <w:bottom w:val="single" w:color="auto" w:sz="4" w:space="0"/>
              <w:right w:val="single" w:color="auto" w:sz="4" w:space="0"/>
            </w:tcBorders>
          </w:tcPr>
          <w:p>
            <w:pPr>
              <w:pStyle w:val="231"/>
              <w:ind w:right="630"/>
              <w:jc w:val="center"/>
              <w:rPr>
                <w:rFonts w:hAnsi="宋体"/>
                <w:sz w:val="18"/>
                <w:szCs w:val="18"/>
              </w:rPr>
            </w:pPr>
            <w:r>
              <w:rPr>
                <w:rFonts w:hint="eastAsia" w:hAnsi="宋体"/>
                <w:sz w:val="18"/>
                <w:szCs w:val="18"/>
              </w:rPr>
              <w:t>23</w:t>
            </w:r>
          </w:p>
        </w:tc>
        <w:tc>
          <w:tcPr>
            <w:tcW w:w="4536" w:type="dxa"/>
            <w:tcBorders>
              <w:top w:val="single" w:color="auto" w:sz="4" w:space="0"/>
              <w:left w:val="nil"/>
              <w:bottom w:val="single" w:color="auto" w:sz="4" w:space="0"/>
              <w:right w:val="single" w:color="auto" w:sz="4" w:space="0"/>
            </w:tcBorders>
          </w:tcPr>
          <w:p>
            <w:pPr>
              <w:pStyle w:val="231"/>
              <w:ind w:right="630"/>
              <w:jc w:val="center"/>
              <w:rPr>
                <w:rFonts w:hAnsi="宋体"/>
                <w:sz w:val="18"/>
                <w:szCs w:val="18"/>
              </w:rPr>
            </w:pPr>
            <w:r>
              <w:rPr>
                <w:rFonts w:hint="eastAsia"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4678" w:type="dxa"/>
            <w:tcBorders>
              <w:top w:val="single" w:color="auto" w:sz="4" w:space="0"/>
              <w:left w:val="single" w:color="auto" w:sz="4" w:space="0"/>
              <w:bottom w:val="single" w:color="auto" w:sz="4" w:space="0"/>
              <w:right w:val="single" w:color="auto" w:sz="4" w:space="0"/>
            </w:tcBorders>
          </w:tcPr>
          <w:p>
            <w:pPr>
              <w:pStyle w:val="231"/>
              <w:ind w:right="630"/>
              <w:jc w:val="center"/>
              <w:rPr>
                <w:rFonts w:hAnsi="宋体"/>
                <w:sz w:val="18"/>
                <w:szCs w:val="18"/>
              </w:rPr>
            </w:pPr>
            <w:r>
              <w:rPr>
                <w:rFonts w:hint="eastAsia" w:hAnsi="宋体"/>
                <w:sz w:val="18"/>
                <w:szCs w:val="18"/>
              </w:rPr>
              <w:t>50</w:t>
            </w:r>
          </w:p>
        </w:tc>
        <w:tc>
          <w:tcPr>
            <w:tcW w:w="4536" w:type="dxa"/>
            <w:tcBorders>
              <w:top w:val="single" w:color="auto" w:sz="4" w:space="0"/>
              <w:left w:val="nil"/>
              <w:bottom w:val="single" w:color="auto" w:sz="4" w:space="0"/>
              <w:right w:val="single" w:color="auto" w:sz="4" w:space="0"/>
            </w:tcBorders>
          </w:tcPr>
          <w:p>
            <w:pPr>
              <w:pStyle w:val="231"/>
              <w:ind w:right="630"/>
              <w:jc w:val="center"/>
              <w:rPr>
                <w:rFonts w:hAnsi="宋体"/>
                <w:sz w:val="18"/>
                <w:szCs w:val="18"/>
              </w:rPr>
            </w:pPr>
            <w:r>
              <w:rPr>
                <w:rFonts w:hint="eastAsia" w:hAnsi="宋体"/>
                <w:sz w:val="18"/>
                <w:szCs w:val="18"/>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4678" w:type="dxa"/>
            <w:tcBorders>
              <w:top w:val="single" w:color="auto" w:sz="4" w:space="0"/>
              <w:left w:val="single" w:color="auto" w:sz="4" w:space="0"/>
              <w:bottom w:val="single" w:color="auto" w:sz="4" w:space="0"/>
              <w:right w:val="single" w:color="auto" w:sz="4" w:space="0"/>
            </w:tcBorders>
          </w:tcPr>
          <w:p>
            <w:pPr>
              <w:pStyle w:val="231"/>
              <w:ind w:right="630"/>
              <w:jc w:val="center"/>
              <w:rPr>
                <w:rFonts w:hAnsi="宋体"/>
                <w:sz w:val="18"/>
                <w:szCs w:val="18"/>
              </w:rPr>
            </w:pPr>
            <w:r>
              <w:rPr>
                <w:rFonts w:hint="eastAsia" w:hAnsi="宋体"/>
                <w:sz w:val="18"/>
                <w:szCs w:val="18"/>
              </w:rPr>
              <w:t>85</w:t>
            </w:r>
          </w:p>
        </w:tc>
        <w:tc>
          <w:tcPr>
            <w:tcW w:w="4536" w:type="dxa"/>
            <w:tcBorders>
              <w:top w:val="single" w:color="auto" w:sz="4" w:space="0"/>
              <w:left w:val="nil"/>
              <w:bottom w:val="single" w:color="auto" w:sz="4" w:space="0"/>
              <w:right w:val="single" w:color="auto" w:sz="4" w:space="0"/>
            </w:tcBorders>
          </w:tcPr>
          <w:p>
            <w:pPr>
              <w:pStyle w:val="231"/>
              <w:ind w:right="630"/>
              <w:jc w:val="center"/>
              <w:rPr>
                <w:rFonts w:hAnsi="宋体"/>
                <w:sz w:val="18"/>
                <w:szCs w:val="18"/>
              </w:rPr>
            </w:pPr>
            <w:r>
              <w:rPr>
                <w:rFonts w:hint="eastAsia" w:hAnsi="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4678" w:type="dxa"/>
            <w:tcBorders>
              <w:top w:val="single" w:color="auto" w:sz="4" w:space="0"/>
              <w:left w:val="single" w:color="auto" w:sz="4" w:space="0"/>
              <w:bottom w:val="single" w:color="auto" w:sz="4" w:space="0"/>
              <w:right w:val="single" w:color="auto" w:sz="4" w:space="0"/>
            </w:tcBorders>
          </w:tcPr>
          <w:p>
            <w:pPr>
              <w:pStyle w:val="231"/>
              <w:ind w:right="630"/>
              <w:jc w:val="center"/>
              <w:rPr>
                <w:rFonts w:hAnsi="宋体"/>
                <w:sz w:val="18"/>
                <w:szCs w:val="18"/>
              </w:rPr>
            </w:pPr>
            <w:r>
              <w:rPr>
                <w:rFonts w:hint="eastAsia" w:hAnsi="宋体"/>
                <w:sz w:val="18"/>
                <w:szCs w:val="18"/>
              </w:rPr>
              <w:t>90</w:t>
            </w:r>
          </w:p>
        </w:tc>
        <w:tc>
          <w:tcPr>
            <w:tcW w:w="4536" w:type="dxa"/>
            <w:tcBorders>
              <w:top w:val="single" w:color="auto" w:sz="4" w:space="0"/>
              <w:left w:val="nil"/>
              <w:bottom w:val="single" w:color="auto" w:sz="4" w:space="0"/>
              <w:right w:val="single" w:color="auto" w:sz="4" w:space="0"/>
            </w:tcBorders>
          </w:tcPr>
          <w:p>
            <w:pPr>
              <w:pStyle w:val="231"/>
              <w:ind w:right="630"/>
              <w:jc w:val="center"/>
              <w:rPr>
                <w:rFonts w:hAnsi="宋体"/>
                <w:sz w:val="18"/>
                <w:szCs w:val="18"/>
              </w:rPr>
            </w:pPr>
            <w:r>
              <w:rPr>
                <w:rFonts w:hint="eastAsia" w:hAnsi="宋体"/>
                <w:sz w:val="18"/>
                <w:szCs w:val="18"/>
              </w:rPr>
              <w:t>1</w:t>
            </w:r>
          </w:p>
        </w:tc>
      </w:tr>
    </w:tbl>
    <w:p>
      <w:pPr>
        <w:pStyle w:val="81"/>
        <w:spacing w:before="156" w:after="156"/>
      </w:pPr>
      <w:r>
        <w:rPr>
          <w:rFonts w:hint="eastAsia"/>
        </w:rPr>
        <w:t>高温耐久性试验Arrhenius计算模型</w:t>
      </w:r>
    </w:p>
    <w:p>
      <w:pPr>
        <w:pStyle w:val="232"/>
        <w:rPr>
          <w:szCs w:val="21"/>
        </w:rPr>
      </w:pPr>
      <w:r>
        <w:rPr>
          <w:rFonts w:hint="eastAsia"/>
        </w:rPr>
        <w:t>为了计算高温耐久寿命试验的持续时间，按照系统的应用条件，并结合温度分布百分比计算汽车在当前</w:t>
      </w:r>
      <w:r>
        <w:rPr>
          <w:rFonts w:hint="eastAsia"/>
          <w:color w:val="000000"/>
        </w:rPr>
        <w:t>场地</w:t>
      </w:r>
      <w:r>
        <w:rPr>
          <w:rFonts w:hint="eastAsia"/>
        </w:rPr>
        <w:t>下的工作小时T</w:t>
      </w:r>
      <w:r>
        <w:rPr>
          <w:rFonts w:hint="eastAsia"/>
          <w:vertAlign w:val="subscript"/>
        </w:rPr>
        <w:t>oper</w:t>
      </w:r>
      <w:r>
        <w:rPr>
          <w:rFonts w:hint="eastAsia"/>
        </w:rPr>
        <w:t>进行考虑。温度集中模型见表</w:t>
      </w:r>
      <w:r>
        <w:t>H</w:t>
      </w:r>
      <w:r>
        <w:rPr>
          <w:rFonts w:hint="eastAsia"/>
        </w:rPr>
        <w:t>.4。</w:t>
      </w:r>
    </w:p>
    <w:p>
      <w:pPr>
        <w:pStyle w:val="80"/>
        <w:spacing w:before="156" w:after="156"/>
        <w:ind w:left="168" w:hanging="168"/>
      </w:pPr>
      <w:r>
        <w:rPr>
          <w:rFonts w:hint="eastAsia"/>
        </w:rPr>
        <w:t>温度集中模型</w:t>
      </w:r>
    </w:p>
    <w:tbl>
      <w:tblPr>
        <w:tblStyle w:val="35"/>
        <w:tblW w:w="92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6"/>
        <w:gridCol w:w="4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606" w:type="dxa"/>
            <w:tcBorders>
              <w:top w:val="single" w:color="auto" w:sz="4" w:space="0"/>
              <w:left w:val="single" w:color="auto" w:sz="4" w:space="0"/>
              <w:bottom w:val="single" w:color="auto" w:sz="4" w:space="0"/>
              <w:right w:val="single" w:color="auto" w:sz="4" w:space="0"/>
            </w:tcBorders>
          </w:tcPr>
          <w:p>
            <w:pPr>
              <w:jc w:val="center"/>
              <w:rPr>
                <w:rFonts w:ascii="宋体" w:hAnsi="宋体" w:cs="Arial"/>
                <w:kern w:val="0"/>
                <w:sz w:val="18"/>
                <w:szCs w:val="18"/>
              </w:rPr>
            </w:pPr>
            <w:r>
              <w:rPr>
                <w:rFonts w:hint="eastAsia" w:ascii="宋体" w:hAnsi="宋体"/>
                <w:kern w:val="0"/>
                <w:sz w:val="18"/>
                <w:szCs w:val="18"/>
              </w:rPr>
              <w:t>温度（T.i）</w:t>
            </w:r>
          </w:p>
        </w:tc>
        <w:tc>
          <w:tcPr>
            <w:tcW w:w="4689" w:type="dxa"/>
            <w:tcBorders>
              <w:top w:val="single" w:color="auto" w:sz="4" w:space="0"/>
              <w:left w:val="nil"/>
              <w:bottom w:val="single" w:color="auto" w:sz="4" w:space="0"/>
              <w:right w:val="single" w:color="auto" w:sz="4" w:space="0"/>
            </w:tcBorders>
            <w:vAlign w:val="center"/>
          </w:tcPr>
          <w:p>
            <w:pPr>
              <w:jc w:val="center"/>
              <w:rPr>
                <w:rFonts w:ascii="宋体" w:hAnsi="宋体" w:cs="Arial"/>
                <w:color w:val="000000"/>
                <w:kern w:val="0"/>
                <w:sz w:val="18"/>
                <w:szCs w:val="18"/>
              </w:rPr>
            </w:pPr>
            <w:r>
              <w:rPr>
                <w:rFonts w:hint="eastAsia" w:ascii="宋体" w:hAnsi="宋体"/>
                <w:color w:val="000000"/>
                <w:kern w:val="0"/>
                <w:sz w:val="18"/>
                <w:szCs w:val="18"/>
              </w:rPr>
              <w:t>位置</w:t>
            </w:r>
            <w:r>
              <w:rPr>
                <w:rFonts w:hint="eastAsia" w:ascii="宋体" w:hAnsi="宋体"/>
                <w:sz w:val="18"/>
                <w:szCs w:val="18"/>
              </w:rPr>
              <w:t>温度分布（Pi）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606" w:type="dxa"/>
            <w:tcBorders>
              <w:top w:val="single" w:color="auto" w:sz="4" w:space="0"/>
              <w:left w:val="single" w:color="auto" w:sz="4" w:space="0"/>
              <w:bottom w:val="single" w:color="auto" w:sz="4" w:space="0"/>
              <w:right w:val="single" w:color="auto" w:sz="4" w:space="0"/>
            </w:tcBorders>
          </w:tcPr>
          <w:p>
            <w:pPr>
              <w:jc w:val="center"/>
              <w:rPr>
                <w:rFonts w:ascii="宋体" w:hAnsi="宋体"/>
                <w:kern w:val="0"/>
                <w:sz w:val="18"/>
                <w:szCs w:val="18"/>
              </w:rPr>
            </w:pPr>
            <w:r>
              <w:rPr>
                <w:rFonts w:hint="eastAsia" w:ascii="宋体" w:hAnsi="宋体"/>
                <w:kern w:val="0"/>
                <w:sz w:val="18"/>
                <w:szCs w:val="18"/>
              </w:rPr>
              <w:t>T.1</w:t>
            </w:r>
          </w:p>
        </w:tc>
        <w:tc>
          <w:tcPr>
            <w:tcW w:w="4689" w:type="dxa"/>
            <w:tcBorders>
              <w:top w:val="single" w:color="auto" w:sz="4" w:space="0"/>
              <w:left w:val="nil"/>
              <w:bottom w:val="single" w:color="auto" w:sz="4" w:space="0"/>
              <w:right w:val="single" w:color="auto" w:sz="4" w:space="0"/>
            </w:tcBorders>
            <w:vAlign w:val="center"/>
          </w:tcPr>
          <w:p>
            <w:pPr>
              <w:jc w:val="center"/>
              <w:rPr>
                <w:rFonts w:ascii="宋体" w:hAnsi="宋体"/>
                <w:kern w:val="0"/>
                <w:sz w:val="18"/>
                <w:szCs w:val="18"/>
              </w:rPr>
            </w:pPr>
            <w:r>
              <w:rPr>
                <w:rFonts w:hint="eastAsia" w:ascii="宋体" w:hAnsi="宋体"/>
                <w:kern w:val="0"/>
                <w:sz w:val="18"/>
                <w:szCs w:val="18"/>
              </w:rPr>
              <w: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606" w:type="dxa"/>
            <w:tcBorders>
              <w:top w:val="single" w:color="auto" w:sz="4" w:space="0"/>
              <w:left w:val="single" w:color="auto" w:sz="4" w:space="0"/>
              <w:bottom w:val="single" w:color="auto" w:sz="4" w:space="0"/>
              <w:right w:val="single" w:color="auto" w:sz="4" w:space="0"/>
            </w:tcBorders>
          </w:tcPr>
          <w:p>
            <w:pPr>
              <w:jc w:val="center"/>
              <w:rPr>
                <w:rFonts w:ascii="宋体" w:hAnsi="宋体"/>
                <w:kern w:val="0"/>
                <w:sz w:val="18"/>
                <w:szCs w:val="18"/>
              </w:rPr>
            </w:pPr>
            <w:r>
              <w:rPr>
                <w:rFonts w:hint="eastAsia" w:ascii="宋体" w:hAnsi="宋体"/>
                <w:kern w:val="0"/>
                <w:sz w:val="18"/>
                <w:szCs w:val="18"/>
              </w:rPr>
              <w:t>T.2</w:t>
            </w:r>
          </w:p>
        </w:tc>
        <w:tc>
          <w:tcPr>
            <w:tcW w:w="4689" w:type="dxa"/>
            <w:tcBorders>
              <w:top w:val="single" w:color="auto" w:sz="4" w:space="0"/>
              <w:left w:val="nil"/>
              <w:bottom w:val="single" w:color="auto" w:sz="4" w:space="0"/>
              <w:right w:val="single" w:color="auto" w:sz="4" w:space="0"/>
            </w:tcBorders>
          </w:tcPr>
          <w:p>
            <w:pPr>
              <w:jc w:val="center"/>
              <w:rPr>
                <w:rFonts w:ascii="宋体" w:hAnsi="宋体"/>
                <w:kern w:val="0"/>
                <w:sz w:val="18"/>
                <w:szCs w:val="18"/>
              </w:rPr>
            </w:pPr>
            <w:r>
              <w:rPr>
                <w:rFonts w:hint="eastAsia" w:ascii="宋体" w:hAnsi="宋体"/>
                <w:kern w:val="0"/>
                <w:sz w:val="18"/>
                <w:szCs w:val="18"/>
              </w:rPr>
              <w:t>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6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18"/>
                <w:szCs w:val="18"/>
              </w:rPr>
            </w:pPr>
            <w:r>
              <w:rPr>
                <w:rFonts w:hint="eastAsia" w:ascii="宋体" w:hAnsi="宋体"/>
                <w:kern w:val="0"/>
                <w:sz w:val="18"/>
                <w:szCs w:val="18"/>
              </w:rPr>
              <w:t>……</w:t>
            </w:r>
          </w:p>
        </w:tc>
        <w:tc>
          <w:tcPr>
            <w:tcW w:w="4689" w:type="dxa"/>
            <w:tcBorders>
              <w:top w:val="single" w:color="auto" w:sz="4" w:space="0"/>
              <w:left w:val="nil"/>
              <w:bottom w:val="single" w:color="auto" w:sz="4" w:space="0"/>
              <w:right w:val="single" w:color="auto" w:sz="4" w:space="0"/>
            </w:tcBorders>
          </w:tcPr>
          <w:p>
            <w:pPr>
              <w:jc w:val="center"/>
              <w:rPr>
                <w:rFonts w:ascii="宋体" w:hAnsi="宋体"/>
                <w:kern w:val="0"/>
                <w:sz w:val="18"/>
                <w:szCs w:val="18"/>
              </w:rPr>
            </w:pP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606" w:type="dxa"/>
            <w:tcBorders>
              <w:top w:val="single" w:color="auto" w:sz="4" w:space="0"/>
              <w:left w:val="single" w:color="auto" w:sz="4" w:space="0"/>
              <w:bottom w:val="single" w:color="auto" w:sz="4" w:space="0"/>
              <w:right w:val="single" w:color="auto" w:sz="4" w:space="0"/>
            </w:tcBorders>
          </w:tcPr>
          <w:p>
            <w:pPr>
              <w:jc w:val="center"/>
              <w:rPr>
                <w:rFonts w:ascii="宋体" w:hAnsi="宋体"/>
                <w:kern w:val="0"/>
                <w:sz w:val="18"/>
                <w:szCs w:val="18"/>
              </w:rPr>
            </w:pPr>
            <w:r>
              <w:rPr>
                <w:rFonts w:hint="eastAsia" w:ascii="宋体" w:hAnsi="宋体"/>
                <w:kern w:val="0"/>
                <w:sz w:val="18"/>
                <w:szCs w:val="18"/>
              </w:rPr>
              <w:t>T.n</w:t>
            </w:r>
          </w:p>
        </w:tc>
        <w:tc>
          <w:tcPr>
            <w:tcW w:w="4689" w:type="dxa"/>
            <w:tcBorders>
              <w:top w:val="single" w:color="auto" w:sz="4" w:space="0"/>
              <w:left w:val="nil"/>
              <w:bottom w:val="single" w:color="auto" w:sz="4" w:space="0"/>
              <w:right w:val="single" w:color="auto" w:sz="4" w:space="0"/>
            </w:tcBorders>
          </w:tcPr>
          <w:p>
            <w:pPr>
              <w:jc w:val="center"/>
              <w:rPr>
                <w:rFonts w:ascii="宋体" w:hAnsi="宋体"/>
                <w:kern w:val="0"/>
                <w:sz w:val="18"/>
                <w:szCs w:val="18"/>
              </w:rPr>
            </w:pPr>
            <w:r>
              <w:rPr>
                <w:rFonts w:hint="eastAsia" w:ascii="宋体" w:hAnsi="宋体"/>
                <w:kern w:val="0"/>
                <w:sz w:val="18"/>
                <w:szCs w:val="18"/>
              </w:rPr>
              <w:t>Pn</w:t>
            </w:r>
          </w:p>
        </w:tc>
      </w:tr>
    </w:tbl>
    <w:p>
      <w:pPr>
        <w:pStyle w:val="232"/>
        <w:rPr>
          <w:szCs w:val="21"/>
        </w:rPr>
      </w:pPr>
      <w:r>
        <w:rPr>
          <w:rFonts w:hint="eastAsia"/>
        </w:rPr>
        <w:t>对于</w:t>
      </w:r>
      <w:r>
        <w:rPr>
          <w:rFonts w:hint="eastAsia" w:cs="Arial"/>
        </w:rPr>
        <w:t xml:space="preserve">T.1 </w:t>
      </w:r>
      <w:r>
        <w:rPr>
          <w:rFonts w:hint="eastAsia" w:ascii="Times New Roman"/>
        </w:rPr>
        <w:t>……</w:t>
      </w:r>
      <w:r>
        <w:rPr>
          <w:rFonts w:hint="eastAsia" w:cs="Arial"/>
        </w:rPr>
        <w:t>T.n</w:t>
      </w:r>
      <w:r>
        <w:rPr>
          <w:rFonts w:hint="eastAsia"/>
        </w:rPr>
        <w:t>的各个温度，按公式（</w:t>
      </w:r>
      <w:r>
        <w:t>H</w:t>
      </w:r>
      <w:r>
        <w:rPr>
          <w:rFonts w:hint="eastAsia"/>
        </w:rPr>
        <w:t>.1）计算模型的加速度系数</w:t>
      </w:r>
      <w:r>
        <w:rPr>
          <w:rFonts w:hint="eastAsia" w:cs="Arial"/>
        </w:rPr>
        <w:t>AT.1</w:t>
      </w:r>
      <w:r>
        <w:rPr>
          <w:rFonts w:hint="eastAsia" w:ascii="Times New Roman"/>
        </w:rPr>
        <w:t>……</w:t>
      </w:r>
      <w:r>
        <w:rPr>
          <w:rFonts w:hint="eastAsia" w:cs="Arial"/>
        </w:rPr>
        <w:t>AT.n</w:t>
      </w:r>
      <w:r>
        <w:rPr>
          <w:rFonts w:hint="eastAsia"/>
        </w:rPr>
        <w:t>：</w:t>
      </w:r>
    </w:p>
    <w:p>
      <w:pPr>
        <w:ind w:firstLine="420"/>
        <w:jc w:val="center"/>
        <w:rPr>
          <w:rFonts w:ascii="宋体" w:hAnsi="宋体"/>
          <w:kern w:val="0"/>
        </w:rPr>
      </w:pPr>
      <w:r>
        <w:rPr>
          <w:rFonts w:hint="eastAsia" w:ascii="宋体" w:hAnsi="宋体"/>
          <w:kern w:val="0"/>
        </w:rPr>
        <w:t>AT.i=e</w:t>
      </w:r>
      <w:r>
        <w:rPr>
          <w:rFonts w:hint="eastAsia" w:ascii="宋体" w:hAnsi="宋体"/>
          <w:kern w:val="0"/>
          <w:vertAlign w:val="superscript"/>
        </w:rPr>
        <w:t>{-(EA/K)*[1/（Ttest+273.15）- 1/(T.i+273.15)]}</w:t>
      </w:r>
      <w:r>
        <w:rPr>
          <w:rFonts w:hint="eastAsia" w:ascii="宋体" w:hAnsi="宋体"/>
          <w:kern w:val="0"/>
        </w:rPr>
        <w:t>…………………………………（</w:t>
      </w:r>
      <w:r>
        <w:rPr>
          <w:rFonts w:ascii="宋体" w:hAnsi="宋体"/>
          <w:kern w:val="0"/>
        </w:rPr>
        <w:t>H</w:t>
      </w:r>
      <w:r>
        <w:rPr>
          <w:rFonts w:hint="eastAsia" w:ascii="宋体" w:hAnsi="宋体"/>
          <w:kern w:val="0"/>
        </w:rPr>
        <w:t>.1）</w:t>
      </w:r>
    </w:p>
    <w:p>
      <w:pPr>
        <w:spacing w:line="240" w:lineRule="auto"/>
        <w:ind w:firstLine="420"/>
        <w:rPr>
          <w:rFonts w:ascii="宋体" w:hAnsi="宋体"/>
          <w:kern w:val="0"/>
          <w:sz w:val="18"/>
          <w:szCs w:val="18"/>
        </w:rPr>
      </w:pPr>
      <w:r>
        <w:rPr>
          <w:rFonts w:hint="eastAsia" w:ascii="宋体" w:hAnsi="宋体"/>
          <w:kern w:val="0"/>
          <w:sz w:val="18"/>
          <w:szCs w:val="18"/>
        </w:rPr>
        <w:t>式中：</w:t>
      </w:r>
    </w:p>
    <w:p>
      <w:pPr>
        <w:spacing w:line="240" w:lineRule="auto"/>
        <w:ind w:firstLine="420"/>
        <w:rPr>
          <w:rFonts w:ascii="宋体" w:hAnsi="宋体"/>
          <w:kern w:val="0"/>
          <w:sz w:val="18"/>
          <w:szCs w:val="18"/>
        </w:rPr>
      </w:pPr>
      <w:r>
        <w:rPr>
          <w:rFonts w:hint="eastAsia" w:ascii="宋体" w:hAnsi="宋体"/>
          <w:kern w:val="0"/>
          <w:sz w:val="18"/>
          <w:szCs w:val="18"/>
        </w:rPr>
        <w:t>AT.i——Arrhenius 模型的加速度系数；</w:t>
      </w:r>
    </w:p>
    <w:p>
      <w:pPr>
        <w:spacing w:line="240" w:lineRule="auto"/>
        <w:ind w:firstLine="420"/>
        <w:rPr>
          <w:rFonts w:ascii="宋体" w:hAnsi="宋体"/>
          <w:kern w:val="0"/>
          <w:sz w:val="18"/>
          <w:szCs w:val="18"/>
        </w:rPr>
      </w:pPr>
      <w:r>
        <w:rPr>
          <w:rFonts w:hint="eastAsia" w:ascii="宋体" w:hAnsi="宋体"/>
          <w:kern w:val="0"/>
          <w:sz w:val="18"/>
          <w:szCs w:val="18"/>
        </w:rPr>
        <w:t>EA ——激活能量EA=0.45 eV ；</w:t>
      </w:r>
    </w:p>
    <w:p>
      <w:pPr>
        <w:spacing w:line="240" w:lineRule="auto"/>
        <w:ind w:firstLine="420"/>
        <w:rPr>
          <w:rFonts w:ascii="宋体" w:hAnsi="宋体"/>
          <w:kern w:val="0"/>
          <w:sz w:val="18"/>
          <w:szCs w:val="18"/>
        </w:rPr>
      </w:pPr>
      <w:r>
        <w:rPr>
          <w:rFonts w:hint="eastAsia" w:ascii="宋体" w:hAnsi="宋体"/>
          <w:kern w:val="0"/>
          <w:sz w:val="18"/>
          <w:szCs w:val="18"/>
        </w:rPr>
        <w:t>K——玻尔茲曼常数（K=8.617×10</w:t>
      </w:r>
      <w:r>
        <w:rPr>
          <w:rFonts w:hint="eastAsia" w:ascii="宋体" w:hAnsi="宋体"/>
          <w:kern w:val="0"/>
          <w:sz w:val="18"/>
          <w:szCs w:val="18"/>
          <w:vertAlign w:val="superscript"/>
        </w:rPr>
        <w:t xml:space="preserve">—5 </w:t>
      </w:r>
      <w:r>
        <w:rPr>
          <w:rFonts w:hint="eastAsia" w:ascii="宋体" w:hAnsi="宋体"/>
          <w:kern w:val="0"/>
          <w:sz w:val="18"/>
          <w:szCs w:val="18"/>
        </w:rPr>
        <w:t>eV/K）；</w:t>
      </w:r>
    </w:p>
    <w:p>
      <w:pPr>
        <w:spacing w:line="240" w:lineRule="auto"/>
        <w:ind w:firstLine="420"/>
        <w:rPr>
          <w:rFonts w:ascii="宋体" w:hAnsi="宋体"/>
          <w:kern w:val="0"/>
          <w:sz w:val="18"/>
          <w:szCs w:val="18"/>
        </w:rPr>
      </w:pPr>
      <w:r>
        <w:rPr>
          <w:rFonts w:hint="eastAsia" w:ascii="宋体" w:hAnsi="宋体"/>
          <w:kern w:val="0"/>
          <w:sz w:val="18"/>
          <w:szCs w:val="18"/>
        </w:rPr>
        <w:t>T</w:t>
      </w:r>
      <w:r>
        <w:rPr>
          <w:rFonts w:hint="eastAsia" w:ascii="宋体" w:hAnsi="宋体"/>
          <w:kern w:val="0"/>
          <w:sz w:val="18"/>
          <w:szCs w:val="18"/>
          <w:vertAlign w:val="subscript"/>
        </w:rPr>
        <w:t>test</w:t>
      </w:r>
      <w:r>
        <w:rPr>
          <w:rFonts w:hint="eastAsia" w:ascii="宋体" w:hAnsi="宋体"/>
          <w:kern w:val="0"/>
          <w:sz w:val="18"/>
          <w:szCs w:val="18"/>
        </w:rPr>
        <w:t>——试验温度[℃]，通常为T</w:t>
      </w:r>
      <w:r>
        <w:rPr>
          <w:rFonts w:hint="eastAsia" w:ascii="宋体" w:hAnsi="宋体"/>
          <w:kern w:val="0"/>
          <w:sz w:val="18"/>
          <w:szCs w:val="18"/>
          <w:vertAlign w:val="subscript"/>
        </w:rPr>
        <w:t>max</w:t>
      </w:r>
      <w:r>
        <w:rPr>
          <w:rFonts w:hint="eastAsia" w:ascii="宋体" w:hAnsi="宋体"/>
          <w:kern w:val="0"/>
          <w:sz w:val="18"/>
          <w:szCs w:val="18"/>
        </w:rPr>
        <w:t>；</w:t>
      </w:r>
    </w:p>
    <w:p>
      <w:pPr>
        <w:spacing w:line="240" w:lineRule="auto"/>
        <w:ind w:firstLine="420"/>
        <w:rPr>
          <w:rFonts w:ascii="宋体" w:hAnsi="宋体"/>
          <w:kern w:val="0"/>
          <w:sz w:val="18"/>
          <w:szCs w:val="18"/>
        </w:rPr>
      </w:pPr>
      <w:r>
        <w:rPr>
          <w:rFonts w:hint="eastAsia" w:ascii="宋体" w:hAnsi="宋体" w:cs="Arial"/>
          <w:kern w:val="0"/>
          <w:sz w:val="18"/>
          <w:szCs w:val="18"/>
        </w:rPr>
        <w:t>T.i</w:t>
      </w:r>
      <w:r>
        <w:rPr>
          <w:rFonts w:hint="eastAsia" w:ascii="宋体" w:hAnsi="宋体"/>
          <w:kern w:val="0"/>
          <w:sz w:val="18"/>
          <w:szCs w:val="18"/>
        </w:rPr>
        <w:t>——按照应用曲线在温度集中之后的位置温度；</w:t>
      </w:r>
    </w:p>
    <w:p>
      <w:pPr>
        <w:pStyle w:val="232"/>
        <w:ind w:firstLine="450" w:firstLineChars="250"/>
        <w:rPr>
          <w:rFonts w:hAnsi="宋体"/>
          <w:szCs w:val="21"/>
        </w:rPr>
      </w:pPr>
      <w:r>
        <w:rPr>
          <w:rFonts w:hint="eastAsia"/>
          <w:sz w:val="18"/>
          <w:szCs w:val="18"/>
        </w:rPr>
        <w:t>-</w:t>
      </w:r>
      <w:r>
        <w:rPr>
          <w:rFonts w:hint="eastAsia" w:cs="Arial"/>
          <w:sz w:val="18"/>
          <w:szCs w:val="18"/>
        </w:rPr>
        <w:t>273.15</w:t>
      </w:r>
      <w:r>
        <w:rPr>
          <w:rFonts w:hint="eastAsia"/>
          <w:sz w:val="18"/>
          <w:szCs w:val="18"/>
        </w:rPr>
        <w:t>℃</w:t>
      </w:r>
      <w:r>
        <w:rPr>
          <w:rFonts w:hint="eastAsia" w:cs="Arial"/>
          <w:sz w:val="18"/>
          <w:szCs w:val="18"/>
        </w:rPr>
        <w:t>——</w:t>
      </w:r>
      <w:r>
        <w:rPr>
          <w:rFonts w:hint="eastAsia"/>
          <w:sz w:val="18"/>
          <w:szCs w:val="18"/>
        </w:rPr>
        <w:t>温度的绝对零点。</w:t>
      </w:r>
      <w:r>
        <w:rPr>
          <w:rFonts w:hint="eastAsia"/>
        </w:rPr>
        <w:tab/>
      </w:r>
    </w:p>
    <w:p>
      <w:pPr>
        <w:pStyle w:val="232"/>
      </w:pPr>
      <w:r>
        <w:rPr>
          <w:rFonts w:hint="eastAsia"/>
        </w:rPr>
        <w:t>按公式（</w:t>
      </w:r>
      <w:r>
        <w:t>H</w:t>
      </w:r>
      <w:r>
        <w:rPr>
          <w:rFonts w:hint="eastAsia"/>
        </w:rPr>
        <w:t xml:space="preserve">.2）计算加速度系数得出高温耐久性试验的持续时间。 </w:t>
      </w:r>
    </w:p>
    <w:p>
      <w:pPr>
        <w:ind w:firstLine="420"/>
        <w:jc w:val="center"/>
        <w:rPr>
          <w:rFonts w:ascii="宋体" w:hAnsi="宋体"/>
          <w:kern w:val="0"/>
        </w:rPr>
      </w:pPr>
      <w:r>
        <w:rPr>
          <w:rFonts w:hint="eastAsia" w:ascii="宋体" w:hAnsi="宋体" w:cs="Arial"/>
          <w:kern w:val="0"/>
        </w:rPr>
        <w:t>T</w:t>
      </w:r>
      <w:r>
        <w:rPr>
          <w:rFonts w:hint="eastAsia" w:ascii="宋体" w:hAnsi="宋体" w:cs="Arial"/>
          <w:kern w:val="0"/>
          <w:vertAlign w:val="subscript"/>
        </w:rPr>
        <w:t>test</w:t>
      </w:r>
      <w:r>
        <w:rPr>
          <w:rFonts w:hint="eastAsia" w:ascii="宋体" w:hAnsi="宋体" w:cs="Arial"/>
          <w:kern w:val="0"/>
        </w:rPr>
        <w:t>= T</w:t>
      </w:r>
      <w:r>
        <w:rPr>
          <w:rFonts w:hint="eastAsia" w:ascii="宋体" w:hAnsi="宋体" w:cs="Arial"/>
          <w:kern w:val="0"/>
          <w:vertAlign w:val="subscript"/>
        </w:rPr>
        <w:t>oper</w:t>
      </w:r>
      <w:r>
        <w:rPr>
          <w:rFonts w:hint="eastAsia" w:ascii="宋体" w:hAnsi="宋体"/>
          <w:kern w:val="0"/>
        </w:rPr>
        <w:t>∑</w:t>
      </w:r>
      <w:r>
        <w:rPr>
          <w:rFonts w:hint="eastAsia" w:ascii="宋体" w:hAnsi="宋体" w:cs="Arial"/>
          <w:kern w:val="0"/>
        </w:rPr>
        <w:t>Pi/AT.i</w:t>
      </w:r>
      <w:r>
        <w:rPr>
          <w:rFonts w:hint="eastAsia" w:ascii="宋体" w:hAnsi="宋体"/>
          <w:kern w:val="0"/>
        </w:rPr>
        <w:t>………………………………………………（</w:t>
      </w:r>
      <w:r>
        <w:rPr>
          <w:rFonts w:ascii="宋体" w:hAnsi="宋体"/>
          <w:kern w:val="0"/>
        </w:rPr>
        <w:t>H</w:t>
      </w:r>
      <w:r>
        <w:rPr>
          <w:rFonts w:hint="eastAsia" w:ascii="宋体" w:hAnsi="宋体"/>
          <w:kern w:val="0"/>
        </w:rPr>
        <w:t>.2）</w:t>
      </w:r>
    </w:p>
    <w:p>
      <w:pPr>
        <w:ind w:firstLine="420"/>
        <w:rPr>
          <w:rFonts w:ascii="宋体" w:hAnsi="宋体"/>
          <w:kern w:val="0"/>
          <w:sz w:val="18"/>
          <w:szCs w:val="18"/>
        </w:rPr>
      </w:pPr>
      <w:r>
        <w:rPr>
          <w:rFonts w:hint="eastAsia" w:ascii="宋体" w:hAnsi="宋体"/>
          <w:kern w:val="0"/>
          <w:sz w:val="18"/>
          <w:szCs w:val="18"/>
        </w:rPr>
        <w:t>式中：</w:t>
      </w:r>
    </w:p>
    <w:p>
      <w:pPr>
        <w:spacing w:line="240" w:lineRule="auto"/>
        <w:ind w:firstLine="420"/>
        <w:rPr>
          <w:rFonts w:ascii="宋体" w:hAnsi="宋体"/>
          <w:kern w:val="0"/>
          <w:sz w:val="18"/>
          <w:szCs w:val="18"/>
        </w:rPr>
      </w:pPr>
      <w:r>
        <w:rPr>
          <w:rFonts w:hint="eastAsia" w:ascii="宋体" w:hAnsi="宋体" w:cs="Arial"/>
          <w:kern w:val="0"/>
          <w:sz w:val="18"/>
          <w:szCs w:val="18"/>
        </w:rPr>
        <w:t>T</w:t>
      </w:r>
      <w:r>
        <w:rPr>
          <w:rFonts w:hint="eastAsia" w:ascii="宋体" w:hAnsi="宋体" w:cs="Arial"/>
          <w:kern w:val="0"/>
          <w:sz w:val="18"/>
          <w:szCs w:val="18"/>
          <w:vertAlign w:val="subscript"/>
        </w:rPr>
        <w:t>test</w:t>
      </w:r>
      <w:r>
        <w:rPr>
          <w:rFonts w:hint="eastAsia" w:ascii="宋体" w:hAnsi="宋体"/>
          <w:kern w:val="0"/>
          <w:sz w:val="18"/>
          <w:szCs w:val="18"/>
        </w:rPr>
        <w:t>——高温耐久性试验的试验持续时间，单位为小时（h）；</w:t>
      </w:r>
      <w:r>
        <w:rPr>
          <w:rFonts w:hint="eastAsia" w:ascii="宋体" w:hAnsi="宋体"/>
          <w:kern w:val="0"/>
          <w:sz w:val="18"/>
          <w:szCs w:val="18"/>
        </w:rPr>
        <w:tab/>
      </w:r>
    </w:p>
    <w:p>
      <w:pPr>
        <w:spacing w:line="240" w:lineRule="auto"/>
        <w:ind w:firstLine="420"/>
        <w:rPr>
          <w:rFonts w:ascii="宋体" w:hAnsi="宋体"/>
          <w:kern w:val="0"/>
          <w:sz w:val="18"/>
          <w:szCs w:val="18"/>
        </w:rPr>
      </w:pPr>
      <w:r>
        <w:rPr>
          <w:rFonts w:hint="eastAsia" w:ascii="宋体" w:hAnsi="宋体" w:cs="Arial"/>
          <w:kern w:val="0"/>
          <w:sz w:val="18"/>
          <w:szCs w:val="18"/>
        </w:rPr>
        <w:t>T</w:t>
      </w:r>
      <w:r>
        <w:rPr>
          <w:rFonts w:hint="eastAsia" w:ascii="宋体" w:hAnsi="宋体" w:cs="Arial"/>
          <w:kern w:val="0"/>
          <w:sz w:val="18"/>
          <w:szCs w:val="18"/>
          <w:vertAlign w:val="subscript"/>
        </w:rPr>
        <w:t>oper</w:t>
      </w:r>
      <w:r>
        <w:rPr>
          <w:rFonts w:hint="eastAsia" w:ascii="宋体" w:hAnsi="宋体"/>
          <w:kern w:val="0"/>
          <w:sz w:val="18"/>
          <w:szCs w:val="18"/>
        </w:rPr>
        <w:t>——安装位置的耐久性工作时间；</w:t>
      </w:r>
    </w:p>
    <w:p>
      <w:pPr>
        <w:spacing w:line="240" w:lineRule="auto"/>
        <w:ind w:firstLine="420"/>
        <w:rPr>
          <w:rFonts w:ascii="宋体" w:hAnsi="宋体"/>
          <w:kern w:val="0"/>
          <w:sz w:val="18"/>
          <w:szCs w:val="18"/>
        </w:rPr>
      </w:pPr>
      <w:r>
        <w:rPr>
          <w:rFonts w:hint="eastAsia" w:ascii="宋体" w:hAnsi="宋体" w:cs="Arial"/>
          <w:kern w:val="0"/>
          <w:sz w:val="18"/>
          <w:szCs w:val="18"/>
        </w:rPr>
        <w:t>Pi</w:t>
      </w:r>
      <w:r>
        <w:rPr>
          <w:rFonts w:hint="eastAsia" w:ascii="宋体" w:hAnsi="宋体"/>
          <w:kern w:val="0"/>
          <w:sz w:val="18"/>
          <w:szCs w:val="18"/>
        </w:rPr>
        <w:t>——产品在安装位置温度</w:t>
      </w:r>
      <w:r>
        <w:rPr>
          <w:rFonts w:hint="eastAsia" w:ascii="宋体" w:hAnsi="宋体" w:cs="Arial"/>
          <w:kern w:val="0"/>
          <w:sz w:val="18"/>
          <w:szCs w:val="18"/>
        </w:rPr>
        <w:t>T.i</w:t>
      </w:r>
      <w:r>
        <w:rPr>
          <w:rFonts w:hint="eastAsia" w:ascii="宋体" w:hAnsi="宋体"/>
          <w:kern w:val="0"/>
          <w:sz w:val="18"/>
          <w:szCs w:val="18"/>
        </w:rPr>
        <w:t>下的工作时间百分比数，%；</w:t>
      </w:r>
    </w:p>
    <w:p>
      <w:pPr>
        <w:spacing w:line="240" w:lineRule="auto"/>
        <w:ind w:firstLine="420"/>
        <w:rPr>
          <w:rFonts w:ascii="宋体" w:hAnsi="宋体"/>
          <w:kern w:val="0"/>
          <w:sz w:val="18"/>
          <w:szCs w:val="18"/>
        </w:rPr>
      </w:pPr>
      <w:r>
        <w:rPr>
          <w:rFonts w:hint="eastAsia" w:ascii="宋体" w:hAnsi="宋体" w:cs="Arial"/>
          <w:kern w:val="0"/>
          <w:sz w:val="18"/>
          <w:szCs w:val="18"/>
        </w:rPr>
        <w:t>AT.i</w:t>
      </w:r>
      <w:r>
        <w:rPr>
          <w:rFonts w:hint="eastAsia" w:ascii="宋体" w:hAnsi="宋体"/>
          <w:kern w:val="0"/>
          <w:sz w:val="18"/>
          <w:szCs w:val="18"/>
        </w:rPr>
        <w:t>——温度</w:t>
      </w:r>
      <w:r>
        <w:rPr>
          <w:rFonts w:hint="eastAsia" w:ascii="宋体" w:hAnsi="宋体" w:cs="Arial"/>
          <w:kern w:val="0"/>
          <w:sz w:val="18"/>
          <w:szCs w:val="18"/>
        </w:rPr>
        <w:t>T.i</w:t>
      </w:r>
      <w:r>
        <w:rPr>
          <w:rFonts w:hint="eastAsia" w:ascii="宋体" w:hAnsi="宋体"/>
          <w:kern w:val="0"/>
          <w:sz w:val="18"/>
          <w:szCs w:val="18"/>
        </w:rPr>
        <w:t>的加速度系数。</w:t>
      </w:r>
    </w:p>
    <w:p>
      <w:pPr>
        <w:pStyle w:val="184"/>
        <w:spacing w:before="156" w:after="156"/>
        <w:rPr>
          <w:rFonts w:hAnsi="宋体"/>
        </w:rPr>
      </w:pPr>
      <w:r>
        <w:rPr>
          <w:rFonts w:hint="eastAsia"/>
        </w:rPr>
        <w:t>以安装在乘客舱内太阳直射处的车载卫星定位系统为例，耐久性为10年，每天工作2h，T</w:t>
      </w:r>
      <w:r>
        <w:rPr>
          <w:rFonts w:hint="eastAsia"/>
          <w:vertAlign w:val="subscript"/>
        </w:rPr>
        <w:t>oper</w:t>
      </w:r>
      <w:r>
        <w:rPr>
          <w:rFonts w:hint="eastAsia"/>
        </w:rPr>
        <w:t>为7300h，表</w:t>
      </w:r>
      <w:r>
        <w:t>H</w:t>
      </w:r>
      <w:r>
        <w:rPr>
          <w:rFonts w:hint="eastAsia"/>
        </w:rPr>
        <w:t>.3位置温度模型2给出的T.i，</w:t>
      </w:r>
      <w:r>
        <w:rPr>
          <w:rFonts w:hint="eastAsia" w:cs="Arial"/>
        </w:rPr>
        <w:t>T</w:t>
      </w:r>
      <w:r>
        <w:rPr>
          <w:rFonts w:hint="eastAsia" w:cs="Arial"/>
          <w:vertAlign w:val="subscript"/>
        </w:rPr>
        <w:t>test</w:t>
      </w:r>
      <w:r>
        <w:rPr>
          <w:rFonts w:hint="eastAsia"/>
        </w:rPr>
        <w:t>=</w:t>
      </w:r>
      <w:r>
        <w:rPr>
          <w:rFonts w:hint="eastAsia" w:cs="Arial"/>
        </w:rPr>
        <w:t>T</w:t>
      </w:r>
      <w:r>
        <w:rPr>
          <w:rFonts w:hint="eastAsia" w:cs="Arial"/>
          <w:vertAlign w:val="subscript"/>
        </w:rPr>
        <w:t>max</w:t>
      </w:r>
      <w:r>
        <w:rPr>
          <w:rFonts w:hint="eastAsia"/>
        </w:rPr>
        <w:t>=</w:t>
      </w:r>
      <w:r>
        <w:rPr>
          <w:rFonts w:hint="eastAsia" w:cs="Arial"/>
        </w:rPr>
        <w:t>90</w:t>
      </w:r>
      <w:r>
        <w:rPr>
          <w:rFonts w:hint="eastAsia"/>
        </w:rPr>
        <w:t>℃为例计算，由公式（</w:t>
      </w:r>
      <w:r>
        <w:t>H</w:t>
      </w:r>
      <w:r>
        <w:rPr>
          <w:rFonts w:hint="eastAsia"/>
        </w:rPr>
        <w:t>.1）计算可得出：</w:t>
      </w:r>
    </w:p>
    <w:p>
      <w:pPr>
        <w:spacing w:line="240" w:lineRule="auto"/>
        <w:ind w:firstLine="450" w:firstLineChars="250"/>
        <w:rPr>
          <w:rFonts w:ascii="宋体" w:hAnsi="宋体"/>
          <w:kern w:val="0"/>
          <w:sz w:val="18"/>
          <w:szCs w:val="18"/>
        </w:rPr>
      </w:pPr>
      <w:r>
        <w:rPr>
          <w:rFonts w:hint="eastAsia" w:ascii="宋体" w:hAnsi="宋体"/>
          <w:kern w:val="0"/>
          <w:sz w:val="18"/>
          <w:szCs w:val="18"/>
        </w:rPr>
        <w:t xml:space="preserve">AT.1 </w:t>
      </w:r>
      <w:r>
        <w:rPr>
          <w:rFonts w:hint="eastAsia" w:ascii="宋体" w:hAnsi="宋体"/>
          <w:sz w:val="18"/>
          <w:szCs w:val="18"/>
        </w:rPr>
        <w:t>≈</w:t>
      </w:r>
      <w:r>
        <w:rPr>
          <w:rFonts w:hint="eastAsia" w:ascii="宋体" w:hAnsi="宋体"/>
          <w:kern w:val="0"/>
          <w:sz w:val="18"/>
          <w:szCs w:val="18"/>
        </w:rPr>
        <w:t>3035.79；</w:t>
      </w:r>
    </w:p>
    <w:p>
      <w:pPr>
        <w:spacing w:line="240" w:lineRule="auto"/>
        <w:ind w:firstLine="450" w:firstLineChars="250"/>
        <w:rPr>
          <w:rFonts w:ascii="宋体" w:hAnsi="宋体"/>
          <w:kern w:val="0"/>
          <w:sz w:val="18"/>
          <w:szCs w:val="18"/>
        </w:rPr>
      </w:pPr>
      <w:r>
        <w:rPr>
          <w:rFonts w:hint="eastAsia" w:ascii="宋体" w:hAnsi="宋体"/>
          <w:kern w:val="0"/>
          <w:sz w:val="18"/>
          <w:szCs w:val="18"/>
        </w:rPr>
        <w:t xml:space="preserve">AT.2 </w:t>
      </w:r>
      <w:r>
        <w:rPr>
          <w:rFonts w:hint="eastAsia" w:ascii="宋体" w:hAnsi="宋体"/>
          <w:sz w:val="18"/>
          <w:szCs w:val="18"/>
        </w:rPr>
        <w:t>≈</w:t>
      </w:r>
      <w:r>
        <w:rPr>
          <w:rFonts w:hint="eastAsia" w:ascii="宋体" w:hAnsi="宋体"/>
          <w:kern w:val="0"/>
          <w:sz w:val="18"/>
          <w:szCs w:val="18"/>
        </w:rPr>
        <w:t>25.88；</w:t>
      </w:r>
    </w:p>
    <w:p>
      <w:pPr>
        <w:spacing w:line="240" w:lineRule="auto"/>
        <w:ind w:firstLine="450" w:firstLineChars="250"/>
        <w:rPr>
          <w:rFonts w:ascii="宋体" w:hAnsi="宋体"/>
          <w:kern w:val="0"/>
          <w:sz w:val="18"/>
          <w:szCs w:val="18"/>
        </w:rPr>
      </w:pPr>
      <w:r>
        <w:rPr>
          <w:rFonts w:hint="eastAsia" w:ascii="宋体" w:hAnsi="宋体"/>
          <w:kern w:val="0"/>
          <w:sz w:val="18"/>
          <w:szCs w:val="18"/>
        </w:rPr>
        <w:t xml:space="preserve">AT.3 </w:t>
      </w:r>
      <w:r>
        <w:rPr>
          <w:rFonts w:hint="eastAsia" w:ascii="宋体" w:hAnsi="宋体"/>
          <w:sz w:val="18"/>
          <w:szCs w:val="18"/>
        </w:rPr>
        <w:t>≈</w:t>
      </w:r>
      <w:r>
        <w:rPr>
          <w:rFonts w:hint="eastAsia" w:ascii="宋体" w:hAnsi="宋体"/>
          <w:kern w:val="0"/>
          <w:sz w:val="18"/>
          <w:szCs w:val="18"/>
        </w:rPr>
        <w:t>5.93；</w:t>
      </w:r>
    </w:p>
    <w:p>
      <w:pPr>
        <w:spacing w:line="240" w:lineRule="auto"/>
        <w:ind w:firstLine="450" w:firstLineChars="250"/>
        <w:rPr>
          <w:rFonts w:ascii="宋体" w:hAnsi="宋体"/>
          <w:kern w:val="0"/>
          <w:sz w:val="18"/>
          <w:szCs w:val="18"/>
        </w:rPr>
      </w:pPr>
      <w:r>
        <w:rPr>
          <w:rFonts w:hint="eastAsia" w:ascii="宋体" w:hAnsi="宋体"/>
          <w:kern w:val="0"/>
          <w:sz w:val="18"/>
          <w:szCs w:val="18"/>
        </w:rPr>
        <w:t xml:space="preserve">AT.4 </w:t>
      </w:r>
      <w:r>
        <w:rPr>
          <w:rFonts w:hint="eastAsia" w:ascii="宋体" w:hAnsi="宋体"/>
          <w:sz w:val="18"/>
          <w:szCs w:val="18"/>
        </w:rPr>
        <w:t>≈1</w:t>
      </w:r>
      <w:r>
        <w:rPr>
          <w:rFonts w:hint="eastAsia" w:ascii="宋体" w:hAnsi="宋体"/>
          <w:kern w:val="0"/>
          <w:sz w:val="18"/>
          <w:szCs w:val="18"/>
        </w:rPr>
        <w:t>.22；</w:t>
      </w:r>
    </w:p>
    <w:p>
      <w:pPr>
        <w:spacing w:line="240" w:lineRule="auto"/>
        <w:ind w:firstLine="450" w:firstLineChars="250"/>
        <w:rPr>
          <w:rFonts w:ascii="宋体" w:hAnsi="宋体"/>
          <w:kern w:val="0"/>
          <w:sz w:val="18"/>
          <w:szCs w:val="18"/>
        </w:rPr>
      </w:pPr>
      <w:r>
        <w:rPr>
          <w:rFonts w:hint="eastAsia" w:ascii="宋体" w:hAnsi="宋体"/>
          <w:kern w:val="0"/>
          <w:sz w:val="18"/>
          <w:szCs w:val="18"/>
        </w:rPr>
        <w:t>AT.5 =1.00；</w:t>
      </w:r>
    </w:p>
    <w:p>
      <w:pPr>
        <w:spacing w:line="240" w:lineRule="auto"/>
        <w:ind w:firstLine="420"/>
        <w:rPr>
          <w:rFonts w:ascii="宋体" w:hAnsi="宋体" w:cs="Arial"/>
          <w:kern w:val="0"/>
          <w:sz w:val="18"/>
          <w:szCs w:val="18"/>
        </w:rPr>
      </w:pPr>
      <w:r>
        <w:rPr>
          <w:rFonts w:hint="eastAsia" w:ascii="宋体" w:hAnsi="宋体"/>
          <w:sz w:val="18"/>
          <w:szCs w:val="18"/>
        </w:rPr>
        <w:t>由公式（</w:t>
      </w:r>
      <w:r>
        <w:rPr>
          <w:rFonts w:ascii="宋体" w:hAnsi="宋体"/>
          <w:sz w:val="18"/>
          <w:szCs w:val="18"/>
        </w:rPr>
        <w:t>H</w:t>
      </w:r>
      <w:r>
        <w:rPr>
          <w:rFonts w:hint="eastAsia" w:ascii="宋体" w:hAnsi="宋体"/>
          <w:sz w:val="18"/>
          <w:szCs w:val="18"/>
        </w:rPr>
        <w:t>.2）计算可得出：</w:t>
      </w:r>
    </w:p>
    <w:p>
      <w:pPr>
        <w:spacing w:line="240" w:lineRule="auto"/>
        <w:ind w:firstLine="420"/>
        <w:rPr>
          <w:rFonts w:ascii="宋体" w:hAnsi="宋体"/>
          <w:sz w:val="18"/>
          <w:szCs w:val="18"/>
        </w:rPr>
      </w:pPr>
      <w:r>
        <w:rPr>
          <w:rFonts w:hint="eastAsia" w:ascii="宋体" w:hAnsi="宋体"/>
          <w:sz w:val="18"/>
          <w:szCs w:val="18"/>
        </w:rPr>
        <w:t>T</w:t>
      </w:r>
      <w:r>
        <w:rPr>
          <w:rFonts w:hint="eastAsia" w:ascii="宋体" w:hAnsi="宋体"/>
          <w:sz w:val="18"/>
          <w:szCs w:val="18"/>
          <w:vertAlign w:val="subscript"/>
        </w:rPr>
        <w:t>test</w:t>
      </w:r>
      <w:r>
        <w:rPr>
          <w:rFonts w:hint="eastAsia" w:ascii="宋体" w:hAnsi="宋体"/>
          <w:sz w:val="18"/>
          <w:szCs w:val="18"/>
        </w:rPr>
        <w:t>=7300×[(0.06/3035.79)+(0.20/25.88)+(0.65/5.93)+(0.08/1.22)+(0.01/1)]≈1407(h)</w:t>
      </w:r>
    </w:p>
    <w:p>
      <w:pPr>
        <w:pStyle w:val="232"/>
        <w:rPr>
          <w:rFonts w:hint="eastAsia"/>
        </w:rPr>
      </w:pPr>
      <w:r>
        <w:rPr>
          <w:rFonts w:hint="eastAsia"/>
        </w:rPr>
        <w:t>即：车载卫星定位系统高温耐久寿命试验的持续时间为1407h。</w:t>
      </w:r>
    </w:p>
    <w:p>
      <w:pPr>
        <w:pStyle w:val="232"/>
      </w:pPr>
    </w:p>
    <w:bookmarkEnd w:id="30"/>
    <w:p>
      <w:pPr>
        <w:pStyle w:val="59"/>
        <w:ind w:firstLine="0" w:firstLineChars="0"/>
        <w:jc w:val="center"/>
      </w:pPr>
      <w:bookmarkStart w:id="45" w:name="BookMark8"/>
      <w:r>
        <w:drawing>
          <wp:inline distT="0" distB="0" distL="0" distR="0">
            <wp:extent cx="1485900" cy="317500"/>
            <wp:effectExtent l="0" t="0" r="0" b="6350"/>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pgSz w:w="11906" w:h="16838"/>
      <w:pgMar w:top="567"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fldChar w:fldCharType="begin"/>
    </w:r>
    <w:r>
      <w:instrText xml:space="preserve">PAGE   \* MERGEFORMAT</w:instrText>
    </w:r>
    <w:r>
      <w:fldChar w:fldCharType="separate"/>
    </w:r>
    <w:r>
      <w:rPr>
        <w:lang w:val="zh-CN"/>
      </w:rPr>
      <w:t>36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fldChar w:fldCharType="begin"/>
    </w:r>
    <w:r>
      <w:instrText xml:space="preserve"> STYLEREF  标准文件_文件编号  \* MERGEFORMAT </w:instrText>
    </w:r>
    <w:r>
      <w:fldChar w:fldCharType="separate"/>
    </w:r>
    <w:r>
      <w:rPr>
        <w:b/>
      </w:rPr>
      <w:t>错误！文档中没有指定样式的文字。</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00C587F"/>
    <w:multiLevelType w:val="multilevel"/>
    <w:tmpl w:val="100C587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A8F7113"/>
    <w:multiLevelType w:val="multilevel"/>
    <w:tmpl w:val="2A8F7113"/>
    <w:lvl w:ilvl="0" w:tentative="0">
      <w:start w:val="1"/>
      <w:numFmt w:val="upperLetter"/>
      <w:pStyle w:val="237"/>
      <w:suff w:val="space"/>
      <w:lvlText w:val="%1"/>
      <w:lvlJc w:val="left"/>
      <w:pPr>
        <w:ind w:left="623" w:hanging="425"/>
      </w:pPr>
      <w:rPr>
        <w:rFonts w:hint="eastAsia"/>
      </w:rPr>
    </w:lvl>
    <w:lvl w:ilvl="1" w:tentative="0">
      <w:start w:val="1"/>
      <w:numFmt w:val="decimal"/>
      <w:pStyle w:val="23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2">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25C4903"/>
    <w:multiLevelType w:val="multilevel"/>
    <w:tmpl w:val="525C4903"/>
    <w:lvl w:ilvl="0" w:tentative="0">
      <w:start w:val="1"/>
      <w:numFmt w:val="upperLetter"/>
      <w:suff w:val="nothing"/>
      <w:lvlText w:val="附　录　%1"/>
      <w:lvlJc w:val="left"/>
      <w:pPr>
        <w:ind w:left="0" w:firstLine="0"/>
      </w:pPr>
      <w:rPr>
        <w:rFonts w:hint="eastAsia" w:ascii="黑体" w:hAnsi="Times New Roman" w:eastAsia="黑体"/>
        <w:b w:val="0"/>
        <w:bCs w:val="0"/>
        <w:i w:val="0"/>
        <w:iCs w:val="0"/>
        <w:spacing w:val="0"/>
        <w:sz w:val="21"/>
        <w:szCs w:val="21"/>
      </w:rPr>
    </w:lvl>
    <w:lvl w:ilvl="1" w:tentative="0">
      <w:start w:val="1"/>
      <w:numFmt w:val="decimal"/>
      <w:suff w:val="nothing"/>
      <w:lvlText w:val="%1.%2　"/>
      <w:lvlJc w:val="left"/>
      <w:pPr>
        <w:ind w:left="0" w:firstLine="0"/>
      </w:pPr>
      <w:rPr>
        <w:rFonts w:hint="eastAsia" w:ascii="黑体" w:hAnsi="Times New Roman" w:eastAsia="黑体"/>
        <w:b w:val="0"/>
        <w:bCs w:val="0"/>
        <w:i w:val="0"/>
        <w:iCs w:val="0"/>
        <w:spacing w:val="0"/>
        <w:kern w:val="21"/>
        <w:sz w:val="21"/>
        <w:szCs w:val="21"/>
      </w:rPr>
    </w:lvl>
    <w:lvl w:ilvl="2" w:tentative="0">
      <w:start w:val="1"/>
      <w:numFmt w:val="decimal"/>
      <w:suff w:val="nothing"/>
      <w:lvlText w:val="%1.%2.%3　"/>
      <w:lvlJc w:val="left"/>
      <w:pPr>
        <w:ind w:left="567" w:hanging="567"/>
      </w:pPr>
      <w:rPr>
        <w:rFonts w:hint="eastAsia" w:ascii="黑体" w:hAnsi="Times New Roman" w:eastAsia="黑体"/>
        <w:b w:val="0"/>
        <w:bCs w:val="0"/>
        <w:i w:val="0"/>
        <w:iCs w:val="0"/>
        <w:sz w:val="21"/>
        <w:szCs w:val="21"/>
      </w:rPr>
    </w:lvl>
    <w:lvl w:ilvl="3" w:tentative="0">
      <w:start w:val="1"/>
      <w:numFmt w:val="decimal"/>
      <w:suff w:val="nothing"/>
      <w:lvlText w:val="%1.%2.%3.%4　"/>
      <w:lvlJc w:val="left"/>
      <w:pPr>
        <w:ind w:left="0" w:firstLine="0"/>
      </w:pPr>
      <w:rPr>
        <w:rFonts w:hint="eastAsia" w:ascii="黑体" w:hAnsi="Times New Roman" w:eastAsia="黑体"/>
        <w:b w:val="0"/>
        <w:bCs w:val="0"/>
        <w:i w:val="0"/>
        <w:iCs w:val="0"/>
        <w:sz w:val="21"/>
        <w:szCs w:val="21"/>
      </w:rPr>
    </w:lvl>
    <w:lvl w:ilvl="4" w:tentative="0">
      <w:start w:val="1"/>
      <w:numFmt w:val="decimal"/>
      <w:suff w:val="nothing"/>
      <w:lvlText w:val="%1.%2.%3.%4.%5　"/>
      <w:lvlJc w:val="left"/>
      <w:pPr>
        <w:ind w:left="0" w:firstLine="0"/>
      </w:pPr>
      <w:rPr>
        <w:rFonts w:hint="eastAsia" w:ascii="黑体" w:hAnsi="Times New Roman" w:eastAsia="黑体"/>
        <w:b w:val="0"/>
        <w:bCs w:val="0"/>
        <w:i w:val="0"/>
        <w:iCs w:val="0"/>
        <w:sz w:val="21"/>
        <w:szCs w:val="21"/>
      </w:rPr>
    </w:lvl>
    <w:lvl w:ilvl="5" w:tentative="0">
      <w:start w:val="1"/>
      <w:numFmt w:val="decimal"/>
      <w:suff w:val="nothing"/>
      <w:lvlText w:val="%1.%2.%3.%4.%5.%6　"/>
      <w:lvlJc w:val="left"/>
      <w:pPr>
        <w:ind w:left="0" w:firstLine="0"/>
      </w:pPr>
      <w:rPr>
        <w:rFonts w:hint="eastAsia" w:ascii="黑体" w:hAnsi="Times New Roman" w:eastAsia="黑体"/>
        <w:b w:val="0"/>
        <w:bCs w:val="0"/>
        <w:i w:val="0"/>
        <w:iCs w:val="0"/>
        <w:sz w:val="21"/>
        <w:szCs w:val="21"/>
      </w:rPr>
    </w:lvl>
    <w:lvl w:ilvl="6" w:tentative="0">
      <w:start w:val="1"/>
      <w:numFmt w:val="decimal"/>
      <w:suff w:val="nothing"/>
      <w:lvlText w:val="%1.%2.%3.%4.%5.%6.%7　"/>
      <w:lvlJc w:val="left"/>
      <w:pPr>
        <w:ind w:left="0" w:firstLine="0"/>
      </w:pPr>
      <w:rPr>
        <w:rFonts w:hint="eastAsia" w:ascii="黑体" w:hAnsi="Times New Roman" w:eastAsia="黑体"/>
        <w:b w:val="0"/>
        <w:bCs w:val="0"/>
        <w:i w:val="0"/>
        <w:iCs w:val="0"/>
        <w:sz w:val="21"/>
        <w:szCs w:val="21"/>
      </w:rPr>
    </w:lvl>
    <w:lvl w:ilvl="7" w:tentative="0">
      <w:start w:val="1"/>
      <w:numFmt w:val="decimal"/>
      <w:lvlText w:val="%1.%2.%3.%4.%5.%6.%7.%8"/>
      <w:lvlJc w:val="left"/>
      <w:pPr>
        <w:tabs>
          <w:tab w:val="left" w:pos="4394"/>
        </w:tabs>
        <w:ind w:left="4394" w:hanging="1418"/>
      </w:pPr>
      <w:rPr>
        <w:rFonts w:hint="eastAsia" w:ascii="宋体" w:hAnsi="宋体" w:eastAsia="宋体"/>
      </w:rPr>
    </w:lvl>
    <w:lvl w:ilvl="8" w:tentative="0">
      <w:start w:val="1"/>
      <w:numFmt w:val="decimal"/>
      <w:lvlText w:val="%1.%2.%3.%4.%5.%6.%7.%8.%9"/>
      <w:lvlJc w:val="left"/>
      <w:pPr>
        <w:tabs>
          <w:tab w:val="left" w:pos="5102"/>
        </w:tabs>
        <w:ind w:left="5102" w:hanging="1700"/>
      </w:pPr>
      <w:rPr>
        <w:rFonts w:hint="eastAsia" w:ascii="宋体" w:hAnsi="宋体" w:eastAsia="宋体"/>
      </w:rPr>
    </w:lvl>
  </w:abstractNum>
  <w:abstractNum w:abstractNumId="19">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lang w:val="en-US"/>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5BB9101A"/>
    <w:multiLevelType w:val="multilevel"/>
    <w:tmpl w:val="5BB910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lang w:val="en-US"/>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9">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1"/>
  </w:num>
  <w:num w:numId="3">
    <w:abstractNumId w:val="5"/>
  </w:num>
  <w:num w:numId="4">
    <w:abstractNumId w:val="27"/>
  </w:num>
  <w:num w:numId="5">
    <w:abstractNumId w:val="21"/>
  </w:num>
  <w:num w:numId="6">
    <w:abstractNumId w:val="15"/>
  </w:num>
  <w:num w:numId="7">
    <w:abstractNumId w:val="9"/>
  </w:num>
  <w:num w:numId="8">
    <w:abstractNumId w:val="3"/>
  </w:num>
  <w:num w:numId="9">
    <w:abstractNumId w:val="10"/>
  </w:num>
  <w:num w:numId="10">
    <w:abstractNumId w:val="19"/>
  </w:num>
  <w:num w:numId="11">
    <w:abstractNumId w:val="29"/>
  </w:num>
  <w:num w:numId="12">
    <w:abstractNumId w:val="13"/>
  </w:num>
  <w:num w:numId="13">
    <w:abstractNumId w:val="14"/>
  </w:num>
  <w:num w:numId="14">
    <w:abstractNumId w:val="8"/>
  </w:num>
  <w:num w:numId="15">
    <w:abstractNumId w:val="22"/>
  </w:num>
  <w:num w:numId="16">
    <w:abstractNumId w:val="25"/>
  </w:num>
  <w:num w:numId="17">
    <w:abstractNumId w:val="20"/>
  </w:num>
  <w:num w:numId="18">
    <w:abstractNumId w:val="33"/>
  </w:num>
  <w:num w:numId="19">
    <w:abstractNumId w:val="17"/>
  </w:num>
  <w:num w:numId="20">
    <w:abstractNumId w:val="1"/>
  </w:num>
  <w:num w:numId="21">
    <w:abstractNumId w:val="12"/>
  </w:num>
  <w:num w:numId="22">
    <w:abstractNumId w:val="34"/>
  </w:num>
  <w:num w:numId="23">
    <w:abstractNumId w:val="24"/>
  </w:num>
  <w:num w:numId="24">
    <w:abstractNumId w:val="6"/>
  </w:num>
  <w:num w:numId="25">
    <w:abstractNumId w:val="30"/>
  </w:num>
  <w:num w:numId="26">
    <w:abstractNumId w:val="32"/>
  </w:num>
  <w:num w:numId="27">
    <w:abstractNumId w:val="2"/>
  </w:num>
  <w:num w:numId="28">
    <w:abstractNumId w:val="4"/>
  </w:num>
  <w:num w:numId="29">
    <w:abstractNumId w:val="16"/>
  </w:num>
  <w:num w:numId="30">
    <w:abstractNumId w:val="28"/>
  </w:num>
  <w:num w:numId="31">
    <w:abstractNumId w:val="26"/>
  </w:num>
  <w:num w:numId="32">
    <w:abstractNumId w:val="11"/>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0159A"/>
    <w:rsid w:val="00000390"/>
    <w:rsid w:val="0000040A"/>
    <w:rsid w:val="00000A94"/>
    <w:rsid w:val="00000DB5"/>
    <w:rsid w:val="00001972"/>
    <w:rsid w:val="00001D9A"/>
    <w:rsid w:val="00007B3A"/>
    <w:rsid w:val="000107E0"/>
    <w:rsid w:val="00011FDE"/>
    <w:rsid w:val="00012FFD"/>
    <w:rsid w:val="00014162"/>
    <w:rsid w:val="00014340"/>
    <w:rsid w:val="000146D6"/>
    <w:rsid w:val="00016A9C"/>
    <w:rsid w:val="00022184"/>
    <w:rsid w:val="000221F3"/>
    <w:rsid w:val="00022762"/>
    <w:rsid w:val="000238E0"/>
    <w:rsid w:val="000249DB"/>
    <w:rsid w:val="0002595E"/>
    <w:rsid w:val="000303C3"/>
    <w:rsid w:val="000331D3"/>
    <w:rsid w:val="000346A5"/>
    <w:rsid w:val="000359C3"/>
    <w:rsid w:val="00035A7D"/>
    <w:rsid w:val="0004249A"/>
    <w:rsid w:val="000424DE"/>
    <w:rsid w:val="00043282"/>
    <w:rsid w:val="00044286"/>
    <w:rsid w:val="00045348"/>
    <w:rsid w:val="00047662"/>
    <w:rsid w:val="00047F28"/>
    <w:rsid w:val="000503AA"/>
    <w:rsid w:val="000506A1"/>
    <w:rsid w:val="00051342"/>
    <w:rsid w:val="000515DD"/>
    <w:rsid w:val="00051D97"/>
    <w:rsid w:val="0005265A"/>
    <w:rsid w:val="00052B81"/>
    <w:rsid w:val="000539DD"/>
    <w:rsid w:val="00053BD3"/>
    <w:rsid w:val="000556ED"/>
    <w:rsid w:val="00055FE2"/>
    <w:rsid w:val="0005616F"/>
    <w:rsid w:val="00060C2E"/>
    <w:rsid w:val="00061033"/>
    <w:rsid w:val="000619E9"/>
    <w:rsid w:val="000622D4"/>
    <w:rsid w:val="0006357D"/>
    <w:rsid w:val="00067F1E"/>
    <w:rsid w:val="00070F85"/>
    <w:rsid w:val="00071CC0"/>
    <w:rsid w:val="0007216A"/>
    <w:rsid w:val="00073C8C"/>
    <w:rsid w:val="00074078"/>
    <w:rsid w:val="00077B64"/>
    <w:rsid w:val="00080A1C"/>
    <w:rsid w:val="00082317"/>
    <w:rsid w:val="00083D2C"/>
    <w:rsid w:val="00083D9F"/>
    <w:rsid w:val="000851FA"/>
    <w:rsid w:val="00085368"/>
    <w:rsid w:val="00085A68"/>
    <w:rsid w:val="00086AA1"/>
    <w:rsid w:val="00087A77"/>
    <w:rsid w:val="00090CA6"/>
    <w:rsid w:val="00092B8A"/>
    <w:rsid w:val="00092FB0"/>
    <w:rsid w:val="000934C5"/>
    <w:rsid w:val="00093D25"/>
    <w:rsid w:val="00094D73"/>
    <w:rsid w:val="00094DF1"/>
    <w:rsid w:val="00094E14"/>
    <w:rsid w:val="00095197"/>
    <w:rsid w:val="00096D63"/>
    <w:rsid w:val="000A0B60"/>
    <w:rsid w:val="000A0EB8"/>
    <w:rsid w:val="000A19FC"/>
    <w:rsid w:val="000A2498"/>
    <w:rsid w:val="000A296B"/>
    <w:rsid w:val="000A7311"/>
    <w:rsid w:val="000B060F"/>
    <w:rsid w:val="000B1592"/>
    <w:rsid w:val="000B1FF2"/>
    <w:rsid w:val="000B3CDA"/>
    <w:rsid w:val="000B6A0B"/>
    <w:rsid w:val="000B7D64"/>
    <w:rsid w:val="000C0F6C"/>
    <w:rsid w:val="000C11DB"/>
    <w:rsid w:val="000C2FBD"/>
    <w:rsid w:val="000C36B9"/>
    <w:rsid w:val="000C3E10"/>
    <w:rsid w:val="000C4B41"/>
    <w:rsid w:val="000C57D6"/>
    <w:rsid w:val="000C60E9"/>
    <w:rsid w:val="000C7666"/>
    <w:rsid w:val="000D0A9C"/>
    <w:rsid w:val="000D1795"/>
    <w:rsid w:val="000D329A"/>
    <w:rsid w:val="000D4B9C"/>
    <w:rsid w:val="000D4EB6"/>
    <w:rsid w:val="000D753B"/>
    <w:rsid w:val="000E0736"/>
    <w:rsid w:val="000E314A"/>
    <w:rsid w:val="000E4C9E"/>
    <w:rsid w:val="000E6FD7"/>
    <w:rsid w:val="000F06E1"/>
    <w:rsid w:val="000F0E3C"/>
    <w:rsid w:val="000F19D5"/>
    <w:rsid w:val="000F2E41"/>
    <w:rsid w:val="000F3386"/>
    <w:rsid w:val="000F4AEA"/>
    <w:rsid w:val="000F6501"/>
    <w:rsid w:val="000F67E9"/>
    <w:rsid w:val="0010097E"/>
    <w:rsid w:val="00101199"/>
    <w:rsid w:val="00101536"/>
    <w:rsid w:val="001016A7"/>
    <w:rsid w:val="00102693"/>
    <w:rsid w:val="00104926"/>
    <w:rsid w:val="00104DDA"/>
    <w:rsid w:val="00113B1E"/>
    <w:rsid w:val="00115DA1"/>
    <w:rsid w:val="0011711C"/>
    <w:rsid w:val="00123E01"/>
    <w:rsid w:val="00124E4F"/>
    <w:rsid w:val="001257EE"/>
    <w:rsid w:val="001260B7"/>
    <w:rsid w:val="001265CB"/>
    <w:rsid w:val="00126878"/>
    <w:rsid w:val="001321C6"/>
    <w:rsid w:val="001325C4"/>
    <w:rsid w:val="00133010"/>
    <w:rsid w:val="001337A1"/>
    <w:rsid w:val="001338EE"/>
    <w:rsid w:val="00133AAE"/>
    <w:rsid w:val="001350EA"/>
    <w:rsid w:val="00135323"/>
    <w:rsid w:val="001356C4"/>
    <w:rsid w:val="001372ED"/>
    <w:rsid w:val="00141114"/>
    <w:rsid w:val="00142508"/>
    <w:rsid w:val="00142969"/>
    <w:rsid w:val="001457E7"/>
    <w:rsid w:val="00145D9D"/>
    <w:rsid w:val="00146388"/>
    <w:rsid w:val="00150D80"/>
    <w:rsid w:val="001529E5"/>
    <w:rsid w:val="00153C7E"/>
    <w:rsid w:val="00156B25"/>
    <w:rsid w:val="00156E1A"/>
    <w:rsid w:val="001575C5"/>
    <w:rsid w:val="00157B55"/>
    <w:rsid w:val="001616F6"/>
    <w:rsid w:val="001642FA"/>
    <w:rsid w:val="001649EB"/>
    <w:rsid w:val="00164BAF"/>
    <w:rsid w:val="00164FA8"/>
    <w:rsid w:val="00165065"/>
    <w:rsid w:val="00165434"/>
    <w:rsid w:val="0016580B"/>
    <w:rsid w:val="00165F49"/>
    <w:rsid w:val="00166B88"/>
    <w:rsid w:val="0016770A"/>
    <w:rsid w:val="00167E78"/>
    <w:rsid w:val="0017044E"/>
    <w:rsid w:val="00170804"/>
    <w:rsid w:val="001708E9"/>
    <w:rsid w:val="0017340B"/>
    <w:rsid w:val="00173FB1"/>
    <w:rsid w:val="001750AC"/>
    <w:rsid w:val="00176DFD"/>
    <w:rsid w:val="00177B9D"/>
    <w:rsid w:val="00177CD8"/>
    <w:rsid w:val="00181F74"/>
    <w:rsid w:val="00183AC5"/>
    <w:rsid w:val="001844A5"/>
    <w:rsid w:val="001852C9"/>
    <w:rsid w:val="00190087"/>
    <w:rsid w:val="001913C4"/>
    <w:rsid w:val="0019147C"/>
    <w:rsid w:val="0019348F"/>
    <w:rsid w:val="00193A07"/>
    <w:rsid w:val="00194C95"/>
    <w:rsid w:val="00195C34"/>
    <w:rsid w:val="00197333"/>
    <w:rsid w:val="001A1A53"/>
    <w:rsid w:val="001A234A"/>
    <w:rsid w:val="001A5A3A"/>
    <w:rsid w:val="001A6A65"/>
    <w:rsid w:val="001A7A51"/>
    <w:rsid w:val="001B06E8"/>
    <w:rsid w:val="001B306F"/>
    <w:rsid w:val="001B71D0"/>
    <w:rsid w:val="001B71EE"/>
    <w:rsid w:val="001C04A8"/>
    <w:rsid w:val="001C2C03"/>
    <w:rsid w:val="001C3DD3"/>
    <w:rsid w:val="001C42F7"/>
    <w:rsid w:val="001C49E5"/>
    <w:rsid w:val="001C51C1"/>
    <w:rsid w:val="001C680C"/>
    <w:rsid w:val="001C7A1C"/>
    <w:rsid w:val="001C7FEA"/>
    <w:rsid w:val="001D0499"/>
    <w:rsid w:val="001D0BBE"/>
    <w:rsid w:val="001D0ED4"/>
    <w:rsid w:val="001D1C53"/>
    <w:rsid w:val="001D212F"/>
    <w:rsid w:val="001D29D7"/>
    <w:rsid w:val="001D2DE7"/>
    <w:rsid w:val="001D411C"/>
    <w:rsid w:val="001D450A"/>
    <w:rsid w:val="001D532A"/>
    <w:rsid w:val="001D635D"/>
    <w:rsid w:val="001E1B6A"/>
    <w:rsid w:val="001E2484"/>
    <w:rsid w:val="001E3CC4"/>
    <w:rsid w:val="001E4882"/>
    <w:rsid w:val="001E4A88"/>
    <w:rsid w:val="001E5598"/>
    <w:rsid w:val="001E60C1"/>
    <w:rsid w:val="001E73AB"/>
    <w:rsid w:val="001F092D"/>
    <w:rsid w:val="001F143A"/>
    <w:rsid w:val="001F1605"/>
    <w:rsid w:val="001F2508"/>
    <w:rsid w:val="001F4665"/>
    <w:rsid w:val="001F4816"/>
    <w:rsid w:val="001F616D"/>
    <w:rsid w:val="001F69B4"/>
    <w:rsid w:val="001F6D71"/>
    <w:rsid w:val="001F7209"/>
    <w:rsid w:val="001F77C7"/>
    <w:rsid w:val="001F7DB8"/>
    <w:rsid w:val="00200183"/>
    <w:rsid w:val="0020107D"/>
    <w:rsid w:val="00202AA4"/>
    <w:rsid w:val="00202B02"/>
    <w:rsid w:val="002031F7"/>
    <w:rsid w:val="00203B14"/>
    <w:rsid w:val="002040E6"/>
    <w:rsid w:val="0020527B"/>
    <w:rsid w:val="00205EA8"/>
    <w:rsid w:val="00206E8F"/>
    <w:rsid w:val="00207A78"/>
    <w:rsid w:val="00210B15"/>
    <w:rsid w:val="002142EA"/>
    <w:rsid w:val="0021784F"/>
    <w:rsid w:val="002204BB"/>
    <w:rsid w:val="00221B79"/>
    <w:rsid w:val="00221C6B"/>
    <w:rsid w:val="0022370C"/>
    <w:rsid w:val="002253A1"/>
    <w:rsid w:val="00225CF8"/>
    <w:rsid w:val="0022663A"/>
    <w:rsid w:val="0022794E"/>
    <w:rsid w:val="00233D64"/>
    <w:rsid w:val="0023482A"/>
    <w:rsid w:val="00234CE6"/>
    <w:rsid w:val="002359CB"/>
    <w:rsid w:val="002430BD"/>
    <w:rsid w:val="00243540"/>
    <w:rsid w:val="002439EA"/>
    <w:rsid w:val="0024497B"/>
    <w:rsid w:val="0024515B"/>
    <w:rsid w:val="00246021"/>
    <w:rsid w:val="0024666E"/>
    <w:rsid w:val="00246975"/>
    <w:rsid w:val="00247F52"/>
    <w:rsid w:val="00250B25"/>
    <w:rsid w:val="00250BBE"/>
    <w:rsid w:val="0025107C"/>
    <w:rsid w:val="0025194F"/>
    <w:rsid w:val="002531B7"/>
    <w:rsid w:val="0026148A"/>
    <w:rsid w:val="00262696"/>
    <w:rsid w:val="00263B66"/>
    <w:rsid w:val="002643C3"/>
    <w:rsid w:val="002645E0"/>
    <w:rsid w:val="00264A0C"/>
    <w:rsid w:val="00267EF4"/>
    <w:rsid w:val="00270CB8"/>
    <w:rsid w:val="002727FC"/>
    <w:rsid w:val="00272B08"/>
    <w:rsid w:val="00280482"/>
    <w:rsid w:val="00280D62"/>
    <w:rsid w:val="00281BB8"/>
    <w:rsid w:val="00281E9E"/>
    <w:rsid w:val="002833EC"/>
    <w:rsid w:val="0028379C"/>
    <w:rsid w:val="00285170"/>
    <w:rsid w:val="00285361"/>
    <w:rsid w:val="0028588B"/>
    <w:rsid w:val="00285DC3"/>
    <w:rsid w:val="002901DB"/>
    <w:rsid w:val="002903B9"/>
    <w:rsid w:val="00290C3D"/>
    <w:rsid w:val="00291327"/>
    <w:rsid w:val="002927A1"/>
    <w:rsid w:val="00292D60"/>
    <w:rsid w:val="00293451"/>
    <w:rsid w:val="00294D34"/>
    <w:rsid w:val="00294E3B"/>
    <w:rsid w:val="00296193"/>
    <w:rsid w:val="00296C66"/>
    <w:rsid w:val="00296EBE"/>
    <w:rsid w:val="002974E3"/>
    <w:rsid w:val="00297664"/>
    <w:rsid w:val="002A084B"/>
    <w:rsid w:val="002A1260"/>
    <w:rsid w:val="002A1589"/>
    <w:rsid w:val="002A1608"/>
    <w:rsid w:val="002A25DC"/>
    <w:rsid w:val="002A2C17"/>
    <w:rsid w:val="002A3AAB"/>
    <w:rsid w:val="002A3F78"/>
    <w:rsid w:val="002A41B1"/>
    <w:rsid w:val="002A4CEA"/>
    <w:rsid w:val="002A5977"/>
    <w:rsid w:val="002A5A13"/>
    <w:rsid w:val="002A6273"/>
    <w:rsid w:val="002A747C"/>
    <w:rsid w:val="002A7F44"/>
    <w:rsid w:val="002B0C40"/>
    <w:rsid w:val="002B1966"/>
    <w:rsid w:val="002B4508"/>
    <w:rsid w:val="002B5779"/>
    <w:rsid w:val="002B6A8D"/>
    <w:rsid w:val="002B7332"/>
    <w:rsid w:val="002B7F51"/>
    <w:rsid w:val="002C09E7"/>
    <w:rsid w:val="002C1B28"/>
    <w:rsid w:val="002C2A86"/>
    <w:rsid w:val="002C2C12"/>
    <w:rsid w:val="002C3CB5"/>
    <w:rsid w:val="002C3F07"/>
    <w:rsid w:val="002C5278"/>
    <w:rsid w:val="002C616C"/>
    <w:rsid w:val="002C6661"/>
    <w:rsid w:val="002C7EBB"/>
    <w:rsid w:val="002D06C1"/>
    <w:rsid w:val="002D0DD0"/>
    <w:rsid w:val="002D2352"/>
    <w:rsid w:val="002D42B5"/>
    <w:rsid w:val="002D4F1A"/>
    <w:rsid w:val="002D52B7"/>
    <w:rsid w:val="002D6EC6"/>
    <w:rsid w:val="002D79AC"/>
    <w:rsid w:val="002E039D"/>
    <w:rsid w:val="002E1549"/>
    <w:rsid w:val="002E4D5A"/>
    <w:rsid w:val="002E4DAB"/>
    <w:rsid w:val="002E561A"/>
    <w:rsid w:val="002E6326"/>
    <w:rsid w:val="002E7CBE"/>
    <w:rsid w:val="002F0557"/>
    <w:rsid w:val="002F30E0"/>
    <w:rsid w:val="002F35E4"/>
    <w:rsid w:val="002F3730"/>
    <w:rsid w:val="002F38E1"/>
    <w:rsid w:val="002F4DE0"/>
    <w:rsid w:val="002F5CF0"/>
    <w:rsid w:val="002F5D53"/>
    <w:rsid w:val="002F668D"/>
    <w:rsid w:val="002F7AF6"/>
    <w:rsid w:val="002F7BB7"/>
    <w:rsid w:val="0030078A"/>
    <w:rsid w:val="00300E63"/>
    <w:rsid w:val="00302F5F"/>
    <w:rsid w:val="0030441D"/>
    <w:rsid w:val="003054D0"/>
    <w:rsid w:val="00306063"/>
    <w:rsid w:val="00312D20"/>
    <w:rsid w:val="00313B85"/>
    <w:rsid w:val="00314BDF"/>
    <w:rsid w:val="00314C95"/>
    <w:rsid w:val="00314D47"/>
    <w:rsid w:val="00317988"/>
    <w:rsid w:val="003221B4"/>
    <w:rsid w:val="00322E62"/>
    <w:rsid w:val="00324EDD"/>
    <w:rsid w:val="00325C9B"/>
    <w:rsid w:val="003262A2"/>
    <w:rsid w:val="00334CD7"/>
    <w:rsid w:val="00335137"/>
    <w:rsid w:val="00336C64"/>
    <w:rsid w:val="00337162"/>
    <w:rsid w:val="00337232"/>
    <w:rsid w:val="0034194F"/>
    <w:rsid w:val="0034269C"/>
    <w:rsid w:val="00344605"/>
    <w:rsid w:val="00345A10"/>
    <w:rsid w:val="003474AA"/>
    <w:rsid w:val="00350D1D"/>
    <w:rsid w:val="00352C83"/>
    <w:rsid w:val="00355206"/>
    <w:rsid w:val="003615D2"/>
    <w:rsid w:val="0036161C"/>
    <w:rsid w:val="0036429C"/>
    <w:rsid w:val="00364A53"/>
    <w:rsid w:val="003654BC"/>
    <w:rsid w:val="003654CB"/>
    <w:rsid w:val="00365F86"/>
    <w:rsid w:val="00365F87"/>
    <w:rsid w:val="003705F4"/>
    <w:rsid w:val="00370AE8"/>
    <w:rsid w:val="00370D58"/>
    <w:rsid w:val="00371316"/>
    <w:rsid w:val="00373D93"/>
    <w:rsid w:val="00374C82"/>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001"/>
    <w:rsid w:val="003974EB"/>
    <w:rsid w:val="00397CC5"/>
    <w:rsid w:val="003A021D"/>
    <w:rsid w:val="003A1582"/>
    <w:rsid w:val="003A4077"/>
    <w:rsid w:val="003A4EB7"/>
    <w:rsid w:val="003B09AD"/>
    <w:rsid w:val="003B1F18"/>
    <w:rsid w:val="003B5BF0"/>
    <w:rsid w:val="003B60BF"/>
    <w:rsid w:val="003B6BE3"/>
    <w:rsid w:val="003B6FE6"/>
    <w:rsid w:val="003C010C"/>
    <w:rsid w:val="003C0A6C"/>
    <w:rsid w:val="003C4D99"/>
    <w:rsid w:val="003C5A43"/>
    <w:rsid w:val="003C67C1"/>
    <w:rsid w:val="003C7719"/>
    <w:rsid w:val="003C7736"/>
    <w:rsid w:val="003D0519"/>
    <w:rsid w:val="003D0FF6"/>
    <w:rsid w:val="003D262C"/>
    <w:rsid w:val="003D6D61"/>
    <w:rsid w:val="003D6EB0"/>
    <w:rsid w:val="003D6EE2"/>
    <w:rsid w:val="003E0165"/>
    <w:rsid w:val="003E091D"/>
    <w:rsid w:val="003E0DD6"/>
    <w:rsid w:val="003E1C53"/>
    <w:rsid w:val="003E26BA"/>
    <w:rsid w:val="003E2A69"/>
    <w:rsid w:val="003E2D49"/>
    <w:rsid w:val="003E2FD4"/>
    <w:rsid w:val="003E49F6"/>
    <w:rsid w:val="003F0841"/>
    <w:rsid w:val="003F23D3"/>
    <w:rsid w:val="003F3F08"/>
    <w:rsid w:val="003F49F1"/>
    <w:rsid w:val="003F5022"/>
    <w:rsid w:val="003F6272"/>
    <w:rsid w:val="00400E72"/>
    <w:rsid w:val="00401400"/>
    <w:rsid w:val="00403DC4"/>
    <w:rsid w:val="00404869"/>
    <w:rsid w:val="00405884"/>
    <w:rsid w:val="00407D39"/>
    <w:rsid w:val="00407E34"/>
    <w:rsid w:val="00413618"/>
    <w:rsid w:val="0041387C"/>
    <w:rsid w:val="00413EE4"/>
    <w:rsid w:val="0041477A"/>
    <w:rsid w:val="00414DD9"/>
    <w:rsid w:val="004167A3"/>
    <w:rsid w:val="004208BA"/>
    <w:rsid w:val="00424BBA"/>
    <w:rsid w:val="004254CC"/>
    <w:rsid w:val="00425BE7"/>
    <w:rsid w:val="00426803"/>
    <w:rsid w:val="00426ADC"/>
    <w:rsid w:val="00430E33"/>
    <w:rsid w:val="00430E44"/>
    <w:rsid w:val="00432DAA"/>
    <w:rsid w:val="00434305"/>
    <w:rsid w:val="004347D3"/>
    <w:rsid w:val="00435DF7"/>
    <w:rsid w:val="0044083F"/>
    <w:rsid w:val="00441AE7"/>
    <w:rsid w:val="0044505D"/>
    <w:rsid w:val="00445574"/>
    <w:rsid w:val="004467FB"/>
    <w:rsid w:val="00447171"/>
    <w:rsid w:val="00451524"/>
    <w:rsid w:val="00452D6B"/>
    <w:rsid w:val="00454484"/>
    <w:rsid w:val="0045517B"/>
    <w:rsid w:val="00461353"/>
    <w:rsid w:val="00463B77"/>
    <w:rsid w:val="00463C7B"/>
    <w:rsid w:val="004644A6"/>
    <w:rsid w:val="004659BD"/>
    <w:rsid w:val="00467845"/>
    <w:rsid w:val="00470775"/>
    <w:rsid w:val="00470A4B"/>
    <w:rsid w:val="00472070"/>
    <w:rsid w:val="00473E3A"/>
    <w:rsid w:val="0047416C"/>
    <w:rsid w:val="004746B1"/>
    <w:rsid w:val="0047583F"/>
    <w:rsid w:val="00477BE3"/>
    <w:rsid w:val="0048122F"/>
    <w:rsid w:val="00484936"/>
    <w:rsid w:val="00485C89"/>
    <w:rsid w:val="00486BE3"/>
    <w:rsid w:val="004905E4"/>
    <w:rsid w:val="00490A89"/>
    <w:rsid w:val="00490AB4"/>
    <w:rsid w:val="00492F02"/>
    <w:rsid w:val="004939AE"/>
    <w:rsid w:val="00494BF4"/>
    <w:rsid w:val="004961FF"/>
    <w:rsid w:val="0049626B"/>
    <w:rsid w:val="004A12DF"/>
    <w:rsid w:val="004A1BA8"/>
    <w:rsid w:val="004A4B57"/>
    <w:rsid w:val="004A58F9"/>
    <w:rsid w:val="004A63FA"/>
    <w:rsid w:val="004A6B6F"/>
    <w:rsid w:val="004B2701"/>
    <w:rsid w:val="004B2E1B"/>
    <w:rsid w:val="004B3E93"/>
    <w:rsid w:val="004B48FB"/>
    <w:rsid w:val="004B7A65"/>
    <w:rsid w:val="004C1FBC"/>
    <w:rsid w:val="004C3F1D"/>
    <w:rsid w:val="004C458D"/>
    <w:rsid w:val="004C5E6C"/>
    <w:rsid w:val="004C7556"/>
    <w:rsid w:val="004C76A6"/>
    <w:rsid w:val="004C7E9D"/>
    <w:rsid w:val="004C7F67"/>
    <w:rsid w:val="004D076D"/>
    <w:rsid w:val="004D0EF1"/>
    <w:rsid w:val="004D2253"/>
    <w:rsid w:val="004D4406"/>
    <w:rsid w:val="004D6A82"/>
    <w:rsid w:val="004D7381"/>
    <w:rsid w:val="004D7C42"/>
    <w:rsid w:val="004E0465"/>
    <w:rsid w:val="004E127B"/>
    <w:rsid w:val="004E1C0A"/>
    <w:rsid w:val="004E30C5"/>
    <w:rsid w:val="004E4AA5"/>
    <w:rsid w:val="004E4AEE"/>
    <w:rsid w:val="004E4CA5"/>
    <w:rsid w:val="004E51D4"/>
    <w:rsid w:val="004E59E3"/>
    <w:rsid w:val="004E63BA"/>
    <w:rsid w:val="004E67C0"/>
    <w:rsid w:val="004E6971"/>
    <w:rsid w:val="004E72F7"/>
    <w:rsid w:val="004E7712"/>
    <w:rsid w:val="004F391A"/>
    <w:rsid w:val="004F3CFB"/>
    <w:rsid w:val="004F4A9C"/>
    <w:rsid w:val="004F6456"/>
    <w:rsid w:val="004F696E"/>
    <w:rsid w:val="004F6C71"/>
    <w:rsid w:val="00500E37"/>
    <w:rsid w:val="00501139"/>
    <w:rsid w:val="0050363E"/>
    <w:rsid w:val="005039BC"/>
    <w:rsid w:val="005043BB"/>
    <w:rsid w:val="00504A3D"/>
    <w:rsid w:val="00505767"/>
    <w:rsid w:val="00505CC3"/>
    <w:rsid w:val="005073F0"/>
    <w:rsid w:val="00510A7B"/>
    <w:rsid w:val="00510E61"/>
    <w:rsid w:val="00512F6E"/>
    <w:rsid w:val="00513038"/>
    <w:rsid w:val="00514174"/>
    <w:rsid w:val="0051454B"/>
    <w:rsid w:val="00514DF9"/>
    <w:rsid w:val="00516088"/>
    <w:rsid w:val="00516B0B"/>
    <w:rsid w:val="00520B1E"/>
    <w:rsid w:val="005213C3"/>
    <w:rsid w:val="005220EC"/>
    <w:rsid w:val="00522DCA"/>
    <w:rsid w:val="00523F95"/>
    <w:rsid w:val="00524016"/>
    <w:rsid w:val="00524B35"/>
    <w:rsid w:val="00524D65"/>
    <w:rsid w:val="00525102"/>
    <w:rsid w:val="005252C3"/>
    <w:rsid w:val="00525B16"/>
    <w:rsid w:val="00526D6D"/>
    <w:rsid w:val="005301FC"/>
    <w:rsid w:val="00533067"/>
    <w:rsid w:val="00533724"/>
    <w:rsid w:val="00533D04"/>
    <w:rsid w:val="00534459"/>
    <w:rsid w:val="00534804"/>
    <w:rsid w:val="00534BDF"/>
    <w:rsid w:val="005354EA"/>
    <w:rsid w:val="00535EC4"/>
    <w:rsid w:val="00535ED9"/>
    <w:rsid w:val="0053692B"/>
    <w:rsid w:val="00540417"/>
    <w:rsid w:val="00541490"/>
    <w:rsid w:val="00541853"/>
    <w:rsid w:val="00543BDA"/>
    <w:rsid w:val="005441CC"/>
    <w:rsid w:val="00545112"/>
    <w:rsid w:val="005479DA"/>
    <w:rsid w:val="00547BCC"/>
    <w:rsid w:val="0055013B"/>
    <w:rsid w:val="00551F6F"/>
    <w:rsid w:val="0055317D"/>
    <w:rsid w:val="00555044"/>
    <w:rsid w:val="00555600"/>
    <w:rsid w:val="00561475"/>
    <w:rsid w:val="005625F6"/>
    <w:rsid w:val="0056487B"/>
    <w:rsid w:val="00564FB9"/>
    <w:rsid w:val="005652B4"/>
    <w:rsid w:val="005672AE"/>
    <w:rsid w:val="00567D9D"/>
    <w:rsid w:val="00571739"/>
    <w:rsid w:val="00571F00"/>
    <w:rsid w:val="00572429"/>
    <w:rsid w:val="00573D9E"/>
    <w:rsid w:val="0057517C"/>
    <w:rsid w:val="005801E3"/>
    <w:rsid w:val="005802DC"/>
    <w:rsid w:val="00581063"/>
    <w:rsid w:val="00581631"/>
    <w:rsid w:val="00581802"/>
    <w:rsid w:val="00583244"/>
    <w:rsid w:val="005836A8"/>
    <w:rsid w:val="00584262"/>
    <w:rsid w:val="00584A25"/>
    <w:rsid w:val="00586630"/>
    <w:rsid w:val="00587ADD"/>
    <w:rsid w:val="0059159A"/>
    <w:rsid w:val="00591828"/>
    <w:rsid w:val="005959B8"/>
    <w:rsid w:val="00596160"/>
    <w:rsid w:val="005966E2"/>
    <w:rsid w:val="00597007"/>
    <w:rsid w:val="00597960"/>
    <w:rsid w:val="005A0966"/>
    <w:rsid w:val="005A11B7"/>
    <w:rsid w:val="005A260B"/>
    <w:rsid w:val="005A3650"/>
    <w:rsid w:val="005A4A1B"/>
    <w:rsid w:val="005A505B"/>
    <w:rsid w:val="005A513E"/>
    <w:rsid w:val="005A626D"/>
    <w:rsid w:val="005A7830"/>
    <w:rsid w:val="005A7FCE"/>
    <w:rsid w:val="005B07EB"/>
    <w:rsid w:val="005B0F3F"/>
    <w:rsid w:val="005B281C"/>
    <w:rsid w:val="005B2914"/>
    <w:rsid w:val="005B2C78"/>
    <w:rsid w:val="005B2ECC"/>
    <w:rsid w:val="005B4903"/>
    <w:rsid w:val="005B51CE"/>
    <w:rsid w:val="005B5885"/>
    <w:rsid w:val="005B5CD7"/>
    <w:rsid w:val="005B6505"/>
    <w:rsid w:val="005B6CF6"/>
    <w:rsid w:val="005B7422"/>
    <w:rsid w:val="005B7DF8"/>
    <w:rsid w:val="005C11F9"/>
    <w:rsid w:val="005C29B8"/>
    <w:rsid w:val="005C52CC"/>
    <w:rsid w:val="005C5F21"/>
    <w:rsid w:val="005C6A9E"/>
    <w:rsid w:val="005C7156"/>
    <w:rsid w:val="005D0C75"/>
    <w:rsid w:val="005D4171"/>
    <w:rsid w:val="005D6586"/>
    <w:rsid w:val="005D6818"/>
    <w:rsid w:val="005D6A95"/>
    <w:rsid w:val="005D6B2C"/>
    <w:rsid w:val="005D6D9C"/>
    <w:rsid w:val="005E2335"/>
    <w:rsid w:val="005E34CA"/>
    <w:rsid w:val="005E3C18"/>
    <w:rsid w:val="005E3E15"/>
    <w:rsid w:val="005E7734"/>
    <w:rsid w:val="005E7881"/>
    <w:rsid w:val="005E78E0"/>
    <w:rsid w:val="005F04E1"/>
    <w:rsid w:val="005F0D9C"/>
    <w:rsid w:val="005F284E"/>
    <w:rsid w:val="005F522E"/>
    <w:rsid w:val="006002B2"/>
    <w:rsid w:val="006015CE"/>
    <w:rsid w:val="00602979"/>
    <w:rsid w:val="00604784"/>
    <w:rsid w:val="00605BFB"/>
    <w:rsid w:val="00606419"/>
    <w:rsid w:val="00607D29"/>
    <w:rsid w:val="00610C0D"/>
    <w:rsid w:val="00611006"/>
    <w:rsid w:val="006114B4"/>
    <w:rsid w:val="00612952"/>
    <w:rsid w:val="006143D6"/>
    <w:rsid w:val="0061449F"/>
    <w:rsid w:val="00614CC1"/>
    <w:rsid w:val="00615194"/>
    <w:rsid w:val="00615723"/>
    <w:rsid w:val="00615A9D"/>
    <w:rsid w:val="006162BE"/>
    <w:rsid w:val="00616BBB"/>
    <w:rsid w:val="00617387"/>
    <w:rsid w:val="00617925"/>
    <w:rsid w:val="00621F82"/>
    <w:rsid w:val="00623067"/>
    <w:rsid w:val="006252D8"/>
    <w:rsid w:val="006259BC"/>
    <w:rsid w:val="00625D4A"/>
    <w:rsid w:val="00625ED2"/>
    <w:rsid w:val="0062636B"/>
    <w:rsid w:val="00626922"/>
    <w:rsid w:val="0063009E"/>
    <w:rsid w:val="00632182"/>
    <w:rsid w:val="00632AE0"/>
    <w:rsid w:val="00633342"/>
    <w:rsid w:val="00633C17"/>
    <w:rsid w:val="00635F38"/>
    <w:rsid w:val="006363BD"/>
    <w:rsid w:val="00636E3E"/>
    <w:rsid w:val="006379F7"/>
    <w:rsid w:val="00637E4D"/>
    <w:rsid w:val="00640620"/>
    <w:rsid w:val="00640EA0"/>
    <w:rsid w:val="0064123A"/>
    <w:rsid w:val="006413A9"/>
    <w:rsid w:val="00641A1F"/>
    <w:rsid w:val="00642A7C"/>
    <w:rsid w:val="006445A8"/>
    <w:rsid w:val="00645904"/>
    <w:rsid w:val="006466D8"/>
    <w:rsid w:val="00651ACB"/>
    <w:rsid w:val="00651C47"/>
    <w:rsid w:val="00652AB2"/>
    <w:rsid w:val="00654EC0"/>
    <w:rsid w:val="0065525B"/>
    <w:rsid w:val="00655D4F"/>
    <w:rsid w:val="00660751"/>
    <w:rsid w:val="00660AD3"/>
    <w:rsid w:val="00663F4B"/>
    <w:rsid w:val="006640E5"/>
    <w:rsid w:val="006645EE"/>
    <w:rsid w:val="006646F1"/>
    <w:rsid w:val="00664929"/>
    <w:rsid w:val="00664F62"/>
    <w:rsid w:val="006655E1"/>
    <w:rsid w:val="00672060"/>
    <w:rsid w:val="00672BFD"/>
    <w:rsid w:val="00672EC5"/>
    <w:rsid w:val="00674672"/>
    <w:rsid w:val="006770F4"/>
    <w:rsid w:val="00677A84"/>
    <w:rsid w:val="0068026D"/>
    <w:rsid w:val="00680A27"/>
    <w:rsid w:val="0068123A"/>
    <w:rsid w:val="006816A4"/>
    <w:rsid w:val="006819B8"/>
    <w:rsid w:val="006825AE"/>
    <w:rsid w:val="006840A6"/>
    <w:rsid w:val="006850CD"/>
    <w:rsid w:val="00685AAB"/>
    <w:rsid w:val="00686E4F"/>
    <w:rsid w:val="00687BE5"/>
    <w:rsid w:val="0069343B"/>
    <w:rsid w:val="00694B5B"/>
    <w:rsid w:val="006A07AA"/>
    <w:rsid w:val="006A25E5"/>
    <w:rsid w:val="006A2B46"/>
    <w:rsid w:val="006A336D"/>
    <w:rsid w:val="006A37B9"/>
    <w:rsid w:val="006A3DEE"/>
    <w:rsid w:val="006A5753"/>
    <w:rsid w:val="006B2294"/>
    <w:rsid w:val="006B2672"/>
    <w:rsid w:val="006B316E"/>
    <w:rsid w:val="006B54BF"/>
    <w:rsid w:val="006B59B0"/>
    <w:rsid w:val="006B5F44"/>
    <w:rsid w:val="006B5F90"/>
    <w:rsid w:val="006B62E4"/>
    <w:rsid w:val="006B7B90"/>
    <w:rsid w:val="006C1BBA"/>
    <w:rsid w:val="006C201C"/>
    <w:rsid w:val="006C2079"/>
    <w:rsid w:val="006C55A7"/>
    <w:rsid w:val="006C5A62"/>
    <w:rsid w:val="006C5D68"/>
    <w:rsid w:val="006C6976"/>
    <w:rsid w:val="006C6DD0"/>
    <w:rsid w:val="006D04EA"/>
    <w:rsid w:val="006D16C4"/>
    <w:rsid w:val="006D2D7D"/>
    <w:rsid w:val="006D3E96"/>
    <w:rsid w:val="006D4515"/>
    <w:rsid w:val="006D45D9"/>
    <w:rsid w:val="006D4BB1"/>
    <w:rsid w:val="006D6593"/>
    <w:rsid w:val="006E1738"/>
    <w:rsid w:val="006E3FF3"/>
    <w:rsid w:val="006F03A8"/>
    <w:rsid w:val="006F0EFE"/>
    <w:rsid w:val="006F2ACA"/>
    <w:rsid w:val="006F2ADC"/>
    <w:rsid w:val="006F2BFE"/>
    <w:rsid w:val="006F31E9"/>
    <w:rsid w:val="006F6284"/>
    <w:rsid w:val="006F6FE1"/>
    <w:rsid w:val="007002C5"/>
    <w:rsid w:val="0070075D"/>
    <w:rsid w:val="00704387"/>
    <w:rsid w:val="007074B1"/>
    <w:rsid w:val="00707669"/>
    <w:rsid w:val="00710E7C"/>
    <w:rsid w:val="00711CBA"/>
    <w:rsid w:val="00711FB5"/>
    <w:rsid w:val="00712A01"/>
    <w:rsid w:val="00714A46"/>
    <w:rsid w:val="00714F58"/>
    <w:rsid w:val="007167CD"/>
    <w:rsid w:val="00717BF7"/>
    <w:rsid w:val="00722FBF"/>
    <w:rsid w:val="00722FC2"/>
    <w:rsid w:val="00725949"/>
    <w:rsid w:val="00727FA2"/>
    <w:rsid w:val="007322D9"/>
    <w:rsid w:val="00732BC0"/>
    <w:rsid w:val="0073720F"/>
    <w:rsid w:val="00737796"/>
    <w:rsid w:val="0074165C"/>
    <w:rsid w:val="00742AA6"/>
    <w:rsid w:val="007432CA"/>
    <w:rsid w:val="007439EB"/>
    <w:rsid w:val="00743AEE"/>
    <w:rsid w:val="00743CB4"/>
    <w:rsid w:val="00743F0A"/>
    <w:rsid w:val="007444E8"/>
    <w:rsid w:val="007446DA"/>
    <w:rsid w:val="0074548E"/>
    <w:rsid w:val="00745773"/>
    <w:rsid w:val="00746800"/>
    <w:rsid w:val="007501A8"/>
    <w:rsid w:val="00750EE1"/>
    <w:rsid w:val="007527E0"/>
    <w:rsid w:val="007528CC"/>
    <w:rsid w:val="00752B4D"/>
    <w:rsid w:val="00753E9C"/>
    <w:rsid w:val="00754629"/>
    <w:rsid w:val="00755402"/>
    <w:rsid w:val="007555E9"/>
    <w:rsid w:val="00756B26"/>
    <w:rsid w:val="00756EDF"/>
    <w:rsid w:val="007609A2"/>
    <w:rsid w:val="00760C52"/>
    <w:rsid w:val="00765C43"/>
    <w:rsid w:val="00765EFB"/>
    <w:rsid w:val="007671CA"/>
    <w:rsid w:val="007675B6"/>
    <w:rsid w:val="00767C61"/>
    <w:rsid w:val="0077008A"/>
    <w:rsid w:val="00771F6A"/>
    <w:rsid w:val="00772C4B"/>
    <w:rsid w:val="00773BD8"/>
    <w:rsid w:val="00773C1F"/>
    <w:rsid w:val="00774DA4"/>
    <w:rsid w:val="00776599"/>
    <w:rsid w:val="00780F40"/>
    <w:rsid w:val="0078114B"/>
    <w:rsid w:val="00781DD2"/>
    <w:rsid w:val="00783ECF"/>
    <w:rsid w:val="0078413A"/>
    <w:rsid w:val="00784662"/>
    <w:rsid w:val="00790992"/>
    <w:rsid w:val="007919EC"/>
    <w:rsid w:val="007959E8"/>
    <w:rsid w:val="00795E9C"/>
    <w:rsid w:val="00796E72"/>
    <w:rsid w:val="0079797F"/>
    <w:rsid w:val="007A0521"/>
    <w:rsid w:val="007A061E"/>
    <w:rsid w:val="007A2E12"/>
    <w:rsid w:val="007A3475"/>
    <w:rsid w:val="007A3B44"/>
    <w:rsid w:val="007A41C8"/>
    <w:rsid w:val="007A54CE"/>
    <w:rsid w:val="007A7FFA"/>
    <w:rsid w:val="007B04EB"/>
    <w:rsid w:val="007B0D4F"/>
    <w:rsid w:val="007B11CF"/>
    <w:rsid w:val="007B56C1"/>
    <w:rsid w:val="007B5A3D"/>
    <w:rsid w:val="007B5B95"/>
    <w:rsid w:val="007B68EA"/>
    <w:rsid w:val="007C19E8"/>
    <w:rsid w:val="007C2D89"/>
    <w:rsid w:val="007C38BB"/>
    <w:rsid w:val="007C4593"/>
    <w:rsid w:val="007C5309"/>
    <w:rsid w:val="007C6069"/>
    <w:rsid w:val="007D06C4"/>
    <w:rsid w:val="007D1352"/>
    <w:rsid w:val="007D2508"/>
    <w:rsid w:val="007D346A"/>
    <w:rsid w:val="007D34A2"/>
    <w:rsid w:val="007D6382"/>
    <w:rsid w:val="007D6518"/>
    <w:rsid w:val="007D76BD"/>
    <w:rsid w:val="007E01BA"/>
    <w:rsid w:val="007E0BF1"/>
    <w:rsid w:val="007E1721"/>
    <w:rsid w:val="007F0ED8"/>
    <w:rsid w:val="007F0F63"/>
    <w:rsid w:val="007F50A8"/>
    <w:rsid w:val="007F75CE"/>
    <w:rsid w:val="008013A4"/>
    <w:rsid w:val="0080155A"/>
    <w:rsid w:val="00802699"/>
    <w:rsid w:val="008027CE"/>
    <w:rsid w:val="00802F42"/>
    <w:rsid w:val="0080344F"/>
    <w:rsid w:val="00803F8D"/>
    <w:rsid w:val="00804383"/>
    <w:rsid w:val="00804BB7"/>
    <w:rsid w:val="00806CA9"/>
    <w:rsid w:val="0080773A"/>
    <w:rsid w:val="00810257"/>
    <w:rsid w:val="008104F5"/>
    <w:rsid w:val="00811072"/>
    <w:rsid w:val="00811369"/>
    <w:rsid w:val="00814E50"/>
    <w:rsid w:val="00815419"/>
    <w:rsid w:val="008163C8"/>
    <w:rsid w:val="00817325"/>
    <w:rsid w:val="008209E6"/>
    <w:rsid w:val="00823303"/>
    <w:rsid w:val="008233B2"/>
    <w:rsid w:val="00823A9F"/>
    <w:rsid w:val="00823C85"/>
    <w:rsid w:val="0082487F"/>
    <w:rsid w:val="00824A8C"/>
    <w:rsid w:val="00825138"/>
    <w:rsid w:val="008260D9"/>
    <w:rsid w:val="008269DD"/>
    <w:rsid w:val="00826EA3"/>
    <w:rsid w:val="00830621"/>
    <w:rsid w:val="0083348C"/>
    <w:rsid w:val="00836C3A"/>
    <w:rsid w:val="008373D3"/>
    <w:rsid w:val="00840617"/>
    <w:rsid w:val="00840666"/>
    <w:rsid w:val="00841DD4"/>
    <w:rsid w:val="00842A47"/>
    <w:rsid w:val="00843C13"/>
    <w:rsid w:val="008454F8"/>
    <w:rsid w:val="008506E3"/>
    <w:rsid w:val="00851342"/>
    <w:rsid w:val="0085173A"/>
    <w:rsid w:val="00854FDB"/>
    <w:rsid w:val="0085537A"/>
    <w:rsid w:val="008603CE"/>
    <w:rsid w:val="008620FC"/>
    <w:rsid w:val="008627A5"/>
    <w:rsid w:val="0086350C"/>
    <w:rsid w:val="00863E05"/>
    <w:rsid w:val="00865ACA"/>
    <w:rsid w:val="00865D28"/>
    <w:rsid w:val="00865F85"/>
    <w:rsid w:val="00867C10"/>
    <w:rsid w:val="00870439"/>
    <w:rsid w:val="00870DA1"/>
    <w:rsid w:val="00883BEA"/>
    <w:rsid w:val="00883F93"/>
    <w:rsid w:val="00884DB3"/>
    <w:rsid w:val="00885A9D"/>
    <w:rsid w:val="00885CD3"/>
    <w:rsid w:val="008864F6"/>
    <w:rsid w:val="00887567"/>
    <w:rsid w:val="00887E00"/>
    <w:rsid w:val="0089049D"/>
    <w:rsid w:val="008928C9"/>
    <w:rsid w:val="008938DC"/>
    <w:rsid w:val="00893FD1"/>
    <w:rsid w:val="00894836"/>
    <w:rsid w:val="00895172"/>
    <w:rsid w:val="00895680"/>
    <w:rsid w:val="00896DFF"/>
    <w:rsid w:val="0089731B"/>
    <w:rsid w:val="0089762C"/>
    <w:rsid w:val="008A0A29"/>
    <w:rsid w:val="008A1893"/>
    <w:rsid w:val="008A2043"/>
    <w:rsid w:val="008A769A"/>
    <w:rsid w:val="008B0C9C"/>
    <w:rsid w:val="008B166D"/>
    <w:rsid w:val="008B17F4"/>
    <w:rsid w:val="008B3615"/>
    <w:rsid w:val="008B4473"/>
    <w:rsid w:val="008B4AC4"/>
    <w:rsid w:val="008B50C8"/>
    <w:rsid w:val="008B524D"/>
    <w:rsid w:val="008B5281"/>
    <w:rsid w:val="008B7E05"/>
    <w:rsid w:val="008C1797"/>
    <w:rsid w:val="008C219C"/>
    <w:rsid w:val="008C2AEB"/>
    <w:rsid w:val="008C3674"/>
    <w:rsid w:val="008C475E"/>
    <w:rsid w:val="008C619A"/>
    <w:rsid w:val="008D0CE8"/>
    <w:rsid w:val="008D13DD"/>
    <w:rsid w:val="008D2D1D"/>
    <w:rsid w:val="008D453D"/>
    <w:rsid w:val="008D53AD"/>
    <w:rsid w:val="008D562B"/>
    <w:rsid w:val="008D5733"/>
    <w:rsid w:val="008D622B"/>
    <w:rsid w:val="008D666C"/>
    <w:rsid w:val="008D6C43"/>
    <w:rsid w:val="008D77DE"/>
    <w:rsid w:val="008D7B54"/>
    <w:rsid w:val="008E0C9D"/>
    <w:rsid w:val="008E1529"/>
    <w:rsid w:val="008E1648"/>
    <w:rsid w:val="008E1B3E"/>
    <w:rsid w:val="008E2319"/>
    <w:rsid w:val="008E4BB6"/>
    <w:rsid w:val="008E5518"/>
    <w:rsid w:val="008E6A84"/>
    <w:rsid w:val="008F0CDC"/>
    <w:rsid w:val="008F17A3"/>
    <w:rsid w:val="008F1ED3"/>
    <w:rsid w:val="008F30C7"/>
    <w:rsid w:val="008F4A8E"/>
    <w:rsid w:val="008F4C29"/>
    <w:rsid w:val="008F5407"/>
    <w:rsid w:val="008F70BD"/>
    <w:rsid w:val="008F788F"/>
    <w:rsid w:val="008F7EA2"/>
    <w:rsid w:val="00901343"/>
    <w:rsid w:val="00902722"/>
    <w:rsid w:val="009027BC"/>
    <w:rsid w:val="009062E6"/>
    <w:rsid w:val="00906C84"/>
    <w:rsid w:val="009119A3"/>
    <w:rsid w:val="00911BE5"/>
    <w:rsid w:val="00913CA9"/>
    <w:rsid w:val="009145AE"/>
    <w:rsid w:val="009146CE"/>
    <w:rsid w:val="009149E2"/>
    <w:rsid w:val="00914CA7"/>
    <w:rsid w:val="00915C3E"/>
    <w:rsid w:val="009161A8"/>
    <w:rsid w:val="009165CA"/>
    <w:rsid w:val="0091673D"/>
    <w:rsid w:val="00923676"/>
    <w:rsid w:val="00923F5D"/>
    <w:rsid w:val="0092444B"/>
    <w:rsid w:val="009245F5"/>
    <w:rsid w:val="009249EC"/>
    <w:rsid w:val="009273B3"/>
    <w:rsid w:val="00927D4A"/>
    <w:rsid w:val="009305B5"/>
    <w:rsid w:val="00930709"/>
    <w:rsid w:val="00931DE4"/>
    <w:rsid w:val="00934C12"/>
    <w:rsid w:val="00935F1D"/>
    <w:rsid w:val="00942425"/>
    <w:rsid w:val="009429D5"/>
    <w:rsid w:val="00942B65"/>
    <w:rsid w:val="00942BF1"/>
    <w:rsid w:val="009435F4"/>
    <w:rsid w:val="009447B3"/>
    <w:rsid w:val="00945180"/>
    <w:rsid w:val="00945428"/>
    <w:rsid w:val="00945EC7"/>
    <w:rsid w:val="0094607B"/>
    <w:rsid w:val="00952C52"/>
    <w:rsid w:val="00953604"/>
    <w:rsid w:val="00955F22"/>
    <w:rsid w:val="009571E2"/>
    <w:rsid w:val="00960B49"/>
    <w:rsid w:val="009610DC"/>
    <w:rsid w:val="00961490"/>
    <w:rsid w:val="0096381A"/>
    <w:rsid w:val="00963A37"/>
    <w:rsid w:val="00965E04"/>
    <w:rsid w:val="009672C7"/>
    <w:rsid w:val="009674AD"/>
    <w:rsid w:val="009677D8"/>
    <w:rsid w:val="00967FCA"/>
    <w:rsid w:val="0097094E"/>
    <w:rsid w:val="00970CDC"/>
    <w:rsid w:val="009742EA"/>
    <w:rsid w:val="00974D3E"/>
    <w:rsid w:val="00974E34"/>
    <w:rsid w:val="00975CB6"/>
    <w:rsid w:val="00976D23"/>
    <w:rsid w:val="00977010"/>
    <w:rsid w:val="00977D02"/>
    <w:rsid w:val="00980698"/>
    <w:rsid w:val="009809BB"/>
    <w:rsid w:val="00982D22"/>
    <w:rsid w:val="0098364B"/>
    <w:rsid w:val="00983BF9"/>
    <w:rsid w:val="009901AB"/>
    <w:rsid w:val="00990E1C"/>
    <w:rsid w:val="009911AF"/>
    <w:rsid w:val="00991875"/>
    <w:rsid w:val="00991F92"/>
    <w:rsid w:val="00992985"/>
    <w:rsid w:val="00993889"/>
    <w:rsid w:val="0099551B"/>
    <w:rsid w:val="009961BC"/>
    <w:rsid w:val="00997BF1"/>
    <w:rsid w:val="009A089C"/>
    <w:rsid w:val="009A118E"/>
    <w:rsid w:val="009A13DB"/>
    <w:rsid w:val="009A21CD"/>
    <w:rsid w:val="009A278C"/>
    <w:rsid w:val="009A2BC2"/>
    <w:rsid w:val="009A3EEC"/>
    <w:rsid w:val="009A42C1"/>
    <w:rsid w:val="009A5429"/>
    <w:rsid w:val="009A5CB6"/>
    <w:rsid w:val="009A72AD"/>
    <w:rsid w:val="009B09E0"/>
    <w:rsid w:val="009B0BC5"/>
    <w:rsid w:val="009B0F77"/>
    <w:rsid w:val="009B1247"/>
    <w:rsid w:val="009B19C0"/>
    <w:rsid w:val="009B6029"/>
    <w:rsid w:val="009B6971"/>
    <w:rsid w:val="009C27F1"/>
    <w:rsid w:val="009C3152"/>
    <w:rsid w:val="009C4CFA"/>
    <w:rsid w:val="009C5070"/>
    <w:rsid w:val="009C5A3D"/>
    <w:rsid w:val="009C5AAB"/>
    <w:rsid w:val="009C6417"/>
    <w:rsid w:val="009D112C"/>
    <w:rsid w:val="009D309F"/>
    <w:rsid w:val="009D47FA"/>
    <w:rsid w:val="009D50D2"/>
    <w:rsid w:val="009D6BCA"/>
    <w:rsid w:val="009E0F62"/>
    <w:rsid w:val="009E13F3"/>
    <w:rsid w:val="009E3F37"/>
    <w:rsid w:val="009E4A58"/>
    <w:rsid w:val="009E5A2D"/>
    <w:rsid w:val="009E5AB2"/>
    <w:rsid w:val="009E6219"/>
    <w:rsid w:val="009E7380"/>
    <w:rsid w:val="009F03B3"/>
    <w:rsid w:val="009F0634"/>
    <w:rsid w:val="009F38B4"/>
    <w:rsid w:val="009F4B1A"/>
    <w:rsid w:val="009F7BF9"/>
    <w:rsid w:val="00A004FA"/>
    <w:rsid w:val="00A0159A"/>
    <w:rsid w:val="00A01757"/>
    <w:rsid w:val="00A028C0"/>
    <w:rsid w:val="00A02BAE"/>
    <w:rsid w:val="00A06A6B"/>
    <w:rsid w:val="00A07BB0"/>
    <w:rsid w:val="00A07E47"/>
    <w:rsid w:val="00A10BAD"/>
    <w:rsid w:val="00A129D0"/>
    <w:rsid w:val="00A12C33"/>
    <w:rsid w:val="00A138BA"/>
    <w:rsid w:val="00A14C8E"/>
    <w:rsid w:val="00A153D9"/>
    <w:rsid w:val="00A15F09"/>
    <w:rsid w:val="00A169B6"/>
    <w:rsid w:val="00A2029F"/>
    <w:rsid w:val="00A20F8B"/>
    <w:rsid w:val="00A2271D"/>
    <w:rsid w:val="00A22868"/>
    <w:rsid w:val="00A236E5"/>
    <w:rsid w:val="00A237D5"/>
    <w:rsid w:val="00A24F7B"/>
    <w:rsid w:val="00A26DA7"/>
    <w:rsid w:val="00A30EFC"/>
    <w:rsid w:val="00A31984"/>
    <w:rsid w:val="00A32D73"/>
    <w:rsid w:val="00A32ECE"/>
    <w:rsid w:val="00A33017"/>
    <w:rsid w:val="00A3367B"/>
    <w:rsid w:val="00A343A8"/>
    <w:rsid w:val="00A3597D"/>
    <w:rsid w:val="00A3787E"/>
    <w:rsid w:val="00A40091"/>
    <w:rsid w:val="00A4030F"/>
    <w:rsid w:val="00A41C79"/>
    <w:rsid w:val="00A41CB5"/>
    <w:rsid w:val="00A42CDF"/>
    <w:rsid w:val="00A43C24"/>
    <w:rsid w:val="00A43D57"/>
    <w:rsid w:val="00A4452E"/>
    <w:rsid w:val="00A4472C"/>
    <w:rsid w:val="00A44E69"/>
    <w:rsid w:val="00A4661E"/>
    <w:rsid w:val="00A476FF"/>
    <w:rsid w:val="00A55BD6"/>
    <w:rsid w:val="00A55D50"/>
    <w:rsid w:val="00A56670"/>
    <w:rsid w:val="00A57142"/>
    <w:rsid w:val="00A57AC8"/>
    <w:rsid w:val="00A60ABC"/>
    <w:rsid w:val="00A60E70"/>
    <w:rsid w:val="00A648CD"/>
    <w:rsid w:val="00A64D9A"/>
    <w:rsid w:val="00A6537A"/>
    <w:rsid w:val="00A6596D"/>
    <w:rsid w:val="00A65BFA"/>
    <w:rsid w:val="00A65C67"/>
    <w:rsid w:val="00A6610B"/>
    <w:rsid w:val="00A667CF"/>
    <w:rsid w:val="00A67866"/>
    <w:rsid w:val="00A70B07"/>
    <w:rsid w:val="00A70C20"/>
    <w:rsid w:val="00A7132B"/>
    <w:rsid w:val="00A71E2F"/>
    <w:rsid w:val="00A723F8"/>
    <w:rsid w:val="00A74A0A"/>
    <w:rsid w:val="00A77CCB"/>
    <w:rsid w:val="00A83D8D"/>
    <w:rsid w:val="00A8446B"/>
    <w:rsid w:val="00A8473F"/>
    <w:rsid w:val="00A862D6"/>
    <w:rsid w:val="00A86D08"/>
    <w:rsid w:val="00A8715E"/>
    <w:rsid w:val="00A915B3"/>
    <w:rsid w:val="00A92536"/>
    <w:rsid w:val="00A9295B"/>
    <w:rsid w:val="00A92C0B"/>
    <w:rsid w:val="00A93B09"/>
    <w:rsid w:val="00A952D7"/>
    <w:rsid w:val="00A9567C"/>
    <w:rsid w:val="00A963F7"/>
    <w:rsid w:val="00A96AD8"/>
    <w:rsid w:val="00AA052C"/>
    <w:rsid w:val="00AA0CBD"/>
    <w:rsid w:val="00AA1E45"/>
    <w:rsid w:val="00AA1F45"/>
    <w:rsid w:val="00AA24A4"/>
    <w:rsid w:val="00AA2A24"/>
    <w:rsid w:val="00AA4286"/>
    <w:rsid w:val="00AA456B"/>
    <w:rsid w:val="00AA57F5"/>
    <w:rsid w:val="00AA672E"/>
    <w:rsid w:val="00AA6D8C"/>
    <w:rsid w:val="00AA6EC9"/>
    <w:rsid w:val="00AB0077"/>
    <w:rsid w:val="00AB531F"/>
    <w:rsid w:val="00AB5A60"/>
    <w:rsid w:val="00AB6309"/>
    <w:rsid w:val="00AB6C5F"/>
    <w:rsid w:val="00AB711A"/>
    <w:rsid w:val="00AB7129"/>
    <w:rsid w:val="00AC27A6"/>
    <w:rsid w:val="00AC30F7"/>
    <w:rsid w:val="00AC3A5A"/>
    <w:rsid w:val="00AC4D95"/>
    <w:rsid w:val="00AC5DF4"/>
    <w:rsid w:val="00AC62A6"/>
    <w:rsid w:val="00AD0155"/>
    <w:rsid w:val="00AD0AEF"/>
    <w:rsid w:val="00AD11B7"/>
    <w:rsid w:val="00AD1A94"/>
    <w:rsid w:val="00AD1C05"/>
    <w:rsid w:val="00AD2278"/>
    <w:rsid w:val="00AD3367"/>
    <w:rsid w:val="00AD4126"/>
    <w:rsid w:val="00AD421C"/>
    <w:rsid w:val="00AD44FA"/>
    <w:rsid w:val="00AD6C72"/>
    <w:rsid w:val="00AE0238"/>
    <w:rsid w:val="00AE070A"/>
    <w:rsid w:val="00AE101C"/>
    <w:rsid w:val="00AE2547"/>
    <w:rsid w:val="00AE77F9"/>
    <w:rsid w:val="00AF0C18"/>
    <w:rsid w:val="00AF2228"/>
    <w:rsid w:val="00AF31EF"/>
    <w:rsid w:val="00AF47C5"/>
    <w:rsid w:val="00AF5398"/>
    <w:rsid w:val="00AF70B0"/>
    <w:rsid w:val="00B01520"/>
    <w:rsid w:val="00B03D78"/>
    <w:rsid w:val="00B049AF"/>
    <w:rsid w:val="00B06018"/>
    <w:rsid w:val="00B06659"/>
    <w:rsid w:val="00B07242"/>
    <w:rsid w:val="00B07C51"/>
    <w:rsid w:val="00B102B4"/>
    <w:rsid w:val="00B10534"/>
    <w:rsid w:val="00B113DB"/>
    <w:rsid w:val="00B11D8A"/>
    <w:rsid w:val="00B12981"/>
    <w:rsid w:val="00B12B5B"/>
    <w:rsid w:val="00B147DD"/>
    <w:rsid w:val="00B156FD"/>
    <w:rsid w:val="00B17DBE"/>
    <w:rsid w:val="00B20A4B"/>
    <w:rsid w:val="00B21F61"/>
    <w:rsid w:val="00B23045"/>
    <w:rsid w:val="00B23B67"/>
    <w:rsid w:val="00B261F1"/>
    <w:rsid w:val="00B265BC"/>
    <w:rsid w:val="00B31FB1"/>
    <w:rsid w:val="00B33952"/>
    <w:rsid w:val="00B33C5E"/>
    <w:rsid w:val="00B342F4"/>
    <w:rsid w:val="00B34369"/>
    <w:rsid w:val="00B34DC2"/>
    <w:rsid w:val="00B35012"/>
    <w:rsid w:val="00B378E5"/>
    <w:rsid w:val="00B43423"/>
    <w:rsid w:val="00B4346D"/>
    <w:rsid w:val="00B440F4"/>
    <w:rsid w:val="00B447A5"/>
    <w:rsid w:val="00B4654C"/>
    <w:rsid w:val="00B47293"/>
    <w:rsid w:val="00B47C14"/>
    <w:rsid w:val="00B50543"/>
    <w:rsid w:val="00B51962"/>
    <w:rsid w:val="00B52120"/>
    <w:rsid w:val="00B527AE"/>
    <w:rsid w:val="00B54ABC"/>
    <w:rsid w:val="00B55142"/>
    <w:rsid w:val="00B5627B"/>
    <w:rsid w:val="00B56FBE"/>
    <w:rsid w:val="00B60562"/>
    <w:rsid w:val="00B62330"/>
    <w:rsid w:val="00B62B58"/>
    <w:rsid w:val="00B65149"/>
    <w:rsid w:val="00B65851"/>
    <w:rsid w:val="00B66567"/>
    <w:rsid w:val="00B66F52"/>
    <w:rsid w:val="00B66FE5"/>
    <w:rsid w:val="00B675B7"/>
    <w:rsid w:val="00B72880"/>
    <w:rsid w:val="00B72E0A"/>
    <w:rsid w:val="00B740D1"/>
    <w:rsid w:val="00B74571"/>
    <w:rsid w:val="00B758BF"/>
    <w:rsid w:val="00B75DAB"/>
    <w:rsid w:val="00B823C7"/>
    <w:rsid w:val="00B827A6"/>
    <w:rsid w:val="00B831CE"/>
    <w:rsid w:val="00B83211"/>
    <w:rsid w:val="00B86677"/>
    <w:rsid w:val="00B86B73"/>
    <w:rsid w:val="00B87131"/>
    <w:rsid w:val="00B87C78"/>
    <w:rsid w:val="00B9127B"/>
    <w:rsid w:val="00B91566"/>
    <w:rsid w:val="00B9320C"/>
    <w:rsid w:val="00B939B1"/>
    <w:rsid w:val="00B96D40"/>
    <w:rsid w:val="00B97386"/>
    <w:rsid w:val="00BA263B"/>
    <w:rsid w:val="00BA42B2"/>
    <w:rsid w:val="00BA58D4"/>
    <w:rsid w:val="00BA5B9E"/>
    <w:rsid w:val="00BA7C9A"/>
    <w:rsid w:val="00BB1B88"/>
    <w:rsid w:val="00BB34B1"/>
    <w:rsid w:val="00BB3B97"/>
    <w:rsid w:val="00BB4C2B"/>
    <w:rsid w:val="00BB5F8F"/>
    <w:rsid w:val="00BB657A"/>
    <w:rsid w:val="00BC1A4E"/>
    <w:rsid w:val="00BC234E"/>
    <w:rsid w:val="00BC2962"/>
    <w:rsid w:val="00BC2C1E"/>
    <w:rsid w:val="00BC5DC7"/>
    <w:rsid w:val="00BC6B8B"/>
    <w:rsid w:val="00BC73D8"/>
    <w:rsid w:val="00BD3FF2"/>
    <w:rsid w:val="00BD52D7"/>
    <w:rsid w:val="00BD5AD2"/>
    <w:rsid w:val="00BD6082"/>
    <w:rsid w:val="00BD6799"/>
    <w:rsid w:val="00BD6DF7"/>
    <w:rsid w:val="00BE0E54"/>
    <w:rsid w:val="00BE22F3"/>
    <w:rsid w:val="00BE3684"/>
    <w:rsid w:val="00BE3FD9"/>
    <w:rsid w:val="00BE49EE"/>
    <w:rsid w:val="00BE4BD0"/>
    <w:rsid w:val="00BE5B52"/>
    <w:rsid w:val="00BE7B8D"/>
    <w:rsid w:val="00BF0993"/>
    <w:rsid w:val="00BF0D3B"/>
    <w:rsid w:val="00BF10A9"/>
    <w:rsid w:val="00BF1703"/>
    <w:rsid w:val="00BF231C"/>
    <w:rsid w:val="00BF51E5"/>
    <w:rsid w:val="00BF6C50"/>
    <w:rsid w:val="00BF74A6"/>
    <w:rsid w:val="00C00B9D"/>
    <w:rsid w:val="00C013AD"/>
    <w:rsid w:val="00C04497"/>
    <w:rsid w:val="00C04904"/>
    <w:rsid w:val="00C056B3"/>
    <w:rsid w:val="00C103E5"/>
    <w:rsid w:val="00C13319"/>
    <w:rsid w:val="00C13EE9"/>
    <w:rsid w:val="00C14D87"/>
    <w:rsid w:val="00C21540"/>
    <w:rsid w:val="00C21906"/>
    <w:rsid w:val="00C21BFA"/>
    <w:rsid w:val="00C22169"/>
    <w:rsid w:val="00C24327"/>
    <w:rsid w:val="00C24C8D"/>
    <w:rsid w:val="00C25FE2"/>
    <w:rsid w:val="00C26B53"/>
    <w:rsid w:val="00C279B2"/>
    <w:rsid w:val="00C32A36"/>
    <w:rsid w:val="00C33E50"/>
    <w:rsid w:val="00C34C20"/>
    <w:rsid w:val="00C35A3E"/>
    <w:rsid w:val="00C36BD4"/>
    <w:rsid w:val="00C42130"/>
    <w:rsid w:val="00C423A4"/>
    <w:rsid w:val="00C44BF5"/>
    <w:rsid w:val="00C45F92"/>
    <w:rsid w:val="00C463AC"/>
    <w:rsid w:val="00C471FC"/>
    <w:rsid w:val="00C50A6B"/>
    <w:rsid w:val="00C53100"/>
    <w:rsid w:val="00C54E4B"/>
    <w:rsid w:val="00C55232"/>
    <w:rsid w:val="00C553A4"/>
    <w:rsid w:val="00C55A06"/>
    <w:rsid w:val="00C55D03"/>
    <w:rsid w:val="00C5790A"/>
    <w:rsid w:val="00C57CB0"/>
    <w:rsid w:val="00C57DA4"/>
    <w:rsid w:val="00C601BC"/>
    <w:rsid w:val="00C6329F"/>
    <w:rsid w:val="00C63340"/>
    <w:rsid w:val="00C643F9"/>
    <w:rsid w:val="00C64E95"/>
    <w:rsid w:val="00C655FD"/>
    <w:rsid w:val="00C666E5"/>
    <w:rsid w:val="00C66E22"/>
    <w:rsid w:val="00C67EBB"/>
    <w:rsid w:val="00C71372"/>
    <w:rsid w:val="00C72410"/>
    <w:rsid w:val="00C7287F"/>
    <w:rsid w:val="00C72F0E"/>
    <w:rsid w:val="00C7309A"/>
    <w:rsid w:val="00C80CB8"/>
    <w:rsid w:val="00C81187"/>
    <w:rsid w:val="00C819F8"/>
    <w:rsid w:val="00C8248C"/>
    <w:rsid w:val="00C83178"/>
    <w:rsid w:val="00C84E33"/>
    <w:rsid w:val="00C86D6F"/>
    <w:rsid w:val="00C905FC"/>
    <w:rsid w:val="00C907D8"/>
    <w:rsid w:val="00C92492"/>
    <w:rsid w:val="00C92D03"/>
    <w:rsid w:val="00C9319C"/>
    <w:rsid w:val="00C9382D"/>
    <w:rsid w:val="00C9435D"/>
    <w:rsid w:val="00C9517F"/>
    <w:rsid w:val="00C95781"/>
    <w:rsid w:val="00C965BE"/>
    <w:rsid w:val="00C96741"/>
    <w:rsid w:val="00CA2D1B"/>
    <w:rsid w:val="00CA50B3"/>
    <w:rsid w:val="00CA53B5"/>
    <w:rsid w:val="00CA53FA"/>
    <w:rsid w:val="00CA662A"/>
    <w:rsid w:val="00CA7AFD"/>
    <w:rsid w:val="00CA7C3C"/>
    <w:rsid w:val="00CB0189"/>
    <w:rsid w:val="00CB0BA2"/>
    <w:rsid w:val="00CB14DD"/>
    <w:rsid w:val="00CB1A42"/>
    <w:rsid w:val="00CB1B0C"/>
    <w:rsid w:val="00CB2023"/>
    <w:rsid w:val="00CB2C0B"/>
    <w:rsid w:val="00CB402E"/>
    <w:rsid w:val="00CB517D"/>
    <w:rsid w:val="00CB7F8D"/>
    <w:rsid w:val="00CC038D"/>
    <w:rsid w:val="00CC06A1"/>
    <w:rsid w:val="00CC1A0C"/>
    <w:rsid w:val="00CC282B"/>
    <w:rsid w:val="00CC39FF"/>
    <w:rsid w:val="00CC3C2F"/>
    <w:rsid w:val="00CC4AC8"/>
    <w:rsid w:val="00CC5233"/>
    <w:rsid w:val="00CC5DE6"/>
    <w:rsid w:val="00CC6E4E"/>
    <w:rsid w:val="00CC6FE8"/>
    <w:rsid w:val="00CC7202"/>
    <w:rsid w:val="00CD1A6F"/>
    <w:rsid w:val="00CD2808"/>
    <w:rsid w:val="00CD28BF"/>
    <w:rsid w:val="00CD4092"/>
    <w:rsid w:val="00CD4A20"/>
    <w:rsid w:val="00CD50A1"/>
    <w:rsid w:val="00CD519E"/>
    <w:rsid w:val="00CD5649"/>
    <w:rsid w:val="00CD6816"/>
    <w:rsid w:val="00CE062C"/>
    <w:rsid w:val="00CE0A37"/>
    <w:rsid w:val="00CE0C4F"/>
    <w:rsid w:val="00CE11DE"/>
    <w:rsid w:val="00CE30EA"/>
    <w:rsid w:val="00CE3EEB"/>
    <w:rsid w:val="00CE3F25"/>
    <w:rsid w:val="00CE41F4"/>
    <w:rsid w:val="00CE6689"/>
    <w:rsid w:val="00CF0332"/>
    <w:rsid w:val="00CF036D"/>
    <w:rsid w:val="00CF048A"/>
    <w:rsid w:val="00CF155A"/>
    <w:rsid w:val="00CF2947"/>
    <w:rsid w:val="00CF44B1"/>
    <w:rsid w:val="00CF686F"/>
    <w:rsid w:val="00CF6E60"/>
    <w:rsid w:val="00CF75DF"/>
    <w:rsid w:val="00CF7BCA"/>
    <w:rsid w:val="00D00378"/>
    <w:rsid w:val="00D008FD"/>
    <w:rsid w:val="00D029A6"/>
    <w:rsid w:val="00D0321C"/>
    <w:rsid w:val="00D035EC"/>
    <w:rsid w:val="00D06AB1"/>
    <w:rsid w:val="00D072ED"/>
    <w:rsid w:val="00D0780A"/>
    <w:rsid w:val="00D07A16"/>
    <w:rsid w:val="00D07E58"/>
    <w:rsid w:val="00D1067E"/>
    <w:rsid w:val="00D10F50"/>
    <w:rsid w:val="00D11272"/>
    <w:rsid w:val="00D11B45"/>
    <w:rsid w:val="00D126F5"/>
    <w:rsid w:val="00D137E6"/>
    <w:rsid w:val="00D13BE8"/>
    <w:rsid w:val="00D1489E"/>
    <w:rsid w:val="00D165B1"/>
    <w:rsid w:val="00D20737"/>
    <w:rsid w:val="00D21E81"/>
    <w:rsid w:val="00D223DE"/>
    <w:rsid w:val="00D22465"/>
    <w:rsid w:val="00D248C8"/>
    <w:rsid w:val="00D25E37"/>
    <w:rsid w:val="00D261D0"/>
    <w:rsid w:val="00D2661A"/>
    <w:rsid w:val="00D27582"/>
    <w:rsid w:val="00D31BD4"/>
    <w:rsid w:val="00D32719"/>
    <w:rsid w:val="00D33333"/>
    <w:rsid w:val="00D352A2"/>
    <w:rsid w:val="00D35DDC"/>
    <w:rsid w:val="00D40A83"/>
    <w:rsid w:val="00D4162B"/>
    <w:rsid w:val="00D4514F"/>
    <w:rsid w:val="00D451E2"/>
    <w:rsid w:val="00D4545E"/>
    <w:rsid w:val="00D45E89"/>
    <w:rsid w:val="00D45E8D"/>
    <w:rsid w:val="00D466AE"/>
    <w:rsid w:val="00D4729E"/>
    <w:rsid w:val="00D4734F"/>
    <w:rsid w:val="00D47FED"/>
    <w:rsid w:val="00D51BF3"/>
    <w:rsid w:val="00D5231F"/>
    <w:rsid w:val="00D561FD"/>
    <w:rsid w:val="00D563BA"/>
    <w:rsid w:val="00D5713B"/>
    <w:rsid w:val="00D57204"/>
    <w:rsid w:val="00D6166B"/>
    <w:rsid w:val="00D63276"/>
    <w:rsid w:val="00D66846"/>
    <w:rsid w:val="00D675FB"/>
    <w:rsid w:val="00D70301"/>
    <w:rsid w:val="00D70CA7"/>
    <w:rsid w:val="00D71522"/>
    <w:rsid w:val="00D71F25"/>
    <w:rsid w:val="00D72C58"/>
    <w:rsid w:val="00D77031"/>
    <w:rsid w:val="00D8193E"/>
    <w:rsid w:val="00D8219A"/>
    <w:rsid w:val="00D826F1"/>
    <w:rsid w:val="00D83F64"/>
    <w:rsid w:val="00D84941"/>
    <w:rsid w:val="00D84FA1"/>
    <w:rsid w:val="00D851F0"/>
    <w:rsid w:val="00D86DB7"/>
    <w:rsid w:val="00D8712D"/>
    <w:rsid w:val="00D92507"/>
    <w:rsid w:val="00D926D0"/>
    <w:rsid w:val="00D93030"/>
    <w:rsid w:val="00D93720"/>
    <w:rsid w:val="00D947A5"/>
    <w:rsid w:val="00D950E1"/>
    <w:rsid w:val="00D952A6"/>
    <w:rsid w:val="00D97585"/>
    <w:rsid w:val="00D97F99"/>
    <w:rsid w:val="00DA19E7"/>
    <w:rsid w:val="00DA1E08"/>
    <w:rsid w:val="00DA24F8"/>
    <w:rsid w:val="00DA28E8"/>
    <w:rsid w:val="00DA38D3"/>
    <w:rsid w:val="00DA3932"/>
    <w:rsid w:val="00DA55C1"/>
    <w:rsid w:val="00DA64F8"/>
    <w:rsid w:val="00DA6C15"/>
    <w:rsid w:val="00DA7370"/>
    <w:rsid w:val="00DB38EE"/>
    <w:rsid w:val="00DB451E"/>
    <w:rsid w:val="00DB498B"/>
    <w:rsid w:val="00DB66CA"/>
    <w:rsid w:val="00DB6BCA"/>
    <w:rsid w:val="00DC0321"/>
    <w:rsid w:val="00DC3067"/>
    <w:rsid w:val="00DC370B"/>
    <w:rsid w:val="00DC5B90"/>
    <w:rsid w:val="00DD00F2"/>
    <w:rsid w:val="00DD00FF"/>
    <w:rsid w:val="00DD0619"/>
    <w:rsid w:val="00DD07FB"/>
    <w:rsid w:val="00DD088F"/>
    <w:rsid w:val="00DD22BD"/>
    <w:rsid w:val="00DD25C6"/>
    <w:rsid w:val="00DD54B0"/>
    <w:rsid w:val="00DD57EE"/>
    <w:rsid w:val="00DD6079"/>
    <w:rsid w:val="00DD6BCC"/>
    <w:rsid w:val="00DE0A4B"/>
    <w:rsid w:val="00DE2410"/>
    <w:rsid w:val="00DE2939"/>
    <w:rsid w:val="00DE4983"/>
    <w:rsid w:val="00DE51F0"/>
    <w:rsid w:val="00DE593D"/>
    <w:rsid w:val="00DE6E81"/>
    <w:rsid w:val="00DE7004"/>
    <w:rsid w:val="00DE703F"/>
    <w:rsid w:val="00DE7595"/>
    <w:rsid w:val="00DF15BE"/>
    <w:rsid w:val="00DF1961"/>
    <w:rsid w:val="00DF3F10"/>
    <w:rsid w:val="00DF44DE"/>
    <w:rsid w:val="00E0099D"/>
    <w:rsid w:val="00E01138"/>
    <w:rsid w:val="00E02DFB"/>
    <w:rsid w:val="00E030F9"/>
    <w:rsid w:val="00E0311A"/>
    <w:rsid w:val="00E03138"/>
    <w:rsid w:val="00E06404"/>
    <w:rsid w:val="00E1132D"/>
    <w:rsid w:val="00E11A85"/>
    <w:rsid w:val="00E11CD9"/>
    <w:rsid w:val="00E12495"/>
    <w:rsid w:val="00E13801"/>
    <w:rsid w:val="00E151CF"/>
    <w:rsid w:val="00E15CCD"/>
    <w:rsid w:val="00E202EF"/>
    <w:rsid w:val="00E210B5"/>
    <w:rsid w:val="00E2552F"/>
    <w:rsid w:val="00E26040"/>
    <w:rsid w:val="00E270C5"/>
    <w:rsid w:val="00E3137A"/>
    <w:rsid w:val="00E32CCF"/>
    <w:rsid w:val="00E33DBF"/>
    <w:rsid w:val="00E33FA0"/>
    <w:rsid w:val="00E34A98"/>
    <w:rsid w:val="00E35D1E"/>
    <w:rsid w:val="00E364F9"/>
    <w:rsid w:val="00E365FA"/>
    <w:rsid w:val="00E40C94"/>
    <w:rsid w:val="00E4265B"/>
    <w:rsid w:val="00E43E34"/>
    <w:rsid w:val="00E44591"/>
    <w:rsid w:val="00E44A83"/>
    <w:rsid w:val="00E4657E"/>
    <w:rsid w:val="00E46CC3"/>
    <w:rsid w:val="00E502C1"/>
    <w:rsid w:val="00E502DD"/>
    <w:rsid w:val="00E5098D"/>
    <w:rsid w:val="00E50D3A"/>
    <w:rsid w:val="00E51387"/>
    <w:rsid w:val="00E51E68"/>
    <w:rsid w:val="00E52EFD"/>
    <w:rsid w:val="00E5408A"/>
    <w:rsid w:val="00E54D97"/>
    <w:rsid w:val="00E55107"/>
    <w:rsid w:val="00E555F8"/>
    <w:rsid w:val="00E56800"/>
    <w:rsid w:val="00E60CD7"/>
    <w:rsid w:val="00E6201E"/>
    <w:rsid w:val="00E626D8"/>
    <w:rsid w:val="00E62FF9"/>
    <w:rsid w:val="00E635D6"/>
    <w:rsid w:val="00E639BC"/>
    <w:rsid w:val="00E664CC"/>
    <w:rsid w:val="00E70388"/>
    <w:rsid w:val="00E70C00"/>
    <w:rsid w:val="00E70F92"/>
    <w:rsid w:val="00E74C54"/>
    <w:rsid w:val="00E77A03"/>
    <w:rsid w:val="00E8035B"/>
    <w:rsid w:val="00E81BF7"/>
    <w:rsid w:val="00E81E9A"/>
    <w:rsid w:val="00E822E8"/>
    <w:rsid w:val="00E82554"/>
    <w:rsid w:val="00E82606"/>
    <w:rsid w:val="00E846C8"/>
    <w:rsid w:val="00E84957"/>
    <w:rsid w:val="00E84A55"/>
    <w:rsid w:val="00E85BFF"/>
    <w:rsid w:val="00E90391"/>
    <w:rsid w:val="00E906C2"/>
    <w:rsid w:val="00E92FE1"/>
    <w:rsid w:val="00E9311F"/>
    <w:rsid w:val="00E934D1"/>
    <w:rsid w:val="00E94AF0"/>
    <w:rsid w:val="00E95B7D"/>
    <w:rsid w:val="00E95D13"/>
    <w:rsid w:val="00E95DD3"/>
    <w:rsid w:val="00E95EF8"/>
    <w:rsid w:val="00E969D5"/>
    <w:rsid w:val="00EA58D1"/>
    <w:rsid w:val="00EA61BC"/>
    <w:rsid w:val="00EA681A"/>
    <w:rsid w:val="00EA735B"/>
    <w:rsid w:val="00EB1E69"/>
    <w:rsid w:val="00EB2086"/>
    <w:rsid w:val="00EB20F6"/>
    <w:rsid w:val="00EB5EDF"/>
    <w:rsid w:val="00EB60FE"/>
    <w:rsid w:val="00EB74DB"/>
    <w:rsid w:val="00EC286C"/>
    <w:rsid w:val="00EC4520"/>
    <w:rsid w:val="00EC5359"/>
    <w:rsid w:val="00EC562A"/>
    <w:rsid w:val="00ED067A"/>
    <w:rsid w:val="00ED2B50"/>
    <w:rsid w:val="00ED403A"/>
    <w:rsid w:val="00ED4063"/>
    <w:rsid w:val="00EE0350"/>
    <w:rsid w:val="00EE0719"/>
    <w:rsid w:val="00EE0E80"/>
    <w:rsid w:val="00EE20A2"/>
    <w:rsid w:val="00EE613F"/>
    <w:rsid w:val="00EE65C2"/>
    <w:rsid w:val="00EE7295"/>
    <w:rsid w:val="00EE7869"/>
    <w:rsid w:val="00EF054A"/>
    <w:rsid w:val="00EF28E4"/>
    <w:rsid w:val="00EF318D"/>
    <w:rsid w:val="00EF3235"/>
    <w:rsid w:val="00EF38B3"/>
    <w:rsid w:val="00EF4E0D"/>
    <w:rsid w:val="00EF530D"/>
    <w:rsid w:val="00EF7E72"/>
    <w:rsid w:val="00F040FB"/>
    <w:rsid w:val="00F053B3"/>
    <w:rsid w:val="00F06D37"/>
    <w:rsid w:val="00F06F2D"/>
    <w:rsid w:val="00F07B95"/>
    <w:rsid w:val="00F07B9D"/>
    <w:rsid w:val="00F11586"/>
    <w:rsid w:val="00F1183B"/>
    <w:rsid w:val="00F11C9F"/>
    <w:rsid w:val="00F12263"/>
    <w:rsid w:val="00F122C2"/>
    <w:rsid w:val="00F1409D"/>
    <w:rsid w:val="00F14214"/>
    <w:rsid w:val="00F146BD"/>
    <w:rsid w:val="00F157A9"/>
    <w:rsid w:val="00F22C4E"/>
    <w:rsid w:val="00F258BF"/>
    <w:rsid w:val="00F25BB6"/>
    <w:rsid w:val="00F26177"/>
    <w:rsid w:val="00F26B7E"/>
    <w:rsid w:val="00F27A3B"/>
    <w:rsid w:val="00F33817"/>
    <w:rsid w:val="00F33C8E"/>
    <w:rsid w:val="00F419B6"/>
    <w:rsid w:val="00F41D12"/>
    <w:rsid w:val="00F420D5"/>
    <w:rsid w:val="00F43AAC"/>
    <w:rsid w:val="00F451EA"/>
    <w:rsid w:val="00F45447"/>
    <w:rsid w:val="00F456C6"/>
    <w:rsid w:val="00F4577B"/>
    <w:rsid w:val="00F46496"/>
    <w:rsid w:val="00F474D0"/>
    <w:rsid w:val="00F50179"/>
    <w:rsid w:val="00F507F2"/>
    <w:rsid w:val="00F51BF9"/>
    <w:rsid w:val="00F5230A"/>
    <w:rsid w:val="00F56511"/>
    <w:rsid w:val="00F604B5"/>
    <w:rsid w:val="00F607A7"/>
    <w:rsid w:val="00F6194E"/>
    <w:rsid w:val="00F61D34"/>
    <w:rsid w:val="00F623AC"/>
    <w:rsid w:val="00F6412A"/>
    <w:rsid w:val="00F648AC"/>
    <w:rsid w:val="00F65893"/>
    <w:rsid w:val="00F6639B"/>
    <w:rsid w:val="00F667B3"/>
    <w:rsid w:val="00F66A4A"/>
    <w:rsid w:val="00F71E22"/>
    <w:rsid w:val="00F72142"/>
    <w:rsid w:val="00F72AE7"/>
    <w:rsid w:val="00F73E24"/>
    <w:rsid w:val="00F84934"/>
    <w:rsid w:val="00F84FD0"/>
    <w:rsid w:val="00F851B3"/>
    <w:rsid w:val="00F859A8"/>
    <w:rsid w:val="00F873BC"/>
    <w:rsid w:val="00F87E27"/>
    <w:rsid w:val="00F90AF4"/>
    <w:rsid w:val="00F9108B"/>
    <w:rsid w:val="00F91349"/>
    <w:rsid w:val="00F93A8A"/>
    <w:rsid w:val="00F95248"/>
    <w:rsid w:val="00F956A9"/>
    <w:rsid w:val="00F963ED"/>
    <w:rsid w:val="00F966CF"/>
    <w:rsid w:val="00F96CAE"/>
    <w:rsid w:val="00F97C99"/>
    <w:rsid w:val="00FA2535"/>
    <w:rsid w:val="00FA3FBC"/>
    <w:rsid w:val="00FA46DB"/>
    <w:rsid w:val="00FA662D"/>
    <w:rsid w:val="00FA73B1"/>
    <w:rsid w:val="00FB0CB9"/>
    <w:rsid w:val="00FB2E93"/>
    <w:rsid w:val="00FB402C"/>
    <w:rsid w:val="00FB45F1"/>
    <w:rsid w:val="00FB4A72"/>
    <w:rsid w:val="00FB54E8"/>
    <w:rsid w:val="00FB7054"/>
    <w:rsid w:val="00FC17B7"/>
    <w:rsid w:val="00FC1DD3"/>
    <w:rsid w:val="00FC2CB7"/>
    <w:rsid w:val="00FC2D0A"/>
    <w:rsid w:val="00FC4090"/>
    <w:rsid w:val="00FC55B4"/>
    <w:rsid w:val="00FC5846"/>
    <w:rsid w:val="00FD00E6"/>
    <w:rsid w:val="00FD09A1"/>
    <w:rsid w:val="00FD1D09"/>
    <w:rsid w:val="00FD2A7C"/>
    <w:rsid w:val="00FD5276"/>
    <w:rsid w:val="00FD59EB"/>
    <w:rsid w:val="00FD5F62"/>
    <w:rsid w:val="00FD6177"/>
    <w:rsid w:val="00FD7299"/>
    <w:rsid w:val="00FE1FBE"/>
    <w:rsid w:val="00FE3901"/>
    <w:rsid w:val="00FE4114"/>
    <w:rsid w:val="00FE4BCE"/>
    <w:rsid w:val="00FE54AE"/>
    <w:rsid w:val="00FE576A"/>
    <w:rsid w:val="00FE61CF"/>
    <w:rsid w:val="00FE751F"/>
    <w:rsid w:val="00FE7E79"/>
    <w:rsid w:val="00FF3E7D"/>
    <w:rsid w:val="00FF410C"/>
    <w:rsid w:val="00FF41D9"/>
    <w:rsid w:val="00FF551A"/>
    <w:rsid w:val="00FF5B99"/>
    <w:rsid w:val="00FF70FF"/>
    <w:rsid w:val="00FF730C"/>
    <w:rsid w:val="00FF73F4"/>
    <w:rsid w:val="00FF7CE4"/>
    <w:rsid w:val="00FF7E39"/>
    <w:rsid w:val="503E65E5"/>
    <w:rsid w:val="5A7D4AAC"/>
    <w:rsid w:val="5FDBA69F"/>
    <w:rsid w:val="615F5CAB"/>
    <w:rsid w:val="79CEB315"/>
    <w:rsid w:val="7FFF7C41"/>
    <w:rsid w:val="8D2F1D99"/>
    <w:rsid w:val="ABEAEE39"/>
    <w:rsid w:val="AFD77BAC"/>
    <w:rsid w:val="E3F77563"/>
    <w:rsid w:val="FC3DC787"/>
    <w:rsid w:val="FFFF6341"/>
    <w:rsid w:val="FFFFFC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240"/>
    <w:semiHidden/>
    <w:unhideWhenUsed/>
    <w:qFormat/>
    <w:uiPriority w:val="99"/>
    <w:rPr>
      <w:b/>
      <w:bCs/>
    </w:rPr>
  </w:style>
  <w:style w:type="paragraph" w:styleId="12">
    <w:name w:val="annotation text"/>
    <w:basedOn w:val="1"/>
    <w:link w:val="239"/>
    <w:unhideWhenUsed/>
    <w:qFormat/>
    <w:uiPriority w:val="99"/>
    <w:pPr>
      <w:jc w:val="left"/>
    </w:pPr>
  </w:style>
  <w:style w:type="paragraph" w:styleId="13">
    <w:name w:val="toc 7"/>
    <w:basedOn w:val="1"/>
    <w:next w:val="1"/>
    <w:unhideWhenUsed/>
    <w:qFormat/>
    <w:uiPriority w:val="39"/>
    <w:pPr>
      <w:tabs>
        <w:tab w:val="right" w:leader="dot" w:pos="9344"/>
      </w:tabs>
      <w:spacing w:line="300" w:lineRule="exact"/>
      <w:ind w:left="1259"/>
    </w:pPr>
    <w:rPr>
      <w:rFonts w:ascii="宋体"/>
    </w:rPr>
  </w:style>
  <w:style w:type="paragraph" w:styleId="14">
    <w:name w:val="Normal Indent"/>
    <w:basedOn w:val="1"/>
    <w:qFormat/>
    <w:uiPriority w:val="0"/>
    <w:pPr>
      <w:ind w:firstLine="420"/>
    </w:pPr>
  </w:style>
  <w:style w:type="paragraph" w:styleId="15">
    <w:name w:val="Body Text"/>
    <w:basedOn w:val="1"/>
    <w:link w:val="89"/>
    <w:qFormat/>
    <w:uiPriority w:val="0"/>
    <w:pPr>
      <w:spacing w:after="12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48"/>
    <w:semiHidden/>
    <w:unhideWhenUsed/>
    <w:qFormat/>
    <w:uiPriority w:val="99"/>
    <w:rPr>
      <w:sz w:val="18"/>
      <w:szCs w:val="18"/>
    </w:rPr>
  </w:style>
  <w:style w:type="paragraph" w:styleId="19">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6"/>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Title"/>
    <w:basedOn w:val="1"/>
    <w:link w:val="51"/>
    <w:qFormat/>
    <w:uiPriority w:val="0"/>
    <w:pPr>
      <w:spacing w:before="240" w:after="60"/>
      <w:jc w:val="center"/>
      <w:outlineLvl w:val="0"/>
    </w:pPr>
    <w:rPr>
      <w:rFonts w:ascii="Arial" w:hAnsi="Arial" w:cs="Arial"/>
      <w:b/>
      <w:bCs/>
      <w:sz w:val="32"/>
      <w:szCs w:val="32"/>
    </w:r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0"/>
    <w:rPr>
      <w:rFonts w:ascii="宋体" w:hAnsi="Times New Roman" w:eastAsia="宋体"/>
      <w:color w:val="auto"/>
      <w:spacing w:val="0"/>
      <w:w w:val="100"/>
      <w:position w:val="0"/>
      <w:sz w:val="21"/>
      <w:u w:val="none"/>
      <w:vertAlign w:val="baseline"/>
    </w:rPr>
  </w:style>
  <w:style w:type="character" w:styleId="33">
    <w:name w:val="annotation reference"/>
    <w:basedOn w:val="28"/>
    <w:semiHidden/>
    <w:unhideWhenUsed/>
    <w:qFormat/>
    <w:uiPriority w:val="99"/>
    <w:rPr>
      <w:sz w:val="21"/>
      <w:szCs w:val="21"/>
    </w:rPr>
  </w:style>
  <w:style w:type="character" w:styleId="34">
    <w:name w:val="footnote reference"/>
    <w:semiHidden/>
    <w:qFormat/>
    <w:uiPriority w:val="0"/>
    <w:rPr>
      <w:rFonts w:ascii="宋体" w:hAnsi="宋体" w:eastAsia="宋体" w:cs="Times New Roman"/>
      <w:spacing w:val="0"/>
      <w:sz w:val="18"/>
      <w:vertAlign w:val="superscript"/>
    </w:rPr>
  </w:style>
  <w:style w:type="table" w:styleId="36">
    <w:name w:val="Table Grid"/>
    <w:basedOn w:val="3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7">
    <w:name w:val="标题 1 Char"/>
    <w:link w:val="2"/>
    <w:qFormat/>
    <w:uiPriority w:val="0"/>
    <w:rPr>
      <w:rFonts w:ascii="Times New Roman" w:hAnsi="Times New Roman" w:eastAsia="宋体" w:cs="Times New Roman"/>
      <w:b/>
      <w:bCs/>
      <w:kern w:val="44"/>
      <w:sz w:val="44"/>
      <w:szCs w:val="44"/>
    </w:rPr>
  </w:style>
  <w:style w:type="character" w:customStyle="1" w:styleId="38">
    <w:name w:val="标题 2 Char"/>
    <w:link w:val="3"/>
    <w:qFormat/>
    <w:uiPriority w:val="0"/>
    <w:rPr>
      <w:rFonts w:ascii="Arial" w:hAnsi="Arial" w:eastAsia="黑体" w:cs="Times New Roman"/>
      <w:b/>
      <w:bCs/>
      <w:sz w:val="32"/>
      <w:szCs w:val="32"/>
    </w:rPr>
  </w:style>
  <w:style w:type="character" w:customStyle="1" w:styleId="39">
    <w:name w:val="标题 3 Char"/>
    <w:link w:val="4"/>
    <w:qFormat/>
    <w:uiPriority w:val="0"/>
    <w:rPr>
      <w:rFonts w:ascii="Times New Roman" w:hAnsi="Times New Roman" w:eastAsia="宋体" w:cs="Times New Roman"/>
      <w:b/>
      <w:bCs/>
      <w:sz w:val="32"/>
      <w:szCs w:val="32"/>
    </w:rPr>
  </w:style>
  <w:style w:type="character" w:customStyle="1" w:styleId="40">
    <w:name w:val="标题 4 Char"/>
    <w:link w:val="5"/>
    <w:qFormat/>
    <w:uiPriority w:val="0"/>
    <w:rPr>
      <w:rFonts w:ascii="Arial" w:hAnsi="Arial" w:eastAsia="黑体" w:cs="Times New Roman"/>
      <w:b/>
      <w:bCs/>
      <w:sz w:val="28"/>
      <w:szCs w:val="28"/>
    </w:rPr>
  </w:style>
  <w:style w:type="character" w:customStyle="1" w:styleId="41">
    <w:name w:val="标题 5 Char"/>
    <w:link w:val="6"/>
    <w:qFormat/>
    <w:uiPriority w:val="0"/>
    <w:rPr>
      <w:rFonts w:ascii="Times New Roman" w:hAnsi="Times New Roman" w:eastAsia="宋体" w:cs="Times New Roman"/>
      <w:b/>
      <w:bCs/>
      <w:sz w:val="28"/>
      <w:szCs w:val="28"/>
    </w:rPr>
  </w:style>
  <w:style w:type="character" w:customStyle="1" w:styleId="42">
    <w:name w:val="标题 6 Char"/>
    <w:link w:val="7"/>
    <w:qFormat/>
    <w:uiPriority w:val="0"/>
    <w:rPr>
      <w:rFonts w:ascii="Arial" w:hAnsi="Arial" w:eastAsia="黑体" w:cs="Times New Roman"/>
      <w:b/>
      <w:bCs/>
      <w:sz w:val="24"/>
      <w:szCs w:val="24"/>
    </w:rPr>
  </w:style>
  <w:style w:type="character" w:customStyle="1" w:styleId="43">
    <w:name w:val="标题 7 Char"/>
    <w:link w:val="8"/>
    <w:qFormat/>
    <w:uiPriority w:val="0"/>
    <w:rPr>
      <w:rFonts w:ascii="Times New Roman" w:hAnsi="Times New Roman" w:eastAsia="宋体" w:cs="Times New Roman"/>
      <w:b/>
      <w:bCs/>
      <w:sz w:val="24"/>
      <w:szCs w:val="24"/>
    </w:rPr>
  </w:style>
  <w:style w:type="character" w:customStyle="1" w:styleId="44">
    <w:name w:val="标题 8 Char"/>
    <w:link w:val="9"/>
    <w:qFormat/>
    <w:uiPriority w:val="0"/>
    <w:rPr>
      <w:rFonts w:ascii="Arial" w:hAnsi="Arial" w:eastAsia="黑体" w:cs="Times New Roman"/>
      <w:sz w:val="24"/>
      <w:szCs w:val="24"/>
    </w:rPr>
  </w:style>
  <w:style w:type="character" w:customStyle="1" w:styleId="45">
    <w:name w:val="标题 9 Char"/>
    <w:link w:val="10"/>
    <w:qFormat/>
    <w:uiPriority w:val="0"/>
    <w:rPr>
      <w:rFonts w:ascii="Arial" w:hAnsi="Arial" w:eastAsia="黑体" w:cs="Times New Roman"/>
      <w:szCs w:val="21"/>
    </w:rPr>
  </w:style>
  <w:style w:type="character" w:customStyle="1" w:styleId="46">
    <w:name w:val="页眉 Char"/>
    <w:link w:val="20"/>
    <w:qFormat/>
    <w:uiPriority w:val="99"/>
    <w:rPr>
      <w:rFonts w:ascii="Times New Roman" w:hAnsi="Times New Roman" w:eastAsia="宋体" w:cs="Times New Roman"/>
      <w:sz w:val="18"/>
      <w:szCs w:val="18"/>
    </w:rPr>
  </w:style>
  <w:style w:type="character" w:customStyle="1" w:styleId="47">
    <w:name w:val="页脚 Char"/>
    <w:link w:val="19"/>
    <w:qFormat/>
    <w:uiPriority w:val="99"/>
    <w:rPr>
      <w:rFonts w:ascii="宋体" w:hAnsi="Times New Roman" w:eastAsia="宋体" w:cs="Times New Roman"/>
      <w:sz w:val="18"/>
      <w:szCs w:val="18"/>
    </w:rPr>
  </w:style>
  <w:style w:type="character" w:customStyle="1" w:styleId="48">
    <w:name w:val="批注框文本 Char"/>
    <w:link w:val="18"/>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Char"/>
    <w:link w:val="49"/>
    <w:qFormat/>
    <w:uiPriority w:val="29"/>
    <w:rPr>
      <w:i/>
      <w:iCs/>
      <w:color w:val="000000"/>
    </w:rPr>
  </w:style>
  <w:style w:type="character" w:customStyle="1" w:styleId="51">
    <w:name w:val="标题 Char"/>
    <w:link w:val="27"/>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5"/>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5"/>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ind w:left="0" w:firstLine="200"/>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3"/>
    <w:semiHidden/>
    <w:qFormat/>
    <w:uiPriority w:val="0"/>
    <w:rPr>
      <w:rFonts w:ascii="宋体" w:hAnsi="Times New Roman" w:eastAsia="宋体" w:cs="Times New Roman"/>
      <w:sz w:val="18"/>
      <w:szCs w:val="18"/>
    </w:rPr>
  </w:style>
  <w:style w:type="paragraph" w:customStyle="1" w:styleId="103">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Lines="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Lines="0" w:afterLines="0"/>
      <w:outlineLvl w:val="9"/>
    </w:pPr>
    <w:rPr>
      <w:rFonts w:ascii="宋体" w:eastAsia="宋体"/>
    </w:rPr>
  </w:style>
  <w:style w:type="paragraph" w:customStyle="1" w:styleId="166">
    <w:name w:val="标准文件_五级无标题"/>
    <w:basedOn w:val="106"/>
    <w:qFormat/>
    <w:uiPriority w:val="0"/>
    <w:pPr>
      <w:spacing w:beforeLines="0" w:afterLines="0"/>
      <w:outlineLvl w:val="9"/>
    </w:pPr>
    <w:rPr>
      <w:rFonts w:ascii="宋体" w:eastAsia="宋体"/>
    </w:rPr>
  </w:style>
  <w:style w:type="paragraph" w:customStyle="1" w:styleId="167">
    <w:name w:val="标准文件_三级无标题"/>
    <w:basedOn w:val="97"/>
    <w:qFormat/>
    <w:uiPriority w:val="0"/>
    <w:pPr>
      <w:spacing w:beforeLines="0" w:afterLines="0"/>
      <w:outlineLvl w:val="9"/>
    </w:pPr>
    <w:rPr>
      <w:rFonts w:ascii="宋体" w:eastAsia="宋体"/>
    </w:rPr>
  </w:style>
  <w:style w:type="paragraph" w:customStyle="1" w:styleId="168">
    <w:name w:val="标准文件_二级无标题"/>
    <w:basedOn w:val="68"/>
    <w:qFormat/>
    <w:uiPriority w:val="0"/>
    <w:pPr>
      <w:spacing w:beforeLines="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Lines="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28"/>
    <w:semiHidden/>
    <w:qFormat/>
    <w:uiPriority w:val="99"/>
    <w:rPr>
      <w:color w:val="808080"/>
    </w:rPr>
  </w:style>
  <w:style w:type="paragraph" w:customStyle="1" w:styleId="190">
    <w:name w:val="标准文件_二级项2"/>
    <w:basedOn w:val="59"/>
    <w:qFormat/>
    <w:uiPriority w:val="0"/>
    <w:pPr>
      <w:numPr>
        <w:ilvl w:val="1"/>
        <w:numId w:val="21"/>
      </w:numPr>
      <w:ind w:left="1271" w:hanging="420" w:firstLineChars="0"/>
    </w:pPr>
  </w:style>
  <w:style w:type="paragraph" w:customStyle="1" w:styleId="191">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28"/>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vAnchor="page" w:hAnchor="page" w:x="1419" w:y="14097"/>
    </w:pPr>
  </w:style>
  <w:style w:type="paragraph" w:customStyle="1" w:styleId="197">
    <w:name w:val="其他实施日期"/>
    <w:basedOn w:val="157"/>
    <w:qFormat/>
    <w:uiPriority w:val="0"/>
    <w:pPr>
      <w:framePr w:w="3997" w:h="471" w:hRule="exact" w:vSpace="181" w:vAnchor="page" w:hAnchor="page" w:x="7089" w:y="14097"/>
    </w:pPr>
  </w:style>
  <w:style w:type="paragraph" w:customStyle="1" w:styleId="198">
    <w:name w:val="标准文件_文件编号"/>
    <w:basedOn w:val="59"/>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Lines="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Lines="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Lines="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Lines="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Lines="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Lines="0" w:afterLines="0" w:line="276" w:lineRule="auto"/>
      <w:outlineLvl w:val="9"/>
    </w:pPr>
    <w:rPr>
      <w:rFonts w:ascii="宋体" w:eastAsia="宋体"/>
    </w:rPr>
  </w:style>
  <w:style w:type="paragraph" w:customStyle="1" w:styleId="215">
    <w:name w:val="标准文件_附录二级无标题"/>
    <w:basedOn w:val="82"/>
    <w:qFormat/>
    <w:uiPriority w:val="0"/>
    <w:pPr>
      <w:spacing w:beforeLines="0" w:afterLines="0" w:line="276" w:lineRule="auto"/>
      <w:outlineLvl w:val="9"/>
    </w:pPr>
    <w:rPr>
      <w:rFonts w:ascii="宋体" w:eastAsia="宋体"/>
    </w:rPr>
  </w:style>
  <w:style w:type="paragraph" w:customStyle="1" w:styleId="216">
    <w:name w:val="标准文件_附录三级无标题"/>
    <w:basedOn w:val="84"/>
    <w:qFormat/>
    <w:uiPriority w:val="0"/>
    <w:pPr>
      <w:spacing w:beforeLines="0" w:afterLines="0" w:line="276" w:lineRule="auto"/>
      <w:outlineLvl w:val="9"/>
    </w:pPr>
    <w:rPr>
      <w:rFonts w:ascii="宋体" w:eastAsia="宋体"/>
    </w:rPr>
  </w:style>
  <w:style w:type="paragraph" w:customStyle="1" w:styleId="217">
    <w:name w:val="标准文件_附录四级无标题"/>
    <w:basedOn w:val="85"/>
    <w:qFormat/>
    <w:uiPriority w:val="0"/>
    <w:pPr>
      <w:spacing w:beforeLines="0" w:afterLines="0" w:line="276" w:lineRule="auto"/>
      <w:outlineLvl w:val="9"/>
    </w:pPr>
    <w:rPr>
      <w:rFonts w:ascii="宋体" w:eastAsia="宋体"/>
    </w:rPr>
  </w:style>
  <w:style w:type="paragraph" w:customStyle="1" w:styleId="218">
    <w:name w:val="标准文件_附录五级无标题"/>
    <w:basedOn w:val="87"/>
    <w:qFormat/>
    <w:uiPriority w:val="0"/>
    <w:pPr>
      <w:spacing w:beforeLines="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Lines="0" w:afterLines="0" w:line="276" w:lineRule="auto"/>
    </w:pPr>
    <w:rPr>
      <w:rFonts w:ascii="宋体" w:eastAsia="宋体"/>
    </w:rPr>
  </w:style>
  <w:style w:type="paragraph" w:customStyle="1" w:styleId="220">
    <w:name w:val="标准文件_引言二级无标题"/>
    <w:basedOn w:val="204"/>
    <w:next w:val="59"/>
    <w:qFormat/>
    <w:uiPriority w:val="0"/>
    <w:pPr>
      <w:spacing w:beforeLines="0" w:afterLines="0" w:line="276" w:lineRule="auto"/>
    </w:pPr>
    <w:rPr>
      <w:rFonts w:ascii="宋体" w:eastAsia="宋体"/>
    </w:rPr>
  </w:style>
  <w:style w:type="paragraph" w:customStyle="1" w:styleId="221">
    <w:name w:val="标准文件_引言三级无标题"/>
    <w:basedOn w:val="205"/>
    <w:qFormat/>
    <w:uiPriority w:val="0"/>
    <w:pPr>
      <w:spacing w:beforeLines="0" w:afterLines="0" w:line="276" w:lineRule="auto"/>
    </w:pPr>
    <w:rPr>
      <w:rFonts w:ascii="宋体" w:eastAsia="宋体"/>
    </w:rPr>
  </w:style>
  <w:style w:type="paragraph" w:customStyle="1" w:styleId="222">
    <w:name w:val="标准文件_引言四级无标题"/>
    <w:basedOn w:val="206"/>
    <w:next w:val="59"/>
    <w:qFormat/>
    <w:uiPriority w:val="0"/>
    <w:pPr>
      <w:spacing w:beforeLines="0" w:afterLines="0" w:line="276" w:lineRule="auto"/>
    </w:pPr>
    <w:rPr>
      <w:rFonts w:ascii="宋体" w:eastAsia="宋体"/>
    </w:rPr>
  </w:style>
  <w:style w:type="paragraph" w:customStyle="1" w:styleId="223">
    <w:name w:val="标准文件_引言五级无标题"/>
    <w:basedOn w:val="207"/>
    <w:next w:val="59"/>
    <w:qFormat/>
    <w:uiPriority w:val="0"/>
    <w:pPr>
      <w:spacing w:beforeLines="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2">
    <w:name w:val="段"/>
    <w:link w:val="23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3">
    <w:name w:val="段 Char"/>
    <w:link w:val="232"/>
    <w:qFormat/>
    <w:uiPriority w:val="0"/>
    <w:rPr>
      <w:rFonts w:ascii="宋体" w:hAnsi="Times New Roman"/>
      <w:sz w:val="21"/>
    </w:rPr>
  </w:style>
  <w:style w:type="paragraph" w:customStyle="1" w:styleId="234">
    <w:name w:val="正文表标题"/>
    <w:next w:val="232"/>
    <w:qFormat/>
    <w:uiPriority w:val="0"/>
    <w:pPr>
      <w:spacing w:beforeLines="50" w:afterLines="50"/>
      <w:jc w:val="center"/>
    </w:pPr>
    <w:rPr>
      <w:rFonts w:ascii="黑体" w:hAnsi="Times New Roman" w:eastAsia="黑体" w:cs="Times New Roman"/>
      <w:sz w:val="21"/>
      <w:lang w:val="en-US" w:eastAsia="zh-CN" w:bidi="ar-SA"/>
    </w:rPr>
  </w:style>
  <w:style w:type="paragraph" w:customStyle="1" w:styleId="23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36">
    <w:name w:val="附录章标题"/>
    <w:next w:val="232"/>
    <w:qFormat/>
    <w:uiPriority w:val="0"/>
    <w:pPr>
      <w:wordWrap w:val="0"/>
      <w:overflowPunct w:val="0"/>
      <w:autoSpaceDE w:val="0"/>
      <w:spacing w:beforeLines="100" w:afterLines="100"/>
      <w:jc w:val="both"/>
      <w:outlineLvl w:val="1"/>
    </w:pPr>
    <w:rPr>
      <w:rFonts w:ascii="黑体" w:hAnsi="Times New Roman" w:eastAsia="黑体" w:cs="Times New Roman"/>
      <w:kern w:val="21"/>
      <w:sz w:val="21"/>
      <w:lang w:val="en-US" w:eastAsia="zh-CN" w:bidi="ar-SA"/>
    </w:rPr>
  </w:style>
  <w:style w:type="paragraph" w:customStyle="1" w:styleId="237">
    <w:name w:val="附录图标号"/>
    <w:basedOn w:val="1"/>
    <w:qFormat/>
    <w:uiPriority w:val="0"/>
    <w:pPr>
      <w:keepNext/>
      <w:pageBreakBefore/>
      <w:widowControl/>
      <w:numPr>
        <w:ilvl w:val="0"/>
        <w:numId w:val="32"/>
      </w:numPr>
      <w:adjustRightInd/>
      <w:spacing w:line="14" w:lineRule="exact"/>
      <w:ind w:left="0" w:firstLine="363"/>
      <w:jc w:val="center"/>
      <w:outlineLvl w:val="0"/>
    </w:pPr>
    <w:rPr>
      <w:rFonts w:ascii="Times New Roman" w:hAnsi="Times New Roman"/>
      <w:color w:val="FFFFFF"/>
      <w:szCs w:val="24"/>
    </w:rPr>
  </w:style>
  <w:style w:type="paragraph" w:customStyle="1" w:styleId="238">
    <w:name w:val="附录图标题"/>
    <w:basedOn w:val="1"/>
    <w:next w:val="232"/>
    <w:qFormat/>
    <w:uiPriority w:val="0"/>
    <w:pPr>
      <w:numPr>
        <w:ilvl w:val="1"/>
        <w:numId w:val="32"/>
      </w:numPr>
      <w:tabs>
        <w:tab w:val="left" w:pos="363"/>
      </w:tabs>
      <w:adjustRightInd/>
      <w:spacing w:beforeLines="50" w:afterLines="50" w:line="240" w:lineRule="auto"/>
      <w:ind w:left="0" w:firstLine="0"/>
      <w:jc w:val="center"/>
    </w:pPr>
    <w:rPr>
      <w:rFonts w:ascii="黑体" w:hAnsi="Times New Roman" w:eastAsia="黑体"/>
    </w:rPr>
  </w:style>
  <w:style w:type="character" w:customStyle="1" w:styleId="239">
    <w:name w:val="批注文字 Char"/>
    <w:basedOn w:val="28"/>
    <w:link w:val="12"/>
    <w:qFormat/>
    <w:uiPriority w:val="99"/>
    <w:rPr>
      <w:kern w:val="2"/>
      <w:sz w:val="21"/>
      <w:szCs w:val="21"/>
    </w:rPr>
  </w:style>
  <w:style w:type="character" w:customStyle="1" w:styleId="240">
    <w:name w:val="批注主题 Char"/>
    <w:basedOn w:val="239"/>
    <w:link w:val="11"/>
    <w:semiHidden/>
    <w:qFormat/>
    <w:uiPriority w:val="99"/>
    <w:rPr>
      <w:b/>
      <w:bCs/>
      <w:kern w:val="2"/>
      <w:sz w:val="21"/>
      <w:szCs w:val="21"/>
    </w:rPr>
  </w:style>
  <w:style w:type="character" w:customStyle="1" w:styleId="241">
    <w:name w:val="fontstyle01"/>
    <w:basedOn w:val="28"/>
    <w:qFormat/>
    <w:uiPriority w:val="0"/>
    <w:rPr>
      <w:rFonts w:hint="eastAsia" w:ascii="黑体" w:hAnsi="黑体" w:eastAsia="黑体"/>
      <w:color w:val="000000"/>
      <w:sz w:val="22"/>
      <w:szCs w:val="22"/>
    </w:rPr>
  </w:style>
  <w:style w:type="paragraph" w:styleId="242">
    <w:name w:val="List Paragraph"/>
    <w:basedOn w:val="1"/>
    <w:qFormat/>
    <w:uiPriority w:val="34"/>
    <w:pPr>
      <w:ind w:firstLine="420" w:firstLineChars="200"/>
    </w:pPr>
  </w:style>
  <w:style w:type="paragraph" w:customStyle="1" w:styleId="243">
    <w:name w:val="修订1"/>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jpe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kylin\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7DAF2DDBB73415AB37FFF57087DF4F3"/>
        <w:style w:val=""/>
        <w:category>
          <w:name w:val="常规"/>
          <w:gallery w:val="placeholder"/>
        </w:category>
        <w:types>
          <w:type w:val="bbPlcHdr"/>
        </w:types>
        <w:behaviors>
          <w:behavior w:val="content"/>
        </w:behaviors>
        <w:description w:val=""/>
        <w:guid w:val="{6092B9E3-0D98-46C2-8B79-C2E913622DE3}"/>
      </w:docPartPr>
      <w:docPartBody>
        <w:p>
          <w:pPr>
            <w:pStyle w:val="5"/>
          </w:pPr>
          <w:r>
            <w:rPr>
              <w:rStyle w:val="4"/>
              <w:rFonts w:hint="eastAsia"/>
            </w:rPr>
            <w:t>单击或点击此处输入文字。</w:t>
          </w:r>
        </w:p>
      </w:docPartBody>
    </w:docPart>
    <w:docPart>
      <w:docPartPr>
        <w:name w:val="FC3E7CDDF51D4DED941C17631BC36373"/>
        <w:style w:val=""/>
        <w:category>
          <w:name w:val="常规"/>
          <w:gallery w:val="placeholder"/>
        </w:category>
        <w:types>
          <w:type w:val="bbPlcHdr"/>
        </w:types>
        <w:behaviors>
          <w:behavior w:val="content"/>
        </w:behaviors>
        <w:description w:val=""/>
        <w:guid w:val="{4D931737-8E78-4A6F-BB48-36A4015DE4CF}"/>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17A68"/>
    <w:rsid w:val="000058E8"/>
    <w:rsid w:val="00023991"/>
    <w:rsid w:val="00035CE3"/>
    <w:rsid w:val="00041AEC"/>
    <w:rsid w:val="0006214B"/>
    <w:rsid w:val="00084DCB"/>
    <w:rsid w:val="00085AEB"/>
    <w:rsid w:val="0009499C"/>
    <w:rsid w:val="000C1D4A"/>
    <w:rsid w:val="00101269"/>
    <w:rsid w:val="0011584A"/>
    <w:rsid w:val="00145571"/>
    <w:rsid w:val="00173380"/>
    <w:rsid w:val="001C21EA"/>
    <w:rsid w:val="001D536E"/>
    <w:rsid w:val="00201764"/>
    <w:rsid w:val="0020700F"/>
    <w:rsid w:val="0024700B"/>
    <w:rsid w:val="00270786"/>
    <w:rsid w:val="00295ABF"/>
    <w:rsid w:val="002B6A13"/>
    <w:rsid w:val="002B6BE2"/>
    <w:rsid w:val="002C2596"/>
    <w:rsid w:val="002E1FBD"/>
    <w:rsid w:val="003564B8"/>
    <w:rsid w:val="00381A74"/>
    <w:rsid w:val="003A295F"/>
    <w:rsid w:val="0041405B"/>
    <w:rsid w:val="004543BF"/>
    <w:rsid w:val="00463F43"/>
    <w:rsid w:val="004A7C61"/>
    <w:rsid w:val="004B1A9C"/>
    <w:rsid w:val="004B4197"/>
    <w:rsid w:val="004B433E"/>
    <w:rsid w:val="0050501E"/>
    <w:rsid w:val="00510DEA"/>
    <w:rsid w:val="00517A68"/>
    <w:rsid w:val="0052756B"/>
    <w:rsid w:val="005526EE"/>
    <w:rsid w:val="00586295"/>
    <w:rsid w:val="0059157B"/>
    <w:rsid w:val="005C71E9"/>
    <w:rsid w:val="005E23C0"/>
    <w:rsid w:val="00607A29"/>
    <w:rsid w:val="00620157"/>
    <w:rsid w:val="006542CA"/>
    <w:rsid w:val="00657F4B"/>
    <w:rsid w:val="00683DE8"/>
    <w:rsid w:val="006A3023"/>
    <w:rsid w:val="006B0F56"/>
    <w:rsid w:val="0072186F"/>
    <w:rsid w:val="007316FA"/>
    <w:rsid w:val="007819C2"/>
    <w:rsid w:val="007826C1"/>
    <w:rsid w:val="007A3E5E"/>
    <w:rsid w:val="007A7488"/>
    <w:rsid w:val="007C1C37"/>
    <w:rsid w:val="007D05CF"/>
    <w:rsid w:val="007F582F"/>
    <w:rsid w:val="00800BC7"/>
    <w:rsid w:val="00813902"/>
    <w:rsid w:val="00817B36"/>
    <w:rsid w:val="00843C10"/>
    <w:rsid w:val="0085328C"/>
    <w:rsid w:val="008562CA"/>
    <w:rsid w:val="00865278"/>
    <w:rsid w:val="00870CCB"/>
    <w:rsid w:val="00892874"/>
    <w:rsid w:val="008929C3"/>
    <w:rsid w:val="008943CA"/>
    <w:rsid w:val="008B3AF5"/>
    <w:rsid w:val="008D35F0"/>
    <w:rsid w:val="008E2C83"/>
    <w:rsid w:val="008E526D"/>
    <w:rsid w:val="009017A5"/>
    <w:rsid w:val="00904126"/>
    <w:rsid w:val="009460E3"/>
    <w:rsid w:val="00981D10"/>
    <w:rsid w:val="009838C0"/>
    <w:rsid w:val="00984865"/>
    <w:rsid w:val="009A212A"/>
    <w:rsid w:val="009A243D"/>
    <w:rsid w:val="009A39CA"/>
    <w:rsid w:val="009B0818"/>
    <w:rsid w:val="009B36E4"/>
    <w:rsid w:val="009B49AC"/>
    <w:rsid w:val="009F435B"/>
    <w:rsid w:val="009F7DD6"/>
    <w:rsid w:val="00A07836"/>
    <w:rsid w:val="00A23F4F"/>
    <w:rsid w:val="00A92562"/>
    <w:rsid w:val="00AB19DA"/>
    <w:rsid w:val="00AB2FB7"/>
    <w:rsid w:val="00AB3CB6"/>
    <w:rsid w:val="00B00043"/>
    <w:rsid w:val="00B679A0"/>
    <w:rsid w:val="00BB6A12"/>
    <w:rsid w:val="00BE65F9"/>
    <w:rsid w:val="00BF1E96"/>
    <w:rsid w:val="00C33083"/>
    <w:rsid w:val="00C56A2F"/>
    <w:rsid w:val="00C91490"/>
    <w:rsid w:val="00C9665B"/>
    <w:rsid w:val="00CC32C4"/>
    <w:rsid w:val="00D06A02"/>
    <w:rsid w:val="00D1133A"/>
    <w:rsid w:val="00D30564"/>
    <w:rsid w:val="00D37D8F"/>
    <w:rsid w:val="00DA49AC"/>
    <w:rsid w:val="00DC4193"/>
    <w:rsid w:val="00DF6262"/>
    <w:rsid w:val="00E026E2"/>
    <w:rsid w:val="00E4411E"/>
    <w:rsid w:val="00E74369"/>
    <w:rsid w:val="00E7517F"/>
    <w:rsid w:val="00E76ABB"/>
    <w:rsid w:val="00E7795B"/>
    <w:rsid w:val="00E92A57"/>
    <w:rsid w:val="00EA548F"/>
    <w:rsid w:val="00EE554D"/>
    <w:rsid w:val="00F06563"/>
    <w:rsid w:val="00F072D2"/>
    <w:rsid w:val="00F20FD4"/>
    <w:rsid w:val="00F50FC8"/>
    <w:rsid w:val="00F51AED"/>
    <w:rsid w:val="00F52DAF"/>
    <w:rsid w:val="00F547FE"/>
    <w:rsid w:val="00F61ADE"/>
    <w:rsid w:val="00F665B8"/>
    <w:rsid w:val="00F66731"/>
    <w:rsid w:val="00F93CA3"/>
    <w:rsid w:val="00FC27D8"/>
    <w:rsid w:val="00FD5BA4"/>
    <w:rsid w:val="00FD5DCC"/>
    <w:rsid w:val="00FE1C81"/>
    <w:rsid w:val="00FE4A70"/>
    <w:rsid w:val="00FF32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7DAF2DDBB73415AB37FFF57087DF4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C3E7CDDF51D4DED941C17631BC3637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国家标准</Template>
  <Company>PCMI</Company>
  <Pages>1</Pages>
  <Words>3712</Words>
  <Characters>21163</Characters>
  <Lines>176</Lines>
  <Paragraphs>49</Paragraphs>
  <TotalTime>0</TotalTime>
  <ScaleCrop>false</ScaleCrop>
  <LinksUpToDate>false</LinksUpToDate>
  <CharactersWithSpaces>24826</CharactersWithSpaces>
  <Application>WPS Office_10.8.2.7059_F1E327BC-269C-435d-A152-05C5408002CA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2021-05-27T23:16:00Z</dcterms:created>
  <dc:creator>季国田</dc:creator>
  <dc:description>&lt;config cover="true" show_menu="true" version="1.0.0" doctype="SDKXY"&gt;_x000d_
&lt;/config&gt;</dc:description>
  <cp:lastModifiedBy>Zhu</cp:lastModifiedBy>
  <cp:lastPrinted>2021-07-26T18:53:00Z</cp:lastPrinted>
  <dcterms:modified xsi:type="dcterms:W3CDTF">2021-11-10T06:19:49Z</dcterms:modified>
  <dc:title>国家标准</dc:title>
  <cp:revision>372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2052-10.8.2.7059</vt:lpwstr>
  </property>
</Properties>
</file>