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240" w:lineRule="auto"/>
        <w:ind w:firstLine="0" w:firstLineChars="0"/>
        <w:jc w:val="center"/>
        <w:outlineLvl w:val="0"/>
        <w:rPr>
          <w:rFonts w:ascii="黑体" w:hAnsi="黑体" w:eastAsia="黑体"/>
          <w:color w:val="000000" w:themeColor="text1"/>
          <w:kern w:val="0"/>
          <w:sz w:val="32"/>
          <w:szCs w:val="32"/>
          <w14:textFill>
            <w14:solidFill>
              <w14:schemeClr w14:val="tx1"/>
            </w14:solidFill>
          </w14:textFill>
        </w:rPr>
      </w:pPr>
      <w:bookmarkStart w:id="0" w:name="_Toc28374"/>
      <w:bookmarkStart w:id="1" w:name="_Toc36212235"/>
      <w:bookmarkStart w:id="2" w:name="_Toc28417"/>
      <w:bookmarkStart w:id="3" w:name="_Toc30310"/>
      <w:bookmarkStart w:id="4" w:name="_Toc64898472"/>
      <w:r>
        <w:rPr>
          <w:rFonts w:hint="eastAsia" w:ascii="黑体" w:hAnsi="黑体" w:eastAsia="黑体" w:cs="宋体"/>
          <w:color w:val="000000" w:themeColor="text1"/>
          <w:kern w:val="0"/>
          <w:sz w:val="32"/>
          <w:szCs w:val="32"/>
          <w14:textFill>
            <w14:solidFill>
              <w14:schemeClr w14:val="tx1"/>
            </w14:solidFill>
          </w14:textFill>
        </w:rPr>
        <w:t>《商用车驾驶室外部凸出物》</w:t>
      </w:r>
      <w:bookmarkEnd w:id="0"/>
      <w:bookmarkEnd w:id="1"/>
      <w:bookmarkEnd w:id="2"/>
      <w:bookmarkEnd w:id="3"/>
      <w:bookmarkEnd w:id="4"/>
      <w:bookmarkStart w:id="5" w:name="_Toc64898473"/>
      <w:bookmarkStart w:id="6" w:name="_Toc14803"/>
      <w:bookmarkStart w:id="7" w:name="_Toc36212236"/>
      <w:bookmarkStart w:id="8" w:name="_Toc4815"/>
      <w:bookmarkStart w:id="9" w:name="_Toc21854"/>
      <w:r>
        <w:rPr>
          <w:rFonts w:ascii="黑体" w:hAnsi="黑体" w:eastAsia="黑体"/>
          <w:color w:val="000000" w:themeColor="text1"/>
          <w:kern w:val="0"/>
          <w:sz w:val="32"/>
          <w:szCs w:val="32"/>
          <w14:textFill>
            <w14:solidFill>
              <w14:schemeClr w14:val="tx1"/>
            </w14:solidFill>
          </w14:textFill>
        </w:rPr>
        <w:t>（</w:t>
      </w:r>
      <w:r>
        <w:rPr>
          <w:rFonts w:hint="eastAsia" w:ascii="黑体" w:hAnsi="黑体" w:eastAsia="黑体"/>
          <w:color w:val="000000" w:themeColor="text1"/>
          <w:kern w:val="0"/>
          <w:sz w:val="32"/>
          <w:szCs w:val="32"/>
          <w14:textFill>
            <w14:solidFill>
              <w14:schemeClr w14:val="tx1"/>
            </w14:solidFill>
          </w14:textFill>
        </w:rPr>
        <w:t>征求意见稿</w:t>
      </w:r>
      <w:r>
        <w:rPr>
          <w:rFonts w:ascii="黑体" w:hAnsi="黑体" w:eastAsia="黑体"/>
          <w:color w:val="000000" w:themeColor="text1"/>
          <w:kern w:val="0"/>
          <w:sz w:val="32"/>
          <w:szCs w:val="32"/>
          <w14:textFill>
            <w14:solidFill>
              <w14:schemeClr w14:val="tx1"/>
            </w14:solidFill>
          </w14:textFill>
        </w:rPr>
        <w:t>）</w:t>
      </w:r>
      <w:bookmarkEnd w:id="5"/>
      <w:bookmarkEnd w:id="6"/>
      <w:bookmarkEnd w:id="7"/>
      <w:bookmarkEnd w:id="8"/>
      <w:bookmarkEnd w:id="9"/>
    </w:p>
    <w:p>
      <w:pPr>
        <w:autoSpaceDE w:val="0"/>
        <w:autoSpaceDN w:val="0"/>
        <w:adjustRightInd w:val="0"/>
        <w:spacing w:line="240" w:lineRule="auto"/>
        <w:ind w:firstLine="0" w:firstLineChars="0"/>
        <w:jc w:val="center"/>
        <w:outlineLvl w:val="0"/>
        <w:rPr>
          <w:rFonts w:ascii="黑体" w:hAnsi="黑体" w:eastAsia="黑体" w:cs="宋体"/>
          <w:color w:val="000000" w:themeColor="text1"/>
          <w:kern w:val="0"/>
          <w:sz w:val="32"/>
          <w:szCs w:val="32"/>
          <w14:textFill>
            <w14:solidFill>
              <w14:schemeClr w14:val="tx1"/>
            </w14:solidFill>
          </w14:textFill>
        </w:rPr>
      </w:pPr>
      <w:bookmarkStart w:id="10" w:name="_Toc31546"/>
      <w:bookmarkStart w:id="11" w:name="_Toc30226"/>
      <w:bookmarkStart w:id="12" w:name="_Toc64898474"/>
      <w:bookmarkStart w:id="13" w:name="_Toc36212237"/>
      <w:bookmarkStart w:id="14" w:name="_Toc8137"/>
      <w:r>
        <w:rPr>
          <w:rFonts w:hint="eastAsia" w:ascii="黑体" w:hAnsi="黑体" w:eastAsia="黑体" w:cs="宋体"/>
          <w:color w:val="000000" w:themeColor="text1"/>
          <w:kern w:val="0"/>
          <w:sz w:val="32"/>
          <w:szCs w:val="32"/>
          <w14:textFill>
            <w14:solidFill>
              <w14:schemeClr w14:val="tx1"/>
            </w14:solidFill>
          </w14:textFill>
        </w:rPr>
        <w:t>编制说明</w:t>
      </w:r>
      <w:bookmarkEnd w:id="10"/>
      <w:bookmarkEnd w:id="11"/>
      <w:bookmarkEnd w:id="12"/>
      <w:bookmarkEnd w:id="13"/>
      <w:bookmarkEnd w:id="14"/>
    </w:p>
    <w:p>
      <w:pPr>
        <w:numPr>
          <w:ilvl w:val="0"/>
          <w:numId w:val="2"/>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themeColor="text1"/>
          <w:kern w:val="0"/>
          <w:sz w:val="24"/>
          <w14:textFill>
            <w14:solidFill>
              <w14:schemeClr w14:val="tx1"/>
            </w14:solidFill>
          </w14:textFill>
        </w:rPr>
      </w:pPr>
      <w:bookmarkStart w:id="15" w:name="_Toc64898475"/>
      <w:bookmarkStart w:id="16" w:name="_Toc733"/>
      <w:bookmarkStart w:id="17" w:name="_Toc7124"/>
      <w:bookmarkStart w:id="18" w:name="_Toc36212238"/>
      <w:bookmarkStart w:id="19" w:name="_Hlk64896381"/>
      <w:r>
        <w:rPr>
          <w:rFonts w:hint="eastAsia" w:ascii="黑体" w:hAnsi="黑体" w:eastAsia="黑体" w:cs="宋体"/>
          <w:bCs/>
          <w:color w:val="000000" w:themeColor="text1"/>
          <w:kern w:val="0"/>
          <w:sz w:val="24"/>
          <w14:textFill>
            <w14:solidFill>
              <w14:schemeClr w14:val="tx1"/>
            </w14:solidFill>
          </w14:textFill>
        </w:rPr>
        <w:t>工作简况</w:t>
      </w:r>
      <w:bookmarkEnd w:id="15"/>
      <w:bookmarkEnd w:id="16"/>
      <w:bookmarkEnd w:id="17"/>
      <w:bookmarkEnd w:id="18"/>
    </w:p>
    <w:p>
      <w:pPr>
        <w:shd w:val="clear" w:color="auto" w:fill="FFFFFF"/>
        <w:spacing w:before="156" w:beforeLines="50" w:after="156" w:afterLines="50" w:line="400" w:lineRule="exact"/>
        <w:ind w:firstLine="422"/>
        <w:rPr>
          <w:rFonts w:ascii="黑体" w:hAnsi="黑体" w:eastAsia="黑体" w:cs="宋体"/>
          <w:b/>
          <w:bCs/>
          <w:color w:val="000000" w:themeColor="text1"/>
          <w:szCs w:val="21"/>
          <w14:textFill>
            <w14:solidFill>
              <w14:schemeClr w14:val="tx1"/>
            </w14:solidFill>
          </w14:textFill>
        </w:rPr>
      </w:pPr>
      <w:bookmarkStart w:id="20" w:name="_Toc64898476"/>
      <w:r>
        <w:rPr>
          <w:rFonts w:hint="eastAsia" w:ascii="黑体" w:hAnsi="黑体" w:eastAsia="黑体" w:cs="宋体"/>
          <w:b/>
          <w:bCs/>
          <w:color w:val="000000" w:themeColor="text1"/>
          <w:szCs w:val="21"/>
          <w14:textFill>
            <w14:solidFill>
              <w14:schemeClr w14:val="tx1"/>
            </w14:solidFill>
          </w14:textFill>
        </w:rPr>
        <w:t>1、任务来源</w:t>
      </w:r>
    </w:p>
    <w:p>
      <w:pPr>
        <w:shd w:val="clear" w:color="auto" w:fill="FFFFFF"/>
        <w:spacing w:line="400" w:lineRule="exact"/>
        <w:ind w:firstLine="420"/>
        <w:rPr>
          <w:rFonts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GB 20182－20</w:t>
      </w:r>
      <w:r>
        <w:rPr>
          <w:rFonts w:ascii="宋体" w:hAnsi="宋体" w:cs="Arial"/>
          <w:color w:val="000000" w:themeColor="text1"/>
          <w:szCs w:val="21"/>
          <w14:textFill>
            <w14:solidFill>
              <w14:schemeClr w14:val="tx1"/>
            </w14:solidFill>
          </w14:textFill>
        </w:rPr>
        <w:t>0</w:t>
      </w:r>
      <w:r>
        <w:rPr>
          <w:rFonts w:hint="eastAsia" w:ascii="宋体" w:hAnsi="宋体" w:cs="Arial"/>
          <w:color w:val="000000" w:themeColor="text1"/>
          <w:szCs w:val="21"/>
          <w14:textFill>
            <w14:solidFill>
              <w14:schemeClr w14:val="tx1"/>
            </w14:solidFill>
          </w14:textFill>
        </w:rPr>
        <w:t>6《商用车驾驶室外部凸出物》属于汽车强制性标准体系中被动安全领域要求。标准于20</w:t>
      </w:r>
      <w:r>
        <w:rPr>
          <w:rFonts w:ascii="宋体" w:hAnsi="宋体" w:cs="Arial"/>
          <w:color w:val="000000" w:themeColor="text1"/>
          <w:szCs w:val="21"/>
          <w14:textFill>
            <w14:solidFill>
              <w14:schemeClr w14:val="tx1"/>
            </w14:solidFill>
          </w14:textFill>
        </w:rPr>
        <w:t>0</w:t>
      </w:r>
      <w:r>
        <w:rPr>
          <w:rFonts w:hint="eastAsia" w:ascii="宋体" w:hAnsi="宋体" w:cs="Arial"/>
          <w:color w:val="000000" w:themeColor="text1"/>
          <w:szCs w:val="21"/>
          <w14:textFill>
            <w14:solidFill>
              <w14:schemeClr w14:val="tx1"/>
            </w14:solidFill>
          </w14:textFill>
        </w:rPr>
        <w:t>6年4月3日发布、2007年4月1日实施，标准的发布和实施对车辆外部凸出物通过强制性标准加以规范，有利于避免对车外人员的擦伤、刮伤、撞伤，在人与车的碰撞事故（包括车辆处于运动或静止时的碰撞）中能降低人员的伤害程度。</w:t>
      </w:r>
    </w:p>
    <w:p>
      <w:pPr>
        <w:shd w:val="clear" w:color="auto" w:fill="FFFFFF"/>
        <w:spacing w:line="400" w:lineRule="exact"/>
        <w:ind w:firstLine="420"/>
        <w:rPr>
          <w:rFonts w:ascii="宋体" w:hAnsi="宋体" w:cs="Arial"/>
          <w:color w:val="000000" w:themeColor="text1"/>
          <w:szCs w:val="21"/>
          <w14:textFill>
            <w14:solidFill>
              <w14:schemeClr w14:val="tx1"/>
            </w14:solidFill>
          </w14:textFill>
        </w:rPr>
      </w:pPr>
      <w:r>
        <w:rPr>
          <w:rFonts w:hint="eastAsia" w:ascii="宋体" w:hAnsi="宋体" w:cs="Arial"/>
          <w:color w:val="000000" w:themeColor="text1"/>
          <w:szCs w:val="21"/>
          <w14:textFill>
            <w14:solidFill>
              <w14:schemeClr w14:val="tx1"/>
            </w14:solidFill>
          </w14:textFill>
        </w:rPr>
        <w:t>随着汽车技术的发展，现代商用车设计的保险杠系统与标准GB 20182-2006起草时的经典保险杠有明显的不同。目前大部分汽车保险杠不再是传统的刚性保险杠，取而代之的是由</w:t>
      </w:r>
      <w:r>
        <w:rPr>
          <w:rFonts w:hint="eastAsia" w:ascii="宋体" w:hAnsi="宋体" w:cs="Arial"/>
          <w:bCs/>
          <w:color w:val="000000" w:themeColor="text1"/>
          <w:szCs w:val="21"/>
          <w14:textFill>
            <w14:solidFill>
              <w14:schemeClr w14:val="tx1"/>
            </w14:solidFill>
          </w14:textFill>
        </w:rPr>
        <w:t>蒙皮、吸能装置和防撞梁组成</w:t>
      </w:r>
      <w:r>
        <w:rPr>
          <w:rFonts w:hint="eastAsia" w:ascii="宋体" w:hAnsi="宋体" w:cs="Arial"/>
          <w:color w:val="000000" w:themeColor="text1"/>
          <w:szCs w:val="21"/>
          <w14:textFill>
            <w14:solidFill>
              <w14:schemeClr w14:val="tx1"/>
            </w14:solidFill>
          </w14:textFill>
        </w:rPr>
        <w:t>保险杠系统。另外，由于当时的国情，GB 20182-200</w:t>
      </w:r>
      <w:r>
        <w:rPr>
          <w:rFonts w:ascii="宋体" w:hAnsi="宋体" w:cs="Arial"/>
          <w:color w:val="000000" w:themeColor="text1"/>
          <w:szCs w:val="21"/>
          <w14:textFill>
            <w14:solidFill>
              <w14:schemeClr w14:val="tx1"/>
            </w14:solidFill>
          </w14:textFill>
        </w:rPr>
        <w:t>6将高度超过</w:t>
      </w:r>
      <w:r>
        <w:rPr>
          <w:rFonts w:hint="eastAsia" w:ascii="宋体" w:hAnsi="宋体" w:cs="Arial"/>
          <w:color w:val="000000" w:themeColor="text1"/>
          <w:szCs w:val="21"/>
          <w14:textFill>
            <w14:solidFill>
              <w14:schemeClr w14:val="tx1"/>
            </w14:solidFill>
          </w14:textFill>
        </w:rPr>
        <w:t>1.8m的部件给予豁免，但随着中国近十几年生活和经济的大幅度提高，中国成年男性的平均身高已明显增长。此外，GB</w:t>
      </w:r>
      <w:r>
        <w:rPr>
          <w:rFonts w:ascii="宋体" w:hAnsi="宋体" w:cs="Arial"/>
          <w:color w:val="000000" w:themeColor="text1"/>
          <w:szCs w:val="21"/>
          <w14:textFill>
            <w14:solidFill>
              <w14:schemeClr w14:val="tx1"/>
            </w14:solidFill>
          </w14:textFill>
        </w:rPr>
        <w:t xml:space="preserve"> </w:t>
      </w:r>
      <w:r>
        <w:rPr>
          <w:rFonts w:hint="eastAsia" w:ascii="宋体" w:hAnsi="宋体" w:cs="Arial"/>
          <w:color w:val="000000" w:themeColor="text1"/>
          <w:szCs w:val="21"/>
          <w14:textFill>
            <w14:solidFill>
              <w14:schemeClr w14:val="tx1"/>
            </w14:solidFill>
          </w14:textFill>
        </w:rPr>
        <w:t>15084-2013《机动车辆 间接视野装置 性能和安装要求》已将后视镜修改为了间接视野装置。现有的技术指标已滞后于当前新技术的发展要求。本标准的技术内容已落后于新技术的发展，无法满足当前国际上汽车被动安全领域的技术发展要求和我国的国情，因此,非常有必要对现行的GB 20182-2006标准进行重新修订，从而使该标准更加适应我国汽车工业发展的需要。</w:t>
      </w:r>
    </w:p>
    <w:p>
      <w:pPr>
        <w:shd w:val="clear" w:color="auto" w:fill="FFFFFF"/>
        <w:spacing w:line="400" w:lineRule="exact"/>
        <w:ind w:firstLine="420"/>
        <w:rPr>
          <w:rFonts w:cs="Arial"/>
          <w:color w:val="000000" w:themeColor="text1"/>
          <w:szCs w:val="21"/>
          <w14:textFill>
            <w14:solidFill>
              <w14:schemeClr w14:val="tx1"/>
            </w14:solidFill>
          </w14:textFill>
        </w:rPr>
      </w:pPr>
      <w:r>
        <w:rPr>
          <w:rFonts w:hint="eastAsia" w:cs="Arial"/>
          <w:color w:val="000000" w:themeColor="text1"/>
          <w:szCs w:val="21"/>
          <w14:textFill>
            <w14:solidFill>
              <w14:schemeClr w14:val="tx1"/>
            </w14:solidFill>
          </w14:textFill>
        </w:rPr>
        <w:t>2021年7月26日，国家标准化管理委员会发布了“关于下达《铸造机械安全要求》等17项强制性国家标准制修订计划的通知”，将G</w:t>
      </w:r>
      <w:r>
        <w:rPr>
          <w:rFonts w:cs="Arial"/>
          <w:color w:val="000000" w:themeColor="text1"/>
          <w:szCs w:val="21"/>
          <w14:textFill>
            <w14:solidFill>
              <w14:schemeClr w14:val="tx1"/>
            </w14:solidFill>
          </w14:textFill>
        </w:rPr>
        <w:t>B 20182</w:t>
      </w:r>
      <w:r>
        <w:rPr>
          <w:rFonts w:hint="eastAsia" w:cs="Arial"/>
          <w:color w:val="000000" w:themeColor="text1"/>
          <w:szCs w:val="21"/>
          <w14:textFill>
            <w14:solidFill>
              <w14:schemeClr w14:val="tx1"/>
            </w14:solidFill>
          </w14:textFill>
        </w:rPr>
        <w:t>《商用车驾驶室外部凸出物》正式列入强制性国家标准的制修订计划，计划号为：20211256 Q 339。由襄阳达安汽车检测中心有限公司、中国汽车技术研究中心有限公司等单位负责起草。</w:t>
      </w:r>
    </w:p>
    <w:p>
      <w:pPr>
        <w:shd w:val="clear" w:color="auto" w:fill="FFFFFF"/>
        <w:spacing w:before="156" w:beforeLines="50" w:after="156" w:afterLines="50" w:line="400" w:lineRule="exact"/>
        <w:ind w:firstLine="422"/>
        <w:rPr>
          <w:rFonts w:ascii="黑体" w:hAnsi="黑体" w:eastAsia="黑体" w:cs="宋体"/>
          <w:b/>
          <w:bCs/>
          <w:i/>
          <w:iCs/>
          <w:color w:val="000000" w:themeColor="text1"/>
          <w:szCs w:val="21"/>
          <w14:textFill>
            <w14:solidFill>
              <w14:schemeClr w14:val="tx1"/>
            </w14:solidFill>
          </w14:textFill>
        </w:rPr>
      </w:pPr>
      <w:r>
        <w:rPr>
          <w:rFonts w:hint="eastAsia" w:ascii="黑体" w:hAnsi="黑体" w:eastAsia="黑体" w:cs="宋体"/>
          <w:b/>
          <w:bCs/>
          <w:color w:val="000000" w:themeColor="text1"/>
          <w:szCs w:val="21"/>
          <w14:textFill>
            <w14:solidFill>
              <w14:schemeClr w14:val="tx1"/>
            </w14:solidFill>
          </w14:textFill>
        </w:rPr>
        <w:t>2、主要工作过程</w:t>
      </w:r>
    </w:p>
    <w:p>
      <w:pPr>
        <w:shd w:val="clear" w:color="auto" w:fill="FFFFFF"/>
        <w:spacing w:before="156" w:beforeLines="50" w:after="156" w:afterLines="50"/>
        <w:ind w:firstLine="420"/>
        <w:rPr>
          <w:rFonts w:ascii="黑体" w:hAnsi="黑体" w:eastAsia="黑体" w:cs="宋体"/>
          <w:bCs/>
          <w:color w:val="000000" w:themeColor="text1"/>
          <w:szCs w:val="21"/>
          <w14:textFill>
            <w14:solidFill>
              <w14:schemeClr w14:val="tx1"/>
            </w14:solidFill>
          </w14:textFill>
        </w:rPr>
      </w:pPr>
      <w:r>
        <w:rPr>
          <w:rFonts w:hint="eastAsia" w:ascii="黑体" w:hAnsi="黑体" w:eastAsia="黑体" w:cs="宋体"/>
          <w:bCs/>
          <w:color w:val="000000" w:themeColor="text1"/>
          <w:szCs w:val="21"/>
          <w14:textFill>
            <w14:solidFill>
              <w14:schemeClr w14:val="tx1"/>
            </w14:solidFill>
          </w14:textFill>
        </w:rPr>
        <w:t>2.1 标准预研</w:t>
      </w:r>
      <w:r>
        <w:rPr>
          <w:rFonts w:ascii="黑体" w:hAnsi="黑体" w:eastAsia="黑体" w:cs="宋体"/>
          <w:bCs/>
          <w:color w:val="000000" w:themeColor="text1"/>
          <w:szCs w:val="21"/>
          <w14:textFill>
            <w14:solidFill>
              <w14:schemeClr w14:val="tx1"/>
            </w14:solidFill>
          </w14:textFill>
        </w:rPr>
        <w:t>工作</w:t>
      </w:r>
    </w:p>
    <w:p>
      <w:pPr>
        <w:shd w:val="clear" w:color="auto" w:fill="FFFFFF"/>
        <w:spacing w:line="400" w:lineRule="exact"/>
        <w:ind w:firstLine="420"/>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2015年起</w:t>
      </w:r>
      <w:r>
        <w:rPr>
          <w:rFonts w:hint="eastAsia" w:cs="Arial"/>
          <w:color w:val="000000" w:themeColor="text1"/>
          <w:szCs w:val="21"/>
          <w14:textFill>
            <w14:solidFill>
              <w14:schemeClr w14:val="tx1"/>
            </w14:solidFill>
          </w14:textFill>
        </w:rPr>
        <w:t>，</w:t>
      </w:r>
      <w:r>
        <w:rPr>
          <w:rFonts w:cs="Arial"/>
          <w:color w:val="000000" w:themeColor="text1"/>
          <w:szCs w:val="21"/>
          <w14:textFill>
            <w14:solidFill>
              <w14:schemeClr w14:val="tx1"/>
            </w14:solidFill>
          </w14:textFill>
        </w:rPr>
        <w:t>车身分技术委员会车身分技术委员会</w:t>
      </w:r>
      <w:r>
        <w:rPr>
          <w:rFonts w:hint="eastAsia" w:cs="Arial"/>
          <w:color w:val="000000" w:themeColor="text1"/>
          <w:szCs w:val="21"/>
          <w14:textFill>
            <w14:solidFill>
              <w14:schemeClr w14:val="tx1"/>
            </w14:solidFill>
          </w14:textFill>
        </w:rPr>
        <w:t>不断收到整车企业要求修订GB20182的呼声和建议，并委托襄阳达安汽车检测中心有限公司等单位成立标准研究工作组，启动了标准的预研工作。预研过程中对联合国法规U</w:t>
      </w:r>
      <w:r>
        <w:rPr>
          <w:rFonts w:cs="Arial"/>
          <w:color w:val="000000" w:themeColor="text1"/>
          <w:szCs w:val="21"/>
          <w14:textFill>
            <w14:solidFill>
              <w14:schemeClr w14:val="tx1"/>
            </w14:solidFill>
          </w14:textFill>
        </w:rPr>
        <w:t>N R61</w:t>
      </w:r>
      <w:r>
        <w:rPr>
          <w:rFonts w:hint="eastAsia" w:cs="Arial"/>
          <w:color w:val="000000" w:themeColor="text1"/>
          <w:szCs w:val="21"/>
          <w14:textFill>
            <w14:solidFill>
              <w14:schemeClr w14:val="tx1"/>
            </w14:solidFill>
          </w14:textFill>
        </w:rPr>
        <w:t>《就驾驶室后围板前外部凸出物方面批准外部凸出物》进行分析与比对，并对U</w:t>
      </w:r>
      <w:r>
        <w:rPr>
          <w:rFonts w:cs="Arial"/>
          <w:color w:val="000000" w:themeColor="text1"/>
          <w:szCs w:val="21"/>
          <w14:textFill>
            <w14:solidFill>
              <w14:schemeClr w14:val="tx1"/>
            </w14:solidFill>
          </w14:textFill>
        </w:rPr>
        <w:t>N R61的主要修订内容进行了充分的调研</w:t>
      </w:r>
      <w:r>
        <w:rPr>
          <w:rFonts w:hint="eastAsia" w:cs="Arial"/>
          <w:color w:val="000000" w:themeColor="text1"/>
          <w:szCs w:val="21"/>
          <w14:textFill>
            <w14:solidFill>
              <w14:schemeClr w14:val="tx1"/>
            </w14:solidFill>
          </w14:textFill>
        </w:rPr>
        <w:t>，与国内外众多商用车生产厂进行了深入的技术交流探讨。</w:t>
      </w:r>
    </w:p>
    <w:p>
      <w:pPr>
        <w:shd w:val="clear" w:color="auto" w:fill="FFFFFF"/>
        <w:spacing w:line="400" w:lineRule="exact"/>
        <w:ind w:firstLine="420"/>
        <w:rPr>
          <w:rFonts w:cs="Arial"/>
          <w:color w:val="000000" w:themeColor="text1"/>
          <w:szCs w:val="21"/>
          <w14:textFill>
            <w14:solidFill>
              <w14:schemeClr w14:val="tx1"/>
            </w14:solidFill>
          </w14:textFill>
        </w:rPr>
      </w:pPr>
      <w:r>
        <w:rPr>
          <w:rFonts w:hint="eastAsia" w:cs="Arial"/>
          <w:color w:val="000000" w:themeColor="text1"/>
          <w:szCs w:val="21"/>
          <w14:textFill>
            <w14:solidFill>
              <w14:schemeClr w14:val="tx1"/>
            </w14:solidFill>
          </w14:textFill>
        </w:rPr>
        <w:t>2</w:t>
      </w:r>
      <w:r>
        <w:rPr>
          <w:rFonts w:cs="Arial"/>
          <w:color w:val="000000" w:themeColor="text1"/>
          <w:szCs w:val="21"/>
          <w14:textFill>
            <w14:solidFill>
              <w14:schemeClr w14:val="tx1"/>
            </w14:solidFill>
          </w14:textFill>
        </w:rPr>
        <w:t>019年初</w:t>
      </w:r>
      <w:r>
        <w:rPr>
          <w:rFonts w:hint="eastAsia" w:cs="Arial"/>
          <w:color w:val="000000" w:themeColor="text1"/>
          <w:szCs w:val="21"/>
          <w14:textFill>
            <w14:solidFill>
              <w14:schemeClr w14:val="tx1"/>
            </w14:solidFill>
          </w14:textFill>
        </w:rPr>
        <w:t>，标准起草组根据前期标准预研成果，完成了标准草案的编制工作，经与行业主要的整车企业、检测机构及科研院所等充分研讨后达成共识，并提交至车身分技术委员会启动标准立项申报工作。</w:t>
      </w:r>
    </w:p>
    <w:p>
      <w:pPr>
        <w:shd w:val="clear" w:color="auto" w:fill="FFFFFF"/>
        <w:spacing w:line="400" w:lineRule="exact"/>
        <w:ind w:firstLine="420"/>
        <w:rPr>
          <w:rFonts w:cs="Arial"/>
          <w:color w:val="000000" w:themeColor="text1"/>
          <w:szCs w:val="21"/>
          <w14:textFill>
            <w14:solidFill>
              <w14:schemeClr w14:val="tx1"/>
            </w14:solidFill>
          </w14:textFill>
        </w:rPr>
      </w:pPr>
      <w:r>
        <w:rPr>
          <w:rFonts w:cs="Arial"/>
          <w:color w:val="000000" w:themeColor="text1"/>
          <w:szCs w:val="21"/>
          <w14:textFill>
            <w14:solidFill>
              <w14:schemeClr w14:val="tx1"/>
            </w14:solidFill>
          </w14:textFill>
        </w:rPr>
        <w:t>2020年</w:t>
      </w:r>
      <w:r>
        <w:rPr>
          <w:rFonts w:hint="eastAsia" w:cs="Arial"/>
          <w:color w:val="000000" w:themeColor="text1"/>
          <w:szCs w:val="21"/>
          <w14:textFill>
            <w14:solidFill>
              <w14:schemeClr w14:val="tx1"/>
            </w14:solidFill>
          </w14:textFill>
        </w:rPr>
        <w:t>1</w:t>
      </w:r>
      <w:r>
        <w:rPr>
          <w:rFonts w:cs="Arial"/>
          <w:color w:val="000000" w:themeColor="text1"/>
          <w:szCs w:val="21"/>
          <w14:textFill>
            <w14:solidFill>
              <w14:schemeClr w14:val="tx1"/>
            </w14:solidFill>
          </w14:textFill>
        </w:rPr>
        <w:t>2月</w:t>
      </w:r>
      <w:r>
        <w:rPr>
          <w:rFonts w:hint="eastAsia" w:cs="Arial"/>
          <w:color w:val="000000" w:themeColor="text1"/>
          <w:szCs w:val="21"/>
          <w14:textFill>
            <w14:solidFill>
              <w14:schemeClr w14:val="tx1"/>
            </w14:solidFill>
          </w14:textFill>
        </w:rPr>
        <w:t>，标准起草组完成国家标准化管理委员会组织了立项答辩工作。</w:t>
      </w:r>
    </w:p>
    <w:p>
      <w:pPr>
        <w:pStyle w:val="18"/>
        <w:rPr>
          <w:color w:val="000000" w:themeColor="text1"/>
          <w14:textFill>
            <w14:solidFill>
              <w14:schemeClr w14:val="tx1"/>
            </w14:solidFill>
          </w14:textFill>
        </w:rPr>
      </w:pPr>
      <w:r>
        <w:rPr>
          <w:rFonts w:hint="eastAsia"/>
          <w:color w:val="000000" w:themeColor="text1"/>
          <w14:textFill>
            <w14:solidFill>
              <w14:schemeClr w14:val="tx1"/>
            </w14:solidFill>
          </w14:textFill>
        </w:rPr>
        <w:t>2021年7月26日，国家标准化管理委员会发布了“关于下达《铸造机械安全要求》等17项强制性国家标准制修订计划的通知”，将G</w:t>
      </w:r>
      <w:r>
        <w:rPr>
          <w:color w:val="000000" w:themeColor="text1"/>
          <w14:textFill>
            <w14:solidFill>
              <w14:schemeClr w14:val="tx1"/>
            </w14:solidFill>
          </w14:textFill>
        </w:rPr>
        <w:t>B 20182</w:t>
      </w:r>
      <w:r>
        <w:rPr>
          <w:rFonts w:hint="eastAsia"/>
          <w:color w:val="000000" w:themeColor="text1"/>
          <w14:textFill>
            <w14:solidFill>
              <w14:schemeClr w14:val="tx1"/>
            </w14:solidFill>
          </w14:textFill>
        </w:rPr>
        <w:t>《商用车驾驶室外部凸出物》正式列入强制性国家标准的制修订计划，计划号为：20211256 Q 339。</w:t>
      </w:r>
    </w:p>
    <w:p>
      <w:pPr>
        <w:pStyle w:val="18"/>
        <w:rPr>
          <w:color w:val="000000" w:themeColor="text1"/>
          <w14:textFill>
            <w14:solidFill>
              <w14:schemeClr w14:val="tx1"/>
            </w14:solidFill>
          </w14:textFill>
        </w:rPr>
      </w:pPr>
      <w:r>
        <w:rPr>
          <w:rFonts w:hint="eastAsia"/>
          <w:color w:val="000000" w:themeColor="text1"/>
          <w14:textFill>
            <w14:solidFill>
              <w14:schemeClr w14:val="tx1"/>
            </w14:solidFill>
          </w14:textFill>
        </w:rPr>
        <w:t>2021年</w:t>
      </w:r>
      <w:r>
        <w:rPr>
          <w:color w:val="000000" w:themeColor="text1"/>
          <w14:textFill>
            <w14:solidFill>
              <w14:schemeClr w14:val="tx1"/>
            </w14:solidFill>
          </w14:textFill>
        </w:rPr>
        <w:t>11</w:t>
      </w:r>
      <w:r>
        <w:rPr>
          <w:rFonts w:hint="eastAsia"/>
          <w:color w:val="000000" w:themeColor="text1"/>
          <w14:textFill>
            <w14:solidFill>
              <w14:schemeClr w14:val="tx1"/>
            </w14:solidFill>
          </w14:textFill>
        </w:rPr>
        <w:t>月，车身分标委秘书处（TC114/SC18) 完成了《商用车驾驶室外部凸出物》标准修订工作组的筹建工作。</w:t>
      </w:r>
    </w:p>
    <w:p>
      <w:pPr>
        <w:shd w:val="clear" w:color="auto" w:fill="FFFFFF"/>
        <w:spacing w:before="156" w:beforeLines="50" w:after="156" w:afterLines="50"/>
        <w:ind w:firstLine="420"/>
        <w:rPr>
          <w:rFonts w:ascii="黑体" w:hAnsi="黑体" w:eastAsia="黑体" w:cs="宋体"/>
          <w:bCs/>
          <w:color w:val="000000" w:themeColor="text1"/>
          <w:szCs w:val="21"/>
          <w14:textFill>
            <w14:solidFill>
              <w14:schemeClr w14:val="tx1"/>
            </w14:solidFill>
          </w14:textFill>
        </w:rPr>
      </w:pPr>
      <w:r>
        <w:rPr>
          <w:rFonts w:hint="eastAsia" w:ascii="黑体" w:hAnsi="黑体" w:eastAsia="黑体" w:cs="宋体"/>
          <w:bCs/>
          <w:color w:val="000000" w:themeColor="text1"/>
          <w:szCs w:val="21"/>
          <w14:textFill>
            <w14:solidFill>
              <w14:schemeClr w14:val="tx1"/>
            </w14:solidFill>
          </w14:textFill>
        </w:rPr>
        <w:t>2.</w:t>
      </w:r>
      <w:r>
        <w:rPr>
          <w:rFonts w:ascii="黑体" w:hAnsi="黑体" w:eastAsia="黑体" w:cs="宋体"/>
          <w:bCs/>
          <w:color w:val="000000" w:themeColor="text1"/>
          <w:szCs w:val="21"/>
          <w14:textFill>
            <w14:solidFill>
              <w14:schemeClr w14:val="tx1"/>
            </w14:solidFill>
          </w14:textFill>
        </w:rPr>
        <w:t>2</w:t>
      </w:r>
      <w:r>
        <w:rPr>
          <w:rFonts w:hint="eastAsia" w:ascii="黑体" w:hAnsi="黑体" w:eastAsia="黑体" w:cs="宋体"/>
          <w:bCs/>
          <w:color w:val="000000" w:themeColor="text1"/>
          <w:szCs w:val="21"/>
          <w14:textFill>
            <w14:solidFill>
              <w14:schemeClr w14:val="tx1"/>
            </w14:solidFill>
          </w14:textFill>
        </w:rPr>
        <w:t xml:space="preserve"> 第一次</w:t>
      </w:r>
      <w:r>
        <w:rPr>
          <w:rFonts w:ascii="黑体" w:hAnsi="黑体" w:eastAsia="黑体" w:cs="宋体"/>
          <w:bCs/>
          <w:color w:val="000000" w:themeColor="text1"/>
          <w:szCs w:val="21"/>
          <w14:textFill>
            <w14:solidFill>
              <w14:schemeClr w14:val="tx1"/>
            </w14:solidFill>
          </w14:textFill>
        </w:rPr>
        <w:t>工作组会议</w:t>
      </w:r>
    </w:p>
    <w:p>
      <w:pPr>
        <w:pStyle w:val="18"/>
        <w:rPr>
          <w:color w:val="000000" w:themeColor="text1"/>
          <w14:textFill>
            <w14:solidFill>
              <w14:schemeClr w14:val="tx1"/>
            </w14:solidFill>
          </w14:textFill>
        </w:rPr>
      </w:pPr>
      <w:r>
        <w:rPr>
          <w:rFonts w:hint="eastAsia"/>
          <w:color w:val="000000" w:themeColor="text1"/>
          <w14:textFill>
            <w14:solidFill>
              <w14:schemeClr w14:val="tx1"/>
            </w14:solidFill>
          </w14:textFill>
        </w:rPr>
        <w:t>2022年3月1日，因疫情原因，GB 20182-20XX《商用车驾驶室外部凸出物》标准修订工作组首次会议以网络会议的形式召开，本次会议由车身分技术委员会主办。</w:t>
      </w:r>
    </w:p>
    <w:p>
      <w:pPr>
        <w:pStyle w:val="18"/>
        <w:rPr>
          <w:color w:val="000000" w:themeColor="text1"/>
          <w14:textFill>
            <w14:solidFill>
              <w14:schemeClr w14:val="tx1"/>
            </w14:solidFill>
          </w14:textFill>
        </w:rPr>
      </w:pPr>
      <w:r>
        <w:rPr>
          <w:color w:val="000000" w:themeColor="text1"/>
          <w14:textFill>
            <w14:solidFill>
              <w14:schemeClr w14:val="tx1"/>
            </w14:solidFill>
          </w14:textFill>
        </w:rPr>
        <w:t>来自相关检测机构</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整车企业等</w:t>
      </w:r>
      <w:r>
        <w:rPr>
          <w:rFonts w:hint="eastAsia"/>
          <w:color w:val="000000" w:themeColor="text1"/>
          <w14:textFill>
            <w14:solidFill>
              <w14:schemeClr w14:val="tx1"/>
            </w14:solidFill>
          </w14:textFill>
        </w:rPr>
        <w:t>14家单位的30余位代表参加了本次会议。</w:t>
      </w:r>
      <w:r>
        <w:rPr>
          <w:color w:val="000000" w:themeColor="text1"/>
          <w14:textFill>
            <w14:solidFill>
              <w14:schemeClr w14:val="tx1"/>
            </w14:solidFill>
          </w14:textFill>
        </w:rPr>
        <w:t>会上</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襄阳达安</w:t>
      </w:r>
      <w:r>
        <w:rPr>
          <w:rFonts w:hint="eastAsia"/>
          <w:color w:val="000000" w:themeColor="text1"/>
          <w14:textFill>
            <w14:solidFill>
              <w14:schemeClr w14:val="tx1"/>
            </w14:solidFill>
          </w14:textFill>
        </w:rPr>
        <w:t>汽车检测中心有限公司标准工作组向参会代表简要介绍了本次标准修订的背景和主要修订的内容，并对标准文本（草案V0）进行了逐条研讨，并针对保险杠、保险杆覆盖件等新增内容及凸出物豁免高度等本次修订有变化的条款进行了严谨的探讨。部分与会代表对保险杠外表面是否属于非刚性进行了热烈的讨论，并探讨了车辆商标凸出高度的测量基准方法。会议形成以下修改意见：</w:t>
      </w:r>
    </w:p>
    <w:tbl>
      <w:tblPr>
        <w:tblStyle w:val="7"/>
        <w:tblW w:w="9640"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992"/>
        <w:gridCol w:w="3260"/>
        <w:gridCol w:w="993"/>
        <w:gridCol w:w="3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710" w:type="dxa"/>
            <w:vMerge w:val="restart"/>
          </w:tcPr>
          <w:p>
            <w:pPr>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序号</w:t>
            </w:r>
          </w:p>
        </w:tc>
        <w:tc>
          <w:tcPr>
            <w:tcW w:w="4252" w:type="dxa"/>
            <w:gridSpan w:val="2"/>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GB20182-2006</w:t>
            </w:r>
          </w:p>
        </w:tc>
        <w:tc>
          <w:tcPr>
            <w:tcW w:w="4678" w:type="dxa"/>
            <w:gridSpan w:val="2"/>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GB20182-20XX（草案V0）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Merge w:val="continue"/>
          </w:tcPr>
          <w:p>
            <w:pPr>
              <w:ind w:firstLine="0" w:firstLineChars="0"/>
              <w:rPr>
                <w:rFonts w:ascii="宋体" w:hAnsi="宋体" w:cs="宋体"/>
                <w:color w:val="000000" w:themeColor="text1"/>
                <w:spacing w:val="20"/>
                <w:sz w:val="18"/>
                <w:szCs w:val="18"/>
                <w14:textFill>
                  <w14:solidFill>
                    <w14:schemeClr w14:val="tx1"/>
                  </w14:solidFill>
                </w14:textFill>
              </w:rPr>
            </w:pPr>
          </w:p>
        </w:tc>
        <w:tc>
          <w:tcPr>
            <w:tcW w:w="992" w:type="dxa"/>
          </w:tcPr>
          <w:p>
            <w:pPr>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章条号</w:t>
            </w:r>
          </w:p>
        </w:tc>
        <w:tc>
          <w:tcPr>
            <w:tcW w:w="3260"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内容</w:t>
            </w:r>
          </w:p>
        </w:tc>
        <w:tc>
          <w:tcPr>
            <w:tcW w:w="993" w:type="dxa"/>
            <w:vAlign w:val="center"/>
          </w:tcPr>
          <w:p>
            <w:pPr>
              <w:adjustRightInd w:val="0"/>
              <w:snapToGrid w:val="0"/>
              <w:spacing w:line="240" w:lineRule="auto"/>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章条号</w:t>
            </w:r>
          </w:p>
        </w:tc>
        <w:tc>
          <w:tcPr>
            <w:tcW w:w="3685"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1</w:t>
            </w:r>
          </w:p>
        </w:tc>
        <w:tc>
          <w:tcPr>
            <w:tcW w:w="992"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1</w:t>
            </w:r>
          </w:p>
        </w:tc>
        <w:tc>
          <w:tcPr>
            <w:tcW w:w="3260" w:type="dxa"/>
          </w:tcPr>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本标准规定了商用车驾驶室后围板之前的车身外部凸出物的术语、一般规定、特殊规定及检验方法。</w:t>
            </w:r>
          </w:p>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本标准适用于N类汽车，但不适用于汽车外后视镜及外后视镜的连接件、天线和行李架。</w:t>
            </w:r>
          </w:p>
        </w:tc>
        <w:tc>
          <w:tcPr>
            <w:tcW w:w="993"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1</w:t>
            </w:r>
          </w:p>
        </w:tc>
        <w:tc>
          <w:tcPr>
            <w:tcW w:w="3685" w:type="dxa"/>
          </w:tcPr>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本标准规定了商用车驾驶室后围板之前的车身外部凸出物的术语、一般规定、特殊规定及检验方法。</w:t>
            </w:r>
          </w:p>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本标准适用于N类汽车，但不适用于外部间接视野装置及其连接件、天线和行李架等附件。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2</w:t>
            </w:r>
          </w:p>
        </w:tc>
        <w:tc>
          <w:tcPr>
            <w:tcW w:w="992"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w:t>
            </w:r>
          </w:p>
        </w:tc>
        <w:tc>
          <w:tcPr>
            <w:tcW w:w="3260"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w:t>
            </w:r>
          </w:p>
        </w:tc>
        <w:tc>
          <w:tcPr>
            <w:tcW w:w="993"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3.7</w:t>
            </w:r>
          </w:p>
        </w:tc>
        <w:tc>
          <w:tcPr>
            <w:tcW w:w="3685" w:type="dxa"/>
          </w:tcPr>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保险杠</w:t>
            </w:r>
          </w:p>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车辆前部较低的外侧构件，包含在低速正面碰撞时保护车辆的所有结构及其附件。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3</w:t>
            </w:r>
          </w:p>
        </w:tc>
        <w:tc>
          <w:tcPr>
            <w:tcW w:w="992"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w:t>
            </w:r>
          </w:p>
        </w:tc>
        <w:tc>
          <w:tcPr>
            <w:tcW w:w="3260"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w:t>
            </w:r>
          </w:p>
        </w:tc>
        <w:tc>
          <w:tcPr>
            <w:tcW w:w="993"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3.8</w:t>
            </w:r>
          </w:p>
        </w:tc>
        <w:tc>
          <w:tcPr>
            <w:tcW w:w="3685" w:type="dxa"/>
          </w:tcPr>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保险杠覆盖件</w:t>
            </w:r>
          </w:p>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保险杠非刚性外表面，通常延伸至车辆前部的整个宽度。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4</w:t>
            </w:r>
          </w:p>
        </w:tc>
        <w:tc>
          <w:tcPr>
            <w:tcW w:w="992"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4.1.1</w:t>
            </w:r>
          </w:p>
        </w:tc>
        <w:tc>
          <w:tcPr>
            <w:tcW w:w="3260" w:type="dxa"/>
            <w:vAlign w:val="center"/>
          </w:tcPr>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高于地面1.8m或低于基准平面或底线的部件</w:t>
            </w:r>
          </w:p>
        </w:tc>
        <w:tc>
          <w:tcPr>
            <w:tcW w:w="993" w:type="dxa"/>
            <w:vAlign w:val="center"/>
          </w:tcPr>
          <w:p>
            <w:pPr>
              <w:adjustRightInd w:val="0"/>
              <w:snapToGrid w:val="0"/>
              <w:spacing w:line="240" w:lineRule="auto"/>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4.1.1</w:t>
            </w:r>
          </w:p>
        </w:tc>
        <w:tc>
          <w:tcPr>
            <w:tcW w:w="3685" w:type="dxa"/>
            <w:vAlign w:val="center"/>
          </w:tcPr>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高于地面2m或低于基准平面或底线的部件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5</w:t>
            </w:r>
          </w:p>
        </w:tc>
        <w:tc>
          <w:tcPr>
            <w:tcW w:w="992"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5.5</w:t>
            </w:r>
          </w:p>
        </w:tc>
        <w:tc>
          <w:tcPr>
            <w:tcW w:w="3260"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保护装置（前保险杠）</w:t>
            </w:r>
          </w:p>
        </w:tc>
        <w:tc>
          <w:tcPr>
            <w:tcW w:w="993"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5.5</w:t>
            </w:r>
          </w:p>
        </w:tc>
        <w:tc>
          <w:tcPr>
            <w:tcW w:w="3685" w:type="dxa"/>
          </w:tcPr>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保险杠</w:t>
            </w:r>
          </w:p>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（注：将所有“前保险杠</w:t>
            </w:r>
            <w:r>
              <w:rPr>
                <w:rFonts w:ascii="宋体" w:hAnsi="宋体" w:cs="宋体"/>
                <w:color w:val="000000" w:themeColor="text1"/>
                <w:spacing w:val="20"/>
                <w:sz w:val="18"/>
                <w:szCs w:val="18"/>
                <w14:textFill>
                  <w14:solidFill>
                    <w14:schemeClr w14:val="tx1"/>
                  </w14:solidFill>
                </w14:textFill>
              </w:rPr>
              <w:t>”均改为“</w:t>
            </w:r>
            <w:r>
              <w:rPr>
                <w:rFonts w:hint="eastAsia" w:ascii="宋体" w:hAnsi="宋体" w:cs="宋体"/>
                <w:color w:val="000000" w:themeColor="text1"/>
                <w:spacing w:val="20"/>
                <w:sz w:val="18"/>
                <w:szCs w:val="18"/>
                <w14:textFill>
                  <w14:solidFill>
                    <w14:schemeClr w14:val="tx1"/>
                  </w14:solidFill>
                </w14:textFill>
              </w:rPr>
              <w:t>保险杠</w:t>
            </w:r>
            <w:r>
              <w:rPr>
                <w:rFonts w:ascii="宋体" w:hAnsi="宋体" w:cs="宋体"/>
                <w:color w:val="000000" w:themeColor="text1"/>
                <w:spacing w:val="20"/>
                <w:sz w:val="18"/>
                <w:szCs w:val="18"/>
                <w14:textFill>
                  <w14:solidFill>
                    <w14:schemeClr w14:val="tx1"/>
                  </w14:solidFill>
                </w14:textFill>
              </w:rPr>
              <w:t>”</w:t>
            </w:r>
            <w:r>
              <w:rPr>
                <w:rFonts w:hint="eastAsia" w:ascii="宋体" w:hAnsi="宋体" w:cs="宋体"/>
                <w:color w:val="000000" w:themeColor="text1"/>
                <w:spacing w:val="20"/>
                <w:sz w:val="18"/>
                <w:szCs w:val="18"/>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6</w:t>
            </w:r>
          </w:p>
        </w:tc>
        <w:tc>
          <w:tcPr>
            <w:tcW w:w="992"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5.5.2</w:t>
            </w:r>
          </w:p>
        </w:tc>
        <w:tc>
          <w:tcPr>
            <w:tcW w:w="3260" w:type="dxa"/>
            <w:vAlign w:val="center"/>
          </w:tcPr>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前保险杠上的元件所有朝外的刚性表面的圆角半径不得小于5mm。</w:t>
            </w:r>
          </w:p>
        </w:tc>
        <w:tc>
          <w:tcPr>
            <w:tcW w:w="993"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5.5.2</w:t>
            </w:r>
          </w:p>
        </w:tc>
        <w:tc>
          <w:tcPr>
            <w:tcW w:w="3685" w:type="dxa"/>
          </w:tcPr>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保险杠上的元件所有朝外的刚性表面的圆角半径不应小于</w:t>
            </w:r>
            <w:r>
              <w:rPr>
                <w:rFonts w:ascii="宋体" w:hAnsi="宋体" w:cs="宋体"/>
                <w:color w:val="000000" w:themeColor="text1"/>
                <w:spacing w:val="20"/>
                <w:sz w:val="18"/>
                <w:szCs w:val="18"/>
                <w14:textFill>
                  <w14:solidFill>
                    <w14:schemeClr w14:val="tx1"/>
                  </w14:solidFill>
                </w14:textFill>
              </w:rPr>
              <w:t>5mm</w:t>
            </w:r>
            <w:r>
              <w:rPr>
                <w:rFonts w:hint="eastAsia" w:ascii="宋体" w:hAnsi="宋体" w:cs="宋体"/>
                <w:color w:val="000000" w:themeColor="text1"/>
                <w:spacing w:val="20"/>
                <w:sz w:val="18"/>
                <w:szCs w:val="18"/>
                <w14:textFill>
                  <w14:solidFill>
                    <w14:schemeClr w14:val="tx1"/>
                  </w14:solidFill>
                </w14:textFill>
              </w:rPr>
              <w:t>。但如果安装有保险杠覆盖件，其圆角半径不应小于2.5mm。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0"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7</w:t>
            </w:r>
          </w:p>
        </w:tc>
        <w:tc>
          <w:tcPr>
            <w:tcW w:w="992"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5.5.3</w:t>
            </w:r>
          </w:p>
        </w:tc>
        <w:tc>
          <w:tcPr>
            <w:tcW w:w="3260" w:type="dxa"/>
          </w:tcPr>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牵引钩和绞盘不能凸出保险杠的前表面。但绞盘在非工作状态下，且绞盘上盖有圆角半径不小于2.5mm的保护罩时，绞盘可以凸出保险杠的前表面。</w:t>
            </w:r>
          </w:p>
        </w:tc>
        <w:tc>
          <w:tcPr>
            <w:tcW w:w="993" w:type="dxa"/>
            <w:vAlign w:val="center"/>
          </w:tcPr>
          <w:p>
            <w:pPr>
              <w:ind w:firstLine="0" w:firstLineChars="0"/>
              <w:jc w:val="center"/>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5.5.3</w:t>
            </w:r>
          </w:p>
        </w:tc>
        <w:tc>
          <w:tcPr>
            <w:tcW w:w="3685" w:type="dxa"/>
          </w:tcPr>
          <w:p>
            <w:pPr>
              <w:adjustRightInd w:val="0"/>
              <w:snapToGrid w:val="0"/>
              <w:spacing w:line="240" w:lineRule="auto"/>
              <w:ind w:firstLine="0" w:firstLineChars="0"/>
              <w:rPr>
                <w:rFonts w:ascii="宋体" w:hAnsi="宋体" w:cs="宋体"/>
                <w:color w:val="000000" w:themeColor="text1"/>
                <w:spacing w:val="20"/>
                <w:sz w:val="18"/>
                <w:szCs w:val="18"/>
                <w14:textFill>
                  <w14:solidFill>
                    <w14:schemeClr w14:val="tx1"/>
                  </w14:solidFill>
                </w14:textFill>
              </w:rPr>
            </w:pPr>
            <w:r>
              <w:rPr>
                <w:rFonts w:hint="eastAsia" w:ascii="宋体" w:hAnsi="宋体" w:cs="宋体"/>
                <w:color w:val="000000" w:themeColor="text1"/>
                <w:spacing w:val="20"/>
                <w:sz w:val="18"/>
                <w:szCs w:val="18"/>
                <w14:textFill>
                  <w14:solidFill>
                    <w14:schemeClr w14:val="tx1"/>
                  </w14:solidFill>
                </w14:textFill>
              </w:rPr>
              <w:t>牵引钩和绞盘不能凸出保险杠的最前表面。但绞盘在非工作状态下，且绞盘上盖有圆角半径不小于2.5mm的保护罩时，绞盘可以凸出保险杠的最前表面。</w:t>
            </w:r>
          </w:p>
        </w:tc>
      </w:tr>
    </w:tbl>
    <w:p>
      <w:pPr>
        <w:pStyle w:val="18"/>
        <w:rPr>
          <w:color w:val="000000" w:themeColor="text1"/>
          <w14:textFill>
            <w14:solidFill>
              <w14:schemeClr w14:val="tx1"/>
            </w14:solidFill>
          </w14:textFill>
        </w:rPr>
      </w:pPr>
      <w:r>
        <w:rPr>
          <w:rFonts w:hint="eastAsia"/>
          <w:color w:val="000000" w:themeColor="text1"/>
          <w14:textFill>
            <w14:solidFill>
              <w14:schemeClr w14:val="tx1"/>
            </w14:solidFill>
          </w14:textFill>
        </w:rPr>
        <w:t>鉴于是首次网络会议，部分内容无法达成一致，车身分技术委员会秘书处建议各位参会代表在会后对保险杠的材质以及国内外商用车商标的凸出高度进行比对调查，下次会议再进一步确定相关内容。</w:t>
      </w:r>
    </w:p>
    <w:p>
      <w:pPr>
        <w:shd w:val="clear" w:color="auto" w:fill="FFFFFF"/>
        <w:spacing w:before="156" w:beforeLines="50" w:after="156" w:afterLines="50"/>
        <w:ind w:firstLine="420"/>
        <w:rPr>
          <w:rFonts w:ascii="黑体" w:hAnsi="黑体" w:eastAsia="黑体" w:cs="宋体"/>
          <w:bCs/>
          <w:color w:val="000000" w:themeColor="text1"/>
          <w:szCs w:val="21"/>
          <w14:textFill>
            <w14:solidFill>
              <w14:schemeClr w14:val="tx1"/>
            </w14:solidFill>
          </w14:textFill>
        </w:rPr>
      </w:pPr>
      <w:r>
        <w:rPr>
          <w:rFonts w:hint="eastAsia" w:ascii="黑体" w:hAnsi="黑体" w:eastAsia="黑体" w:cs="宋体"/>
          <w:bCs/>
          <w:color w:val="000000" w:themeColor="text1"/>
          <w:szCs w:val="21"/>
          <w14:textFill>
            <w14:solidFill>
              <w14:schemeClr w14:val="tx1"/>
            </w14:solidFill>
          </w14:textFill>
        </w:rPr>
        <w:t>2.</w:t>
      </w:r>
      <w:r>
        <w:rPr>
          <w:rFonts w:ascii="黑体" w:hAnsi="黑体" w:eastAsia="黑体" w:cs="宋体"/>
          <w:bCs/>
          <w:color w:val="000000" w:themeColor="text1"/>
          <w:szCs w:val="21"/>
          <w14:textFill>
            <w14:solidFill>
              <w14:schemeClr w14:val="tx1"/>
            </w14:solidFill>
          </w14:textFill>
        </w:rPr>
        <w:t>3</w:t>
      </w:r>
      <w:r>
        <w:rPr>
          <w:rFonts w:hint="eastAsia" w:ascii="黑体" w:hAnsi="黑体" w:eastAsia="黑体" w:cs="宋体"/>
          <w:bCs/>
          <w:color w:val="000000" w:themeColor="text1"/>
          <w:szCs w:val="21"/>
          <w14:textFill>
            <w14:solidFill>
              <w14:schemeClr w14:val="tx1"/>
            </w14:solidFill>
          </w14:textFill>
        </w:rPr>
        <w:t xml:space="preserve"> 第二次</w:t>
      </w:r>
      <w:r>
        <w:rPr>
          <w:rFonts w:ascii="黑体" w:hAnsi="黑体" w:eastAsia="黑体" w:cs="宋体"/>
          <w:bCs/>
          <w:color w:val="000000" w:themeColor="text1"/>
          <w:szCs w:val="21"/>
          <w14:textFill>
            <w14:solidFill>
              <w14:schemeClr w14:val="tx1"/>
            </w14:solidFill>
          </w14:textFill>
        </w:rPr>
        <w:t>工作组会议</w:t>
      </w:r>
    </w:p>
    <w:p>
      <w:pPr>
        <w:pStyle w:val="18"/>
        <w:rPr>
          <w:color w:val="000000" w:themeColor="text1"/>
          <w14:textFill>
            <w14:solidFill>
              <w14:schemeClr w14:val="tx1"/>
            </w14:solidFill>
          </w14:textFill>
        </w:rPr>
      </w:pPr>
      <w:r>
        <w:rPr>
          <w:rFonts w:hint="eastAsia"/>
          <w:color w:val="000000" w:themeColor="text1"/>
          <w14:textFill>
            <w14:solidFill>
              <w14:schemeClr w14:val="tx1"/>
            </w14:solidFill>
          </w14:textFill>
        </w:rPr>
        <w:t>2022年5月13日，因疫情原因，GB 20182-20XX《商用车驾驶室外部凸出物》标准修订工作组第二次会议以网络会议的形式召开，本次会议由车身分技术委员会主办。</w:t>
      </w:r>
    </w:p>
    <w:p>
      <w:pPr>
        <w:pStyle w:val="18"/>
        <w:rPr>
          <w:color w:val="000000" w:themeColor="text1"/>
          <w14:textFill>
            <w14:solidFill>
              <w14:schemeClr w14:val="tx1"/>
            </w14:solidFill>
          </w14:textFill>
        </w:rPr>
      </w:pPr>
      <w:r>
        <w:rPr>
          <w:color w:val="000000" w:themeColor="text1"/>
          <w14:textFill>
            <w14:solidFill>
              <w14:schemeClr w14:val="tx1"/>
            </w14:solidFill>
          </w14:textFill>
        </w:rPr>
        <w:t>来自相关检测机构</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整车企业等</w:t>
      </w:r>
      <w:r>
        <w:rPr>
          <w:rFonts w:hint="eastAsia"/>
          <w:color w:val="000000" w:themeColor="text1"/>
          <w14:textFill>
            <w14:solidFill>
              <w14:schemeClr w14:val="tx1"/>
            </w14:solidFill>
          </w14:textFill>
        </w:rPr>
        <w:t>20余家单位的30多位代表参加了本次会议。会上，</w:t>
      </w:r>
      <w:r>
        <w:rPr>
          <w:color w:val="000000" w:themeColor="text1"/>
          <w14:textFill>
            <w14:solidFill>
              <w14:schemeClr w14:val="tx1"/>
            </w14:solidFill>
          </w14:textFill>
        </w:rPr>
        <w:t>襄阳达安</w:t>
      </w:r>
      <w:r>
        <w:rPr>
          <w:rFonts w:hint="eastAsia"/>
          <w:color w:val="000000" w:themeColor="text1"/>
          <w14:textFill>
            <w14:solidFill>
              <w14:schemeClr w14:val="tx1"/>
            </w14:solidFill>
          </w14:textFill>
        </w:rPr>
        <w:t>汽车检测中心有限公司标准工作组向参会代表简要介绍了首次会后的工作进展情况，详细说明了保险杠覆盖件的定义和商标的具体检测方法，并对标准文本（草案V2）进行逐条研讨。</w:t>
      </w:r>
    </w:p>
    <w:p>
      <w:pPr>
        <w:pStyle w:val="18"/>
        <w:rPr>
          <w:color w:val="000000" w:themeColor="text1"/>
          <w14:textFill>
            <w14:solidFill>
              <w14:schemeClr w14:val="tx1"/>
            </w14:solidFill>
          </w14:textFill>
        </w:rPr>
      </w:pPr>
      <w:r>
        <w:rPr>
          <w:rFonts w:hint="eastAsia"/>
          <w:color w:val="000000" w:themeColor="text1"/>
          <w14:textFill>
            <w14:solidFill>
              <w14:schemeClr w14:val="tx1"/>
            </w14:solidFill>
          </w14:textFill>
        </w:rPr>
        <w:t>根据最新的强制性国家标准工作要求，本版草案增加了车辆的同一型式要求，本次会议对相关内容进行了认真的研讨。另外，会议更正了GB 20182-2006版4.1.1条的翻译遗漏问题，消除了执行争议。同时，为保证标准的顺利执行，会议要求工作组各成员单位分享法规实施过程中的典型案例，用于后续标准执行时的判定研究。</w:t>
      </w:r>
      <w:r>
        <w:rPr>
          <w:color w:val="000000" w:themeColor="text1"/>
          <w14:textFill>
            <w14:solidFill>
              <w14:schemeClr w14:val="tx1"/>
            </w14:solidFill>
          </w14:textFill>
        </w:rPr>
        <w:t>会后</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标准起草组按会议要求和工作组成员单位的反馈意见对标准文本进行了完善</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形成了标准征求意见稿</w:t>
      </w:r>
      <w:r>
        <w:rPr>
          <w:rFonts w:hint="eastAsia"/>
          <w:color w:val="000000" w:themeColor="text1"/>
          <w14:textFill>
            <w14:solidFill>
              <w14:schemeClr w14:val="tx1"/>
            </w14:solidFill>
          </w14:textFill>
        </w:rPr>
        <w:t>。</w:t>
      </w:r>
    </w:p>
    <w:p>
      <w:pPr>
        <w:numPr>
          <w:ilvl w:val="0"/>
          <w:numId w:val="2"/>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themeColor="text1"/>
          <w:kern w:val="0"/>
          <w:sz w:val="24"/>
          <w14:textFill>
            <w14:solidFill>
              <w14:schemeClr w14:val="tx1"/>
            </w14:solidFill>
          </w14:textFill>
        </w:rPr>
      </w:pPr>
      <w:bookmarkStart w:id="31" w:name="_GoBack"/>
      <w:bookmarkEnd w:id="31"/>
      <w:r>
        <w:rPr>
          <w:rFonts w:hint="eastAsia" w:ascii="黑体" w:hAnsi="黑体" w:eastAsia="黑体" w:cs="宋体"/>
          <w:bCs/>
          <w:color w:val="000000" w:themeColor="text1"/>
          <w:kern w:val="0"/>
          <w:sz w:val="24"/>
          <w14:textFill>
            <w14:solidFill>
              <w14:schemeClr w14:val="tx1"/>
            </w14:solidFill>
          </w14:textFill>
        </w:rPr>
        <w:t>编制原则、强制性国家标准主要技术要求的依据及理由</w:t>
      </w:r>
      <w:bookmarkEnd w:id="20"/>
    </w:p>
    <w:p>
      <w:pPr>
        <w:shd w:val="clear" w:color="auto" w:fill="FFFFFF"/>
        <w:spacing w:before="156" w:beforeLines="50" w:after="156" w:afterLines="50" w:line="400" w:lineRule="exact"/>
        <w:ind w:firstLine="422"/>
        <w:rPr>
          <w:rFonts w:ascii="黑体" w:hAnsi="黑体" w:eastAsia="黑体" w:cs="宋体"/>
          <w:b/>
          <w:bCs/>
          <w:color w:val="000000" w:themeColor="text1"/>
          <w:szCs w:val="21"/>
          <w14:textFill>
            <w14:solidFill>
              <w14:schemeClr w14:val="tx1"/>
            </w14:solidFill>
          </w14:textFill>
        </w:rPr>
      </w:pPr>
      <w:r>
        <w:rPr>
          <w:rFonts w:hint="eastAsia" w:ascii="黑体" w:hAnsi="黑体" w:eastAsia="黑体" w:cs="宋体"/>
          <w:b/>
          <w:bCs/>
          <w:color w:val="000000" w:themeColor="text1"/>
          <w:szCs w:val="21"/>
          <w14:textFill>
            <w14:solidFill>
              <w14:schemeClr w14:val="tx1"/>
            </w14:solidFill>
          </w14:textFill>
        </w:rPr>
        <w:t>1、编制原则</w:t>
      </w:r>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本标准制定过程中充分听取了相关的车辆制造企业、检测机构、科研单位以及管理部门的意见,并对标准新增的技术内容进行了大量的调研，保证标准技术要求的先进性和合理性。</w:t>
      </w:r>
    </w:p>
    <w:p>
      <w:pPr>
        <w:spacing w:line="400" w:lineRule="exact"/>
        <w:ind w:firstLine="420"/>
        <w:rPr>
          <w:color w:val="000000" w:themeColor="text1"/>
          <w14:textFill>
            <w14:solidFill>
              <w14:schemeClr w14:val="tx1"/>
            </w14:solidFill>
          </w14:textFill>
        </w:rPr>
      </w:pPr>
      <w:r>
        <w:rPr>
          <w:color w:val="000000" w:themeColor="text1"/>
          <w14:textFill>
            <w14:solidFill>
              <w14:schemeClr w14:val="tx1"/>
            </w14:solidFill>
          </w14:textFill>
        </w:rPr>
        <w:t>本标准在制定过程中参考了联合国法规</w:t>
      </w:r>
      <w:r>
        <w:rPr>
          <w:rFonts w:hint="eastAsia"/>
          <w:color w:val="000000" w:themeColor="text1"/>
          <w14:textFill>
            <w14:solidFill>
              <w14:schemeClr w14:val="tx1"/>
            </w14:solidFill>
          </w14:textFill>
        </w:rPr>
        <w:t>UN R61 Amendment 3/Supplement 3 to the original version of the Regulation《关于商用车驾驶室后围板前面外部凸出物认证的统一规定》（英文版）。标准的主要技术水平与联合国法规相当。</w:t>
      </w:r>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本标准的结构和编写要求符合GB/T 1.1—2020《标准化工作导则  第1部分：标准化文件的结构和起草规则》的规定。</w:t>
      </w:r>
    </w:p>
    <w:p>
      <w:pPr>
        <w:spacing w:before="156" w:beforeLines="50" w:after="156" w:afterLines="50" w:line="400" w:lineRule="exact"/>
        <w:ind w:firstLine="422"/>
        <w:rPr>
          <w:rFonts w:ascii="黑体" w:hAnsi="黑体" w:eastAsia="黑体" w:cs="宋体"/>
          <w:b/>
          <w:bCs/>
          <w:color w:val="000000" w:themeColor="text1"/>
          <w:szCs w:val="21"/>
          <w14:textFill>
            <w14:solidFill>
              <w14:schemeClr w14:val="tx1"/>
            </w14:solidFill>
          </w14:textFill>
        </w:rPr>
      </w:pPr>
      <w:r>
        <w:rPr>
          <w:rFonts w:hint="eastAsia" w:ascii="黑体" w:hAnsi="黑体" w:eastAsia="黑体" w:cs="宋体"/>
          <w:b/>
          <w:bCs/>
          <w:color w:val="000000" w:themeColor="text1"/>
          <w:szCs w:val="21"/>
          <w14:textFill>
            <w14:solidFill>
              <w14:schemeClr w14:val="tx1"/>
            </w14:solidFill>
          </w14:textFill>
        </w:rPr>
        <w:t>2、适用范围</w:t>
      </w:r>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本文件规定了商用车驾驶室后围板之前的车身外部凸出物的术语、一般规定、特殊规定及检验方法。</w:t>
      </w:r>
    </w:p>
    <w:p>
      <w:pPr>
        <w:spacing w:line="400" w:lineRule="exact"/>
        <w:ind w:firstLine="420"/>
        <w:rPr>
          <w:rFonts w:ascii="黑体" w:hAnsi="黑体" w:eastAsia="黑体" w:cs="宋体"/>
          <w:b/>
          <w:bCs/>
          <w:color w:val="000000" w:themeColor="text1"/>
          <w:szCs w:val="21"/>
          <w14:textFill>
            <w14:solidFill>
              <w14:schemeClr w14:val="tx1"/>
            </w14:solidFill>
          </w14:textFill>
        </w:rPr>
      </w:pPr>
      <w:r>
        <w:rPr>
          <w:rFonts w:hint="eastAsia"/>
          <w:color w:val="000000" w:themeColor="text1"/>
          <w14:textFill>
            <w14:solidFill>
              <w14:schemeClr w14:val="tx1"/>
            </w14:solidFill>
          </w14:textFill>
        </w:rPr>
        <w:t>本文件适用于N类汽车，但不适用于外部间接视野装置及其连接件、天线和行李架等附件。</w:t>
      </w:r>
    </w:p>
    <w:p>
      <w:pPr>
        <w:shd w:val="clear" w:color="auto" w:fill="FFFFFF"/>
        <w:spacing w:before="156" w:beforeLines="50" w:after="156" w:afterLines="50" w:line="400" w:lineRule="exact"/>
        <w:ind w:firstLine="422"/>
        <w:rPr>
          <w:rFonts w:ascii="黑体" w:hAnsi="黑体" w:eastAsia="黑体" w:cs="宋体"/>
          <w:b/>
          <w:bCs/>
          <w:color w:val="000000" w:themeColor="text1"/>
          <w:szCs w:val="21"/>
          <w14:textFill>
            <w14:solidFill>
              <w14:schemeClr w14:val="tx1"/>
            </w14:solidFill>
          </w14:textFill>
        </w:rPr>
      </w:pPr>
      <w:r>
        <w:rPr>
          <w:rFonts w:hint="eastAsia" w:ascii="黑体" w:hAnsi="黑体" w:eastAsia="黑体" w:cs="宋体"/>
          <w:b/>
          <w:bCs/>
          <w:color w:val="000000" w:themeColor="text1"/>
          <w:szCs w:val="21"/>
          <w14:textFill>
            <w14:solidFill>
              <w14:schemeClr w14:val="tx1"/>
            </w14:solidFill>
          </w14:textFill>
        </w:rPr>
        <w:t>3、本次修订的主要技术内容</w:t>
      </w:r>
    </w:p>
    <w:p>
      <w:pPr>
        <w:pStyle w:val="16"/>
        <w:numPr>
          <w:ilvl w:val="0"/>
          <w:numId w:val="3"/>
        </w:numPr>
        <w:spacing w:line="400" w:lineRule="exact"/>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修改了标准的适用范围：</w:t>
      </w:r>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本文件适用于N类汽车，但不适用于外部间接视野装置及其连接件、天线和行李架等附件。</w:t>
      </w:r>
    </w:p>
    <w:p>
      <w:pPr>
        <w:pStyle w:val="16"/>
        <w:numPr>
          <w:ilvl w:val="0"/>
          <w:numId w:val="3"/>
        </w:numPr>
        <w:spacing w:line="400" w:lineRule="exact"/>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增加了保险杠和保险杠覆盖件的定义：</w:t>
      </w:r>
    </w:p>
    <w:p>
      <w:pPr>
        <w:spacing w:line="400" w:lineRule="exact"/>
        <w:ind w:firstLine="420"/>
        <w:rPr>
          <w:rFonts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保险杠 </w:t>
      </w:r>
      <w:r>
        <w:rPr>
          <w:rFonts w:ascii="宋体" w:hAnsi="宋体"/>
          <w:color w:val="000000" w:themeColor="text1"/>
          <w14:textFill>
            <w14:solidFill>
              <w14:schemeClr w14:val="tx1"/>
            </w14:solidFill>
          </w14:textFill>
        </w:rPr>
        <w:t>bumper</w:t>
      </w:r>
      <w:r>
        <w:rPr>
          <w:rFonts w:hint="eastAsia" w:ascii="宋体"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车辆前部较低的外侧构件，包含在低速正面碰撞时保护车辆的所有结构及其附件。</w:t>
      </w:r>
    </w:p>
    <w:p>
      <w:pPr>
        <w:spacing w:line="400" w:lineRule="exact"/>
        <w:ind w:left="420" w:firstLine="0" w:firstLineChars="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保险杠覆盖件 bumper cover：</w:t>
      </w:r>
      <w:r>
        <w:rPr>
          <w:rFonts w:hint="eastAsia" w:ascii="宋体" w:hAnsi="宋体"/>
          <w:color w:val="000000" w:themeColor="text1"/>
          <w:szCs w:val="21"/>
          <w:lang w:val="fr-FR"/>
          <w14:textFill>
            <w14:solidFill>
              <w14:schemeClr w14:val="tx1"/>
            </w14:solidFill>
          </w14:textFill>
        </w:rPr>
        <w:t>保险杠</w:t>
      </w:r>
      <w:r>
        <w:rPr>
          <w:rFonts w:hint="eastAsia" w:hAnsi="宋体"/>
          <w:color w:val="000000" w:themeColor="text1"/>
          <w:szCs w:val="21"/>
          <w:lang w:val="fr-FR"/>
          <w14:textFill>
            <w14:solidFill>
              <w14:schemeClr w14:val="tx1"/>
            </w14:solidFill>
          </w14:textFill>
        </w:rPr>
        <w:t>非刚性外表面，通常延伸至车辆前部的整个宽度。</w:t>
      </w:r>
    </w:p>
    <w:p>
      <w:pPr>
        <w:pStyle w:val="16"/>
        <w:numPr>
          <w:ilvl w:val="0"/>
          <w:numId w:val="3"/>
        </w:numPr>
        <w:spacing w:line="400" w:lineRule="exact"/>
        <w:ind w:firstLineChars="0"/>
        <w:rPr>
          <w:color w:val="000000" w:themeColor="text1"/>
          <w14:textFill>
            <w14:solidFill>
              <w14:schemeClr w14:val="tx1"/>
            </w14:solidFill>
          </w14:textFill>
        </w:rPr>
      </w:pPr>
      <w:r>
        <w:rPr>
          <w:color w:val="000000" w:themeColor="text1"/>
          <w14:textFill>
            <w14:solidFill>
              <w14:schemeClr w14:val="tx1"/>
            </w14:solidFill>
          </w14:textFill>
        </w:rPr>
        <w:t>更改了不适用本文件的车身外表面的部件范围</w:t>
      </w:r>
      <w:r>
        <w:rPr>
          <w:rFonts w:hint="eastAsia"/>
          <w:color w:val="000000" w:themeColor="text1"/>
          <w14:textFill>
            <w14:solidFill>
              <w14:schemeClr w14:val="tx1"/>
            </w14:solidFill>
          </w14:textFill>
        </w:rPr>
        <w:t>：</w:t>
      </w:r>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由“不</w:t>
      </w:r>
      <w:r>
        <w:rPr>
          <w:rFonts w:ascii="宋体" w:hAnsi="宋体"/>
          <w:color w:val="000000" w:themeColor="text1"/>
          <w14:textFill>
            <w14:solidFill>
              <w14:schemeClr w14:val="tx1"/>
            </w14:solidFill>
          </w14:textFill>
        </w:rPr>
        <w:t>高于地面2m或低于基准平面或底线的部件</w:t>
      </w:r>
      <w:r>
        <w:rPr>
          <w:rFonts w:hint="eastAsia"/>
          <w:color w:val="000000" w:themeColor="text1"/>
          <w14:textFill>
            <w14:solidFill>
              <w14:schemeClr w14:val="tx1"/>
            </w14:solidFill>
          </w14:textFill>
        </w:rPr>
        <w:t>”更改为“不</w:t>
      </w:r>
      <w:r>
        <w:rPr>
          <w:rFonts w:ascii="宋体" w:hAnsi="宋体"/>
          <w:color w:val="000000" w:themeColor="text1"/>
          <w14:textFill>
            <w14:solidFill>
              <w14:schemeClr w14:val="tx1"/>
            </w14:solidFill>
          </w14:textFill>
        </w:rPr>
        <w:t>高于地面2m或低于基准平面或底线的部件</w:t>
      </w:r>
      <w:r>
        <w:rPr>
          <w:rFonts w:hint="eastAsia" w:ascii="宋体" w:hAnsi="宋体"/>
          <w:color w:val="000000" w:themeColor="text1"/>
          <w14:textFill>
            <w14:solidFill>
              <w14:schemeClr w14:val="tx1"/>
            </w14:solidFill>
          </w14:textFill>
        </w:rPr>
        <w:t>。</w:t>
      </w:r>
      <w:r>
        <w:rPr>
          <w:rFonts w:hint="eastAsia"/>
          <w:color w:val="000000" w:themeColor="text1"/>
          <w14:textFill>
            <w14:solidFill>
              <w14:schemeClr w14:val="tx1"/>
            </w14:solidFill>
          </w14:textFill>
        </w:rPr>
        <w:t>”</w:t>
      </w:r>
    </w:p>
    <w:p>
      <w:pPr>
        <w:pStyle w:val="16"/>
        <w:numPr>
          <w:ilvl w:val="0"/>
          <w:numId w:val="3"/>
        </w:numPr>
        <w:spacing w:line="400" w:lineRule="exact"/>
        <w:ind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增加了保险杠覆盖件的技术要求：</w:t>
      </w:r>
    </w:p>
    <w:p>
      <w:pPr>
        <w:spacing w:line="400" w:lineRule="exact"/>
        <w:ind w:firstLine="42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保险杠上的元件所有朝外的刚性表面的圆角半径不应小于5mm。但如果安装有保险杠</w:t>
      </w:r>
      <w:r>
        <w:rPr>
          <w:rFonts w:hint="eastAsia" w:ascii="宋体" w:hAnsi="宋体"/>
          <w:color w:val="000000" w:themeColor="text1"/>
          <w14:textFill>
            <w14:solidFill>
              <w14:schemeClr w14:val="tx1"/>
            </w14:solidFill>
          </w14:textFill>
        </w:rPr>
        <w:t>覆盖件</w:t>
      </w:r>
      <w:r>
        <w:rPr>
          <w:rFonts w:ascii="宋体" w:hAnsi="宋体"/>
          <w:color w:val="000000" w:themeColor="text1"/>
          <w14:textFill>
            <w14:solidFill>
              <w14:schemeClr w14:val="tx1"/>
            </w14:solidFill>
          </w14:textFill>
        </w:rPr>
        <w:t>，其圆角半径不应小于2.5mm。</w:t>
      </w:r>
    </w:p>
    <w:p>
      <w:pPr>
        <w:spacing w:line="400" w:lineRule="exact"/>
        <w:ind w:left="420" w:firstLine="0" w:firstLineChars="0"/>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 新增了</w:t>
      </w:r>
      <w:r>
        <w:rPr>
          <w:rFonts w:hint="eastAsia"/>
          <w:color w:val="000000" w:themeColor="text1"/>
          <w14:textFill>
            <w14:solidFill>
              <w14:schemeClr w14:val="tx1"/>
            </w14:solidFill>
          </w14:textFill>
        </w:rPr>
        <w:t>车辆型式变更与扩展的技术内容</w:t>
      </w:r>
    </w:p>
    <w:p>
      <w:pPr>
        <w:pStyle w:val="21"/>
        <w:ind w:firstLine="420"/>
        <w:rPr>
          <w:rFonts w:hAnsi="宋体"/>
          <w:color w:val="000000" w:themeColor="text1"/>
          <w:lang w:val="fr-CH"/>
          <w14:textFill>
            <w14:solidFill>
              <w14:schemeClr w14:val="tx1"/>
            </w14:solidFill>
          </w14:textFill>
        </w:rPr>
      </w:pPr>
      <w:r>
        <w:rPr>
          <w:rFonts w:hint="eastAsia" w:hAnsi="宋体"/>
          <w:color w:val="000000" w:themeColor="text1"/>
          <w:lang w:val="fr-CH"/>
          <w14:textFill>
            <w14:solidFill>
              <w14:schemeClr w14:val="tx1"/>
            </w14:solidFill>
          </w14:textFill>
        </w:rPr>
        <w:t>以下要素没有差异的车辆，或以下要素对本文件规定的试验结果无影响的车辆，视为同一型式：</w:t>
      </w:r>
    </w:p>
    <w:p>
      <w:pPr>
        <w:pStyle w:val="22"/>
        <w:numPr>
          <w:ilvl w:val="0"/>
          <w:numId w:val="0"/>
        </w:numPr>
        <w:ind w:left="424" w:leftChars="200" w:hanging="4" w:hangingChars="2"/>
        <w:rPr>
          <w:color w:val="000000" w:themeColor="text1"/>
          <w14:textFill>
            <w14:solidFill>
              <w14:schemeClr w14:val="tx1"/>
            </w14:solidFill>
          </w14:textFill>
        </w:rPr>
      </w:pPr>
      <w:r>
        <w:rPr>
          <w:rFonts w:hint="eastAsia"/>
          <w:color w:val="000000" w:themeColor="text1"/>
          <w:lang w:val="fr-CH"/>
          <w14:textFill>
            <w14:solidFill>
              <w14:schemeClr w14:val="tx1"/>
            </w14:solidFill>
          </w14:textFill>
        </w:rPr>
        <w:t>——驾驶室在车辆上的位置；</w:t>
      </w:r>
    </w:p>
    <w:p>
      <w:pPr>
        <w:pStyle w:val="22"/>
        <w:numPr>
          <w:ilvl w:val="0"/>
          <w:numId w:val="0"/>
        </w:numPr>
        <w:ind w:left="424" w:leftChars="200" w:hanging="4" w:hangingChars="2"/>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fr-CH"/>
          <w14:textFill>
            <w14:solidFill>
              <w14:schemeClr w14:val="tx1"/>
            </w14:solidFill>
          </w14:textFill>
        </w:rPr>
        <w:t>驾驶室及其附件的形状、尺寸及生产厂家；</w:t>
      </w:r>
    </w:p>
    <w:p>
      <w:pPr>
        <w:pStyle w:val="22"/>
        <w:numPr>
          <w:ilvl w:val="0"/>
          <w:numId w:val="0"/>
        </w:numPr>
        <w:ind w:left="424" w:leftChars="200" w:hanging="4" w:hangingChars="2"/>
        <w:rPr>
          <w:color w:val="000000" w:themeColor="text1"/>
          <w14:textFill>
            <w14:solidFill>
              <w14:schemeClr w14:val="tx1"/>
            </w14:solidFill>
          </w14:textFill>
        </w:rPr>
      </w:pPr>
      <w:r>
        <w:rPr>
          <w:rFonts w:hint="eastAsia"/>
          <w:color w:val="000000" w:themeColor="text1"/>
          <w14:textFill>
            <w14:solidFill>
              <w14:schemeClr w14:val="tx1"/>
            </w14:solidFill>
          </w14:textFill>
        </w:rPr>
        <w:t>——</w:t>
      </w:r>
      <w:r>
        <w:rPr>
          <w:rFonts w:hint="eastAsia"/>
          <w:color w:val="000000" w:themeColor="text1"/>
          <w:lang w:val="fr-CH"/>
          <w14:textFill>
            <w14:solidFill>
              <w14:schemeClr w14:val="tx1"/>
            </w14:solidFill>
          </w14:textFill>
        </w:rPr>
        <w:t>保险杠材质、形状、尺寸及生产厂家。</w:t>
      </w:r>
    </w:p>
    <w:p>
      <w:pPr>
        <w:snapToGrid w:val="0"/>
        <w:spacing w:before="312" w:beforeLines="100" w:after="312" w:afterLines="100"/>
        <w:ind w:firstLine="422"/>
        <w:rPr>
          <w:rFonts w:ascii="黑体" w:hAnsi="黑体" w:eastAsia="黑体"/>
          <w:b/>
          <w:color w:val="000000" w:themeColor="text1"/>
          <w14:textFill>
            <w14:solidFill>
              <w14:schemeClr w14:val="tx1"/>
            </w14:solidFill>
          </w14:textFill>
        </w:rPr>
      </w:pPr>
      <w:r>
        <w:rPr>
          <w:rFonts w:hint="eastAsia" w:ascii="黑体" w:hAnsi="黑体" w:eastAsia="黑体"/>
          <w:b/>
          <w:color w:val="000000" w:themeColor="text1"/>
          <w14:textFill>
            <w14:solidFill>
              <w14:schemeClr w14:val="tx1"/>
            </w14:solidFill>
          </w14:textFill>
        </w:rPr>
        <w:t>4、主要技术要求的依据</w:t>
      </w:r>
    </w:p>
    <w:p>
      <w:pPr>
        <w:snapToGrid w:val="0"/>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该标准主要在结合</w:t>
      </w:r>
      <w:r>
        <w:rPr>
          <w:rFonts w:hint="eastAsia"/>
          <w:color w:val="000000" w:themeColor="text1"/>
          <w14:textFill>
            <w14:solidFill>
              <w14:schemeClr w14:val="tx1"/>
            </w14:solidFill>
          </w14:textFill>
        </w:rPr>
        <w:t>UN R61 Amendment 3/Supplement 3 to the original version of the Regulation《关于商用车驾驶室后围板前面外部凸出物认证的统一规定》（英文版）</w:t>
      </w:r>
      <w:r>
        <w:rPr>
          <w:rFonts w:hint="eastAsia" w:ascii="宋体" w:hAnsi="宋体" w:cs="宋体"/>
          <w:bCs/>
          <w:color w:val="000000" w:themeColor="text1"/>
          <w:szCs w:val="21"/>
          <w14:textFill>
            <w14:solidFill>
              <w14:schemeClr w14:val="tx1"/>
            </w14:solidFill>
          </w14:textFill>
        </w:rPr>
        <w:t>及相关企业技术反馈制定完成。在现有标准基础上：</w:t>
      </w:r>
      <w:r>
        <w:rPr>
          <w:rFonts w:ascii="宋体" w:hAnsi="宋体" w:cs="宋体"/>
          <w:bCs/>
          <w:color w:val="000000" w:themeColor="text1"/>
          <w:szCs w:val="21"/>
          <w14:textFill>
            <w14:solidFill>
              <w14:schemeClr w14:val="tx1"/>
            </w14:solidFill>
          </w14:textFill>
        </w:rPr>
        <w:fldChar w:fldCharType="begin"/>
      </w:r>
      <w:r>
        <w:rPr>
          <w:rFonts w:ascii="宋体" w:hAnsi="宋体" w:cs="宋体"/>
          <w:bCs/>
          <w:color w:val="000000" w:themeColor="text1"/>
          <w:szCs w:val="21"/>
          <w14:textFill>
            <w14:solidFill>
              <w14:schemeClr w14:val="tx1"/>
            </w14:solidFill>
          </w14:textFill>
        </w:rPr>
        <w:instrText xml:space="preserve"> </w:instrText>
      </w:r>
      <w:r>
        <w:rPr>
          <w:rFonts w:hint="eastAsia" w:ascii="宋体" w:hAnsi="宋体" w:cs="宋体"/>
          <w:bCs/>
          <w:color w:val="000000" w:themeColor="text1"/>
          <w:szCs w:val="21"/>
          <w14:textFill>
            <w14:solidFill>
              <w14:schemeClr w14:val="tx1"/>
            </w14:solidFill>
          </w14:textFill>
        </w:rPr>
        <w:instrText xml:space="preserve">eq \o\ac(○,</w:instrText>
      </w:r>
      <w:r>
        <w:rPr>
          <w:rFonts w:hint="eastAsia" w:ascii="宋体" w:hAnsi="宋体" w:cs="宋体"/>
          <w:bCs/>
          <w:color w:val="000000" w:themeColor="text1"/>
          <w:position w:val="2"/>
          <w:sz w:val="14"/>
          <w:szCs w:val="21"/>
          <w14:textFill>
            <w14:solidFill>
              <w14:schemeClr w14:val="tx1"/>
            </w14:solidFill>
          </w14:textFill>
        </w:rPr>
        <w:instrText xml:space="preserve">1</w:instrText>
      </w:r>
      <w:r>
        <w:rPr>
          <w:rFonts w:hint="eastAsia" w:ascii="宋体" w:hAnsi="宋体" w:cs="宋体"/>
          <w:bCs/>
          <w:color w:val="000000" w:themeColor="text1"/>
          <w:szCs w:val="21"/>
          <w14:textFill>
            <w14:solidFill>
              <w14:schemeClr w14:val="tx1"/>
            </w14:solidFill>
          </w14:textFill>
        </w:rPr>
        <w:instrText xml:space="preserve">)</w:instrText>
      </w:r>
      <w:r>
        <w:rPr>
          <w:rFonts w:ascii="宋体" w:hAnsi="宋体" w:cs="宋体"/>
          <w:bCs/>
          <w:color w:val="000000" w:themeColor="text1"/>
          <w:szCs w:val="21"/>
          <w14:textFill>
            <w14:solidFill>
              <w14:schemeClr w14:val="tx1"/>
            </w14:solidFill>
          </w14:textFill>
        </w:rPr>
        <w:fldChar w:fldCharType="end"/>
      </w:r>
      <w:r>
        <w:rPr>
          <w:rFonts w:hint="eastAsia" w:ascii="宋体" w:hAnsi="宋体" w:cs="宋体"/>
          <w:bCs/>
          <w:color w:val="000000" w:themeColor="text1"/>
          <w:szCs w:val="21"/>
          <w14:textFill>
            <w14:solidFill>
              <w14:schemeClr w14:val="tx1"/>
            </w14:solidFill>
          </w14:textFill>
        </w:rPr>
        <w:t>将外后视镜修改为外部间接视野装置，和现有GB15084-2013《机动车辆 间接视野装置 性能和安装要求》标准内容保持一致；</w:t>
      </w:r>
      <w:r>
        <w:rPr>
          <w:rFonts w:ascii="宋体" w:hAnsi="宋体" w:cs="宋体"/>
          <w:bCs/>
          <w:color w:val="000000" w:themeColor="text1"/>
          <w:szCs w:val="21"/>
          <w14:textFill>
            <w14:solidFill>
              <w14:schemeClr w14:val="tx1"/>
            </w14:solidFill>
          </w14:textFill>
        </w:rPr>
        <w:fldChar w:fldCharType="begin"/>
      </w:r>
      <w:r>
        <w:rPr>
          <w:rFonts w:ascii="宋体" w:hAnsi="宋体" w:cs="宋体"/>
          <w:bCs/>
          <w:color w:val="000000" w:themeColor="text1"/>
          <w:szCs w:val="21"/>
          <w14:textFill>
            <w14:solidFill>
              <w14:schemeClr w14:val="tx1"/>
            </w14:solidFill>
          </w14:textFill>
        </w:rPr>
        <w:instrText xml:space="preserve"> </w:instrText>
      </w:r>
      <w:r>
        <w:rPr>
          <w:rFonts w:hint="eastAsia" w:ascii="宋体" w:hAnsi="宋体" w:cs="宋体"/>
          <w:bCs/>
          <w:color w:val="000000" w:themeColor="text1"/>
          <w:szCs w:val="21"/>
          <w14:textFill>
            <w14:solidFill>
              <w14:schemeClr w14:val="tx1"/>
            </w14:solidFill>
          </w14:textFill>
        </w:rPr>
        <w:instrText xml:space="preserve">eq \o\ac(○,</w:instrText>
      </w:r>
      <w:r>
        <w:rPr>
          <w:rFonts w:hint="eastAsia" w:ascii="宋体" w:hAnsi="宋体" w:cs="宋体"/>
          <w:bCs/>
          <w:color w:val="000000" w:themeColor="text1"/>
          <w:position w:val="2"/>
          <w:sz w:val="14"/>
          <w:szCs w:val="21"/>
          <w14:textFill>
            <w14:solidFill>
              <w14:schemeClr w14:val="tx1"/>
            </w14:solidFill>
          </w14:textFill>
        </w:rPr>
        <w:instrText xml:space="preserve">2</w:instrText>
      </w:r>
      <w:r>
        <w:rPr>
          <w:rFonts w:hint="eastAsia" w:ascii="宋体" w:hAnsi="宋体" w:cs="宋体"/>
          <w:bCs/>
          <w:color w:val="000000" w:themeColor="text1"/>
          <w:szCs w:val="21"/>
          <w14:textFill>
            <w14:solidFill>
              <w14:schemeClr w14:val="tx1"/>
            </w14:solidFill>
          </w14:textFill>
        </w:rPr>
        <w:instrText xml:space="preserve">)</w:instrText>
      </w:r>
      <w:r>
        <w:rPr>
          <w:rFonts w:ascii="宋体" w:hAnsi="宋体" w:cs="宋体"/>
          <w:bCs/>
          <w:color w:val="000000" w:themeColor="text1"/>
          <w:szCs w:val="21"/>
          <w14:textFill>
            <w14:solidFill>
              <w14:schemeClr w14:val="tx1"/>
            </w14:solidFill>
          </w14:textFill>
        </w:rPr>
        <w:fldChar w:fldCharType="end"/>
      </w:r>
      <w:r>
        <w:rPr>
          <w:rFonts w:hint="eastAsia" w:ascii="宋体" w:hAnsi="宋体" w:cs="宋体"/>
          <w:bCs/>
          <w:color w:val="000000" w:themeColor="text1"/>
          <w:szCs w:val="21"/>
          <w14:textFill>
            <w14:solidFill>
              <w14:schemeClr w14:val="tx1"/>
            </w14:solidFill>
          </w14:textFill>
        </w:rPr>
        <w:t>将免检高度由1.8m调至2.0m，以使满足现有国情；</w:t>
      </w:r>
      <w:r>
        <w:rPr>
          <w:rFonts w:ascii="宋体" w:hAnsi="宋体" w:cs="宋体"/>
          <w:bCs/>
          <w:color w:val="000000" w:themeColor="text1"/>
          <w:szCs w:val="21"/>
          <w14:textFill>
            <w14:solidFill>
              <w14:schemeClr w14:val="tx1"/>
            </w14:solidFill>
          </w14:textFill>
        </w:rPr>
        <w:fldChar w:fldCharType="begin"/>
      </w:r>
      <w:r>
        <w:rPr>
          <w:rFonts w:ascii="宋体" w:hAnsi="宋体" w:cs="宋体"/>
          <w:bCs/>
          <w:color w:val="000000" w:themeColor="text1"/>
          <w:szCs w:val="21"/>
          <w14:textFill>
            <w14:solidFill>
              <w14:schemeClr w14:val="tx1"/>
            </w14:solidFill>
          </w14:textFill>
        </w:rPr>
        <w:instrText xml:space="preserve"> </w:instrText>
      </w:r>
      <w:r>
        <w:rPr>
          <w:rFonts w:hint="eastAsia" w:ascii="宋体" w:hAnsi="宋体" w:cs="宋体"/>
          <w:bCs/>
          <w:color w:val="000000" w:themeColor="text1"/>
          <w:szCs w:val="21"/>
          <w14:textFill>
            <w14:solidFill>
              <w14:schemeClr w14:val="tx1"/>
            </w14:solidFill>
          </w14:textFill>
        </w:rPr>
        <w:instrText xml:space="preserve">eq \o\ac(○,</w:instrText>
      </w:r>
      <w:r>
        <w:rPr>
          <w:rFonts w:hint="eastAsia" w:ascii="宋体" w:hAnsi="宋体" w:cs="宋体"/>
          <w:bCs/>
          <w:color w:val="000000" w:themeColor="text1"/>
          <w:position w:val="2"/>
          <w:sz w:val="14"/>
          <w:szCs w:val="21"/>
          <w14:textFill>
            <w14:solidFill>
              <w14:schemeClr w14:val="tx1"/>
            </w14:solidFill>
          </w14:textFill>
        </w:rPr>
        <w:instrText xml:space="preserve">3</w:instrText>
      </w:r>
      <w:r>
        <w:rPr>
          <w:rFonts w:hint="eastAsia" w:ascii="宋体" w:hAnsi="宋体" w:cs="宋体"/>
          <w:bCs/>
          <w:color w:val="000000" w:themeColor="text1"/>
          <w:szCs w:val="21"/>
          <w14:textFill>
            <w14:solidFill>
              <w14:schemeClr w14:val="tx1"/>
            </w14:solidFill>
          </w14:textFill>
        </w:rPr>
        <w:instrText xml:space="preserve">)</w:instrText>
      </w:r>
      <w:r>
        <w:rPr>
          <w:rFonts w:ascii="宋体" w:hAnsi="宋体" w:cs="宋体"/>
          <w:bCs/>
          <w:color w:val="000000" w:themeColor="text1"/>
          <w:szCs w:val="21"/>
          <w14:textFill>
            <w14:solidFill>
              <w14:schemeClr w14:val="tx1"/>
            </w14:solidFill>
          </w14:textFill>
        </w:rPr>
        <w:fldChar w:fldCharType="end"/>
      </w:r>
      <w:r>
        <w:rPr>
          <w:rFonts w:hint="eastAsia" w:ascii="宋体" w:hAnsi="宋体" w:cs="宋体"/>
          <w:bCs/>
          <w:color w:val="000000" w:themeColor="text1"/>
          <w:szCs w:val="21"/>
          <w14:textFill>
            <w14:solidFill>
              <w14:schemeClr w14:val="tx1"/>
            </w14:solidFill>
          </w14:textFill>
        </w:rPr>
        <w:t>增加了保险杠定义、保险杠覆盖件的定义和技术要求，在不增加车外人员伤害的前提下，鼓励现代汽车发展的技术创新，与时俱进。</w:t>
      </w:r>
    </w:p>
    <w:p>
      <w:pPr>
        <w:snapToGrid w:val="0"/>
        <w:ind w:firstLine="420"/>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1）</w:t>
      </w:r>
      <w:r>
        <w:rPr>
          <w:color w:val="000000" w:themeColor="text1"/>
          <w14:textFill>
            <w14:solidFill>
              <w14:schemeClr w14:val="tx1"/>
            </w14:solidFill>
          </w14:textFill>
        </w:rPr>
        <w:t>不适用本文件的车身外表面的部件范围的修改</w:t>
      </w:r>
      <w:r>
        <w:rPr>
          <w:rFonts w:hint="eastAsia"/>
          <w:color w:val="000000" w:themeColor="text1"/>
          <w14:textFill>
            <w14:solidFill>
              <w14:schemeClr w14:val="tx1"/>
            </w14:solidFill>
          </w14:textFill>
        </w:rPr>
        <w:t>：</w:t>
      </w:r>
    </w:p>
    <w:p>
      <w:pPr>
        <w:snapToGrid w:val="0"/>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随着近十几年来生活的大幅度提高，中国人在饮食方面获得了极大的改善，身高日益趋高，成年男性的平均身高由1.70m上升至约1.76m，身高超过1.8m已是普遍现象，将免检高度设为1.8m，已不符合现有国情，所以此次修订很有必要将免检高度调高至2.0m。</w:t>
      </w:r>
    </w:p>
    <w:p>
      <w:pPr>
        <w:snapToGrid w:val="0"/>
        <w:ind w:firstLine="0" w:firstLineChars="0"/>
        <w:jc w:val="left"/>
        <w:rPr>
          <w:rFonts w:ascii="宋体" w:hAnsi="宋体" w:cs="宋体"/>
          <w:bCs/>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ab/>
      </w:r>
      <w:r>
        <w:rPr>
          <w:rFonts w:hint="eastAsia" w:ascii="宋体" w:hAnsi="宋体" w:cs="宋体"/>
          <w:bCs/>
          <w:color w:val="000000" w:themeColor="text1"/>
          <w:szCs w:val="21"/>
          <w14:textFill>
            <w14:solidFill>
              <w14:schemeClr w14:val="tx1"/>
            </w14:solidFill>
          </w14:textFill>
        </w:rPr>
        <w:t>以下是部分车型将检测高度调高至2.0m的示意图：</w:t>
      </w:r>
    </w:p>
    <w:p>
      <w:pPr>
        <w:snapToGrid w:val="0"/>
        <w:ind w:firstLine="0" w:firstLineChars="0"/>
        <w:jc w:val="left"/>
        <w:rPr>
          <w:rFonts w:ascii="宋体" w:hAnsi="宋体" w:cs="宋体"/>
          <w:bCs/>
          <w:color w:val="000000" w:themeColor="text1"/>
          <w:szCs w:val="21"/>
          <w14:textFill>
            <w14:solidFill>
              <w14:schemeClr w14:val="tx1"/>
            </w14:solidFill>
          </w14:textFill>
        </w:rPr>
      </w:pPr>
      <w:r>
        <w:rPr>
          <w:color w:val="000000" w:themeColor="text1"/>
          <w14:textFill>
            <w14:solidFill>
              <w14:schemeClr w14:val="tx1"/>
            </w14:solidFill>
          </w14:textFill>
        </w:rPr>
        <w:drawing>
          <wp:inline distT="0" distB="0" distL="0" distR="0">
            <wp:extent cx="2323465" cy="2323465"/>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2323809" cy="2323809"/>
                    </a:xfrm>
                    <a:prstGeom prst="rect">
                      <a:avLst/>
                    </a:prstGeom>
                  </pic:spPr>
                </pic:pic>
              </a:graphicData>
            </a:graphic>
          </wp:inline>
        </w:drawing>
      </w:r>
      <w:r>
        <w:rPr>
          <w:rFonts w:hint="eastAsia" w:ascii="宋体" w:hAnsi="宋体" w:cs="宋体"/>
          <w:bCs/>
          <w:color w:val="000000" w:themeColor="text1"/>
          <w:szCs w:val="21"/>
          <w14:textFill>
            <w14:solidFill>
              <w14:schemeClr w14:val="tx1"/>
            </w14:solidFill>
          </w14:textFill>
        </w:rPr>
        <w:t xml:space="preserve">           </w:t>
      </w:r>
      <w:r>
        <w:rPr>
          <w:rFonts w:ascii="宋体" w:hAnsi="宋体" w:cs="宋体"/>
          <w:bCs/>
          <w:color w:val="000000" w:themeColor="text1"/>
          <w:szCs w:val="21"/>
          <w14:textFill>
            <w14:solidFill>
              <w14:schemeClr w14:val="tx1"/>
            </w14:solidFill>
          </w14:textFill>
        </w:rPr>
        <w:drawing>
          <wp:inline distT="0" distB="0" distL="0" distR="0">
            <wp:extent cx="2066925" cy="2336800"/>
            <wp:effectExtent l="0" t="0" r="0" b="6350"/>
            <wp:docPr id="1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pic:cNvPicPr>
                      <a:picLocks noChangeAspect="1"/>
                    </pic:cNvPicPr>
                  </pic:nvPicPr>
                  <pic:blipFill>
                    <a:blip r:embed="rId11"/>
                    <a:stretch>
                      <a:fillRect/>
                    </a:stretch>
                  </pic:blipFill>
                  <pic:spPr>
                    <a:xfrm>
                      <a:off x="0" y="0"/>
                      <a:ext cx="2072059" cy="2342615"/>
                    </a:xfrm>
                    <a:prstGeom prst="rect">
                      <a:avLst/>
                    </a:prstGeom>
                  </pic:spPr>
                </pic:pic>
              </a:graphicData>
            </a:graphic>
          </wp:inline>
        </w:drawing>
      </w:r>
    </w:p>
    <w:p>
      <w:pPr>
        <w:widowControl/>
        <w:tabs>
          <w:tab w:val="left" w:pos="6237"/>
          <w:tab w:val="left" w:pos="6379"/>
        </w:tabs>
        <w:spacing w:line="240" w:lineRule="auto"/>
        <w:ind w:firstLine="1680" w:firstLineChars="800"/>
        <w:jc w:val="left"/>
        <w:rPr>
          <w:color w:val="000000" w:themeColor="text1"/>
          <w14:textFill>
            <w14:solidFill>
              <w14:schemeClr w14:val="tx1"/>
            </w14:solidFill>
          </w14:textFill>
        </w:rPr>
      </w:pPr>
      <w:r>
        <w:rPr>
          <w:color w:val="000000" w:themeColor="text1"/>
          <w14:textFill>
            <w14:solidFill>
              <w14:schemeClr w14:val="tx1"/>
            </w14:solidFill>
          </w14:textFill>
        </w:rPr>
        <w:t>图</w:t>
      </w:r>
      <w:r>
        <w:rPr>
          <w:rFonts w:hint="eastAsia"/>
          <w:color w:val="000000" w:themeColor="text1"/>
          <w14:textFill>
            <w14:solidFill>
              <w14:schemeClr w14:val="tx1"/>
            </w14:solidFill>
          </w14:textFill>
        </w:rPr>
        <w:t>2                                       图3</w:t>
      </w:r>
    </w:p>
    <w:p>
      <w:pPr>
        <w:widowControl/>
        <w:spacing w:line="240" w:lineRule="auto"/>
        <w:ind w:firstLine="199" w:firstLineChars="95"/>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2209800" cy="2209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a:stretch>
                      <a:fillRect/>
                    </a:stretch>
                  </pic:blipFill>
                  <pic:spPr>
                    <a:xfrm>
                      <a:off x="0" y="0"/>
                      <a:ext cx="2209523" cy="2209523"/>
                    </a:xfrm>
                    <a:prstGeom prst="rect">
                      <a:avLst/>
                    </a:prstGeom>
                  </pic:spPr>
                </pic:pic>
              </a:graphicData>
            </a:graphic>
          </wp:inline>
        </w:drawing>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drawing>
          <wp:inline distT="0" distB="0" distL="0" distR="0">
            <wp:extent cx="2172970" cy="22098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3"/>
                    <a:stretch>
                      <a:fillRect/>
                    </a:stretch>
                  </pic:blipFill>
                  <pic:spPr>
                    <a:xfrm>
                      <a:off x="0" y="0"/>
                      <a:ext cx="2173003" cy="2209524"/>
                    </a:xfrm>
                    <a:prstGeom prst="rect">
                      <a:avLst/>
                    </a:prstGeom>
                  </pic:spPr>
                </pic:pic>
              </a:graphicData>
            </a:graphic>
          </wp:inline>
        </w:drawing>
      </w:r>
    </w:p>
    <w:p>
      <w:pPr>
        <w:widowControl/>
        <w:tabs>
          <w:tab w:val="left" w:pos="6237"/>
        </w:tabs>
        <w:spacing w:line="240" w:lineRule="auto"/>
        <w:ind w:firstLine="1669" w:firstLineChars="795"/>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图4                                       图5</w:t>
      </w:r>
    </w:p>
    <w:p>
      <w:pPr>
        <w:widowControl/>
        <w:tabs>
          <w:tab w:val="left" w:pos="6237"/>
        </w:tabs>
        <w:spacing w:line="240" w:lineRule="auto"/>
        <w:ind w:firstLine="199" w:firstLineChars="95"/>
        <w:jc w:val="left"/>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0" distR="0">
            <wp:extent cx="2209800" cy="21799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4"/>
                    <a:stretch>
                      <a:fillRect/>
                    </a:stretch>
                  </pic:blipFill>
                  <pic:spPr>
                    <a:xfrm>
                      <a:off x="0" y="0"/>
                      <a:ext cx="2209524" cy="2179767"/>
                    </a:xfrm>
                    <a:prstGeom prst="rect">
                      <a:avLst/>
                    </a:prstGeom>
                  </pic:spPr>
                </pic:pic>
              </a:graphicData>
            </a:graphic>
          </wp:inline>
        </w:drawing>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drawing>
          <wp:inline distT="0" distB="0" distL="0" distR="0">
            <wp:extent cx="2132330" cy="2200275"/>
            <wp:effectExtent l="0" t="0" r="127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5"/>
                    <a:stretch>
                      <a:fillRect/>
                    </a:stretch>
                  </pic:blipFill>
                  <pic:spPr>
                    <a:xfrm>
                      <a:off x="0" y="0"/>
                      <a:ext cx="2132192" cy="2200000"/>
                    </a:xfrm>
                    <a:prstGeom prst="rect">
                      <a:avLst/>
                    </a:prstGeom>
                  </pic:spPr>
                </pic:pic>
              </a:graphicData>
            </a:graphic>
          </wp:inline>
        </w:drawing>
      </w:r>
    </w:p>
    <w:p>
      <w:pPr>
        <w:widowControl/>
        <w:tabs>
          <w:tab w:val="left" w:pos="6237"/>
        </w:tabs>
        <w:spacing w:line="240" w:lineRule="auto"/>
        <w:ind w:firstLine="1669" w:firstLineChars="795"/>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图6                                       图7</w:t>
      </w:r>
    </w:p>
    <w:p>
      <w:pPr>
        <w:widowControl/>
        <w:tabs>
          <w:tab w:val="left" w:pos="6237"/>
        </w:tabs>
        <w:spacing w:line="240" w:lineRule="auto"/>
        <w:ind w:firstLine="420"/>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从图2~图7可知，将不适用零件范围由不低于2.0m后，在此增加的高度范围内，部分车型无凸出部件，不受影响，部分车型有新增部件（如把手、商标、风窗刮水器等）需要纳入标准的管控范围。</w:t>
      </w:r>
    </w:p>
    <w:p>
      <w:pPr>
        <w:ind w:firstLine="420"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rFonts w:hint="eastAsia"/>
          <w:b/>
          <w:color w:val="000000" w:themeColor="text1"/>
          <w14:textFill>
            <w14:solidFill>
              <w14:schemeClr w14:val="tx1"/>
            </w14:solidFill>
          </w14:textFill>
        </w:rPr>
        <w:t>保险杠</w:t>
      </w:r>
    </w:p>
    <w:p>
      <w:pPr>
        <w:pStyle w:val="16"/>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随着工程塑料的大量应用以及现代汽车对轻量化的追求，汽车保险杠不再是由单纯的刚性件组成，外板基本都是由塑料件所覆盖，但我们现有标准GB20182-2006只有对保险杠刚性表面的技术要求，而对非刚性表面没有特别规定。</w:t>
      </w:r>
    </w:p>
    <w:p>
      <w:pPr>
        <w:pStyle w:val="16"/>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为了区分保险杠表面的刚性和非刚性要求，考虑与国际法规的一致性，适应保险杠的发展趋势，有必要增加保险杠非刚性表面的技术要求，并明确保险杠和保险杠覆盖件的定义：</w:t>
      </w:r>
    </w:p>
    <w:p>
      <w:pPr>
        <w:pStyle w:val="16"/>
        <w:spacing w:line="400" w:lineRule="exact"/>
        <w:ind w:firstLineChars="0"/>
        <w:rPr>
          <w:rFonts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w:t>
      </w:r>
      <w:r>
        <w:rPr>
          <w:rFonts w:hint="eastAsia" w:ascii="宋体" w:hAnsi="宋体"/>
          <w:color w:val="000000" w:themeColor="text1"/>
          <w14:textFill>
            <w14:solidFill>
              <w14:schemeClr w14:val="tx1"/>
            </w14:solidFill>
          </w14:textFill>
        </w:rPr>
        <w:t>）保险杠：</w:t>
      </w:r>
      <w:r>
        <w:rPr>
          <w:rFonts w:hint="eastAsia" w:hAnsi="宋体"/>
          <w:color w:val="000000" w:themeColor="text1"/>
          <w14:textFill>
            <w14:solidFill>
              <w14:schemeClr w14:val="tx1"/>
            </w14:solidFill>
          </w14:textFill>
        </w:rPr>
        <w:t>车辆前部较低的外侧构件，包含在低速正面碰撞时保护车辆的所有结构及其附件。</w:t>
      </w:r>
    </w:p>
    <w:p>
      <w:pPr>
        <w:spacing w:line="400" w:lineRule="exact"/>
        <w:ind w:firstLine="420" w:firstLineChars="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2</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保险杠覆盖件</w:t>
      </w:r>
      <w:r>
        <w:rPr>
          <w:rFonts w:hint="eastAsia" w:ascii="宋体" w:hAnsi="宋体"/>
          <w:color w:val="000000" w:themeColor="text1"/>
          <w14:textFill>
            <w14:solidFill>
              <w14:schemeClr w14:val="tx1"/>
            </w14:solidFill>
          </w14:textFill>
        </w:rPr>
        <w:t>：</w:t>
      </w:r>
      <w:r>
        <w:rPr>
          <w:rFonts w:hint="eastAsia" w:hAnsi="宋体"/>
          <w:color w:val="000000" w:themeColor="text1"/>
          <w:szCs w:val="21"/>
          <w:lang w:val="fr-FR"/>
          <w14:textFill>
            <w14:solidFill>
              <w14:schemeClr w14:val="tx1"/>
            </w14:solidFill>
          </w14:textFill>
        </w:rPr>
        <w:t>保险杠非刚性外表面，通常延伸至车辆前部的整个宽度。</w:t>
      </w:r>
    </w:p>
    <w:p>
      <w:pPr>
        <w:spacing w:line="400" w:lineRule="exact"/>
        <w:ind w:firstLine="420" w:firstLineChars="0"/>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3</w:t>
      </w:r>
      <w:r>
        <w:rPr>
          <w:rFonts w:hint="eastAsia" w:ascii="宋体" w:hAnsi="宋体"/>
          <w:color w:val="000000" w:themeColor="text1"/>
          <w14:textFill>
            <w14:solidFill>
              <w14:schemeClr w14:val="tx1"/>
            </w14:solidFill>
          </w14:textFill>
        </w:rPr>
        <w:t>）保险杠上的元件所有朝外的刚性表面的圆角半径不应小于5 mm。但如果安装有保险杠覆盖件，其圆角半径不应小于2.5 mm。</w:t>
      </w:r>
    </w:p>
    <w:p>
      <w:pPr>
        <w:spacing w:line="400" w:lineRule="exact"/>
        <w:ind w:firstLine="420" w:firstLineChars="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以下是对部分商用车保险杠覆盖件的曲率半径调研结果：</w:t>
      </w:r>
    </w:p>
    <w:tbl>
      <w:tblPr>
        <w:tblStyle w:val="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19"/>
        <w:gridCol w:w="2374"/>
        <w:gridCol w:w="2171"/>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车型</w:t>
            </w:r>
          </w:p>
        </w:tc>
        <w:tc>
          <w:tcPr>
            <w:tcW w:w="2693" w:type="dxa"/>
            <w:gridSpan w:val="2"/>
          </w:tcPr>
          <w:p>
            <w:pPr>
              <w:spacing w:line="400" w:lineRule="exact"/>
              <w:ind w:firstLine="360"/>
              <w:jc w:val="center"/>
              <w:rPr>
                <w:rFonts w:ascii="宋体" w:hAnsi="宋体"/>
                <w:color w:val="000000" w:themeColor="text1"/>
                <w:sz w:val="18"/>
                <w14:textFill>
                  <w14:solidFill>
                    <w14:schemeClr w14:val="tx1"/>
                  </w14:solidFill>
                </w14:textFill>
              </w:rPr>
            </w:pPr>
            <w:r>
              <w:rPr>
                <w:rFonts w:ascii="宋体" w:hAnsi="宋体"/>
                <w:color w:val="000000" w:themeColor="text1"/>
                <w:sz w:val="18"/>
                <w14:textFill>
                  <w14:solidFill>
                    <w14:schemeClr w14:val="tx1"/>
                  </w14:solidFill>
                </w14:textFill>
              </w:rPr>
              <w:t>保险杠样品</w:t>
            </w:r>
          </w:p>
        </w:tc>
        <w:tc>
          <w:tcPr>
            <w:tcW w:w="2171" w:type="dxa"/>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是否有保险杠覆盖件</w:t>
            </w:r>
          </w:p>
        </w:tc>
        <w:tc>
          <w:tcPr>
            <w:tcW w:w="2841" w:type="dxa"/>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保险杠覆盖件曲率半径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trPr>
        <w:tc>
          <w:tcPr>
            <w:tcW w:w="817"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1</w:t>
            </w:r>
          </w:p>
        </w:tc>
        <w:tc>
          <w:tcPr>
            <w:tcW w:w="319" w:type="dxa"/>
          </w:tcPr>
          <w:p>
            <w:pPr>
              <w:spacing w:line="400" w:lineRule="exact"/>
              <w:ind w:firstLine="0" w:firstLineChars="0"/>
              <w:jc w:val="center"/>
              <w:rPr>
                <w:rFonts w:ascii="宋体" w:hAnsi="宋体"/>
                <w:color w:val="000000" w:themeColor="text1"/>
                <w:sz w:val="18"/>
                <w14:textFill>
                  <w14:solidFill>
                    <w14:schemeClr w14:val="tx1"/>
                  </w14:solidFill>
                </w14:textFill>
              </w:rPr>
            </w:pPr>
            <w:r>
              <w:rPr>
                <w:color w:val="000000" w:themeColor="text1"/>
                <w:sz w:val="18"/>
                <w14:textFill>
                  <w14:solidFill>
                    <w14:schemeClr w14:val="tx1"/>
                  </w14:solidFill>
                </w14:textFill>
              </w:rPr>
              <w:drawing>
                <wp:anchor distT="0" distB="0" distL="114300" distR="114300" simplePos="0" relativeHeight="251664384" behindDoc="0" locked="0" layoutInCell="1" allowOverlap="1">
                  <wp:simplePos x="0" y="0"/>
                  <wp:positionH relativeFrom="column">
                    <wp:posOffset>-42545</wp:posOffset>
                  </wp:positionH>
                  <wp:positionV relativeFrom="paragraph">
                    <wp:posOffset>82550</wp:posOffset>
                  </wp:positionV>
                  <wp:extent cx="1485900" cy="619125"/>
                  <wp:effectExtent l="0" t="0" r="0" b="9525"/>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6" cstate="print">
                            <a:extLst>
                              <a:ext uri="{28A0092B-C50C-407E-A947-70E740481C1C}">
                                <a14:useLocalDpi xmlns:a14="http://schemas.microsoft.com/office/drawing/2010/main" val="0"/>
                              </a:ext>
                            </a:extLst>
                          </a:blip>
                          <a:srcRect r="7152"/>
                          <a:stretch>
                            <a:fillRect/>
                          </a:stretch>
                        </pic:blipFill>
                        <pic:spPr>
                          <a:xfrm>
                            <a:off x="0" y="0"/>
                            <a:ext cx="1485900" cy="619125"/>
                          </a:xfrm>
                          <a:prstGeom prst="rect">
                            <a:avLst/>
                          </a:prstGeom>
                          <a:ln>
                            <a:noFill/>
                          </a:ln>
                        </pic:spPr>
                      </pic:pic>
                    </a:graphicData>
                  </a:graphic>
                </wp:anchor>
              </w:drawing>
            </w:r>
          </w:p>
        </w:tc>
        <w:tc>
          <w:tcPr>
            <w:tcW w:w="2374" w:type="dxa"/>
          </w:tcPr>
          <w:p>
            <w:pPr>
              <w:spacing w:line="400" w:lineRule="exact"/>
              <w:ind w:firstLine="0" w:firstLineChars="0"/>
              <w:jc w:val="center"/>
              <w:rPr>
                <w:rFonts w:ascii="宋体" w:hAnsi="宋体"/>
                <w:color w:val="000000" w:themeColor="text1"/>
                <w:sz w:val="18"/>
                <w14:textFill>
                  <w14:solidFill>
                    <w14:schemeClr w14:val="tx1"/>
                  </w14:solidFill>
                </w14:textFill>
              </w:rPr>
            </w:pPr>
          </w:p>
        </w:tc>
        <w:tc>
          <w:tcPr>
            <w:tcW w:w="2171"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是</w:t>
            </w:r>
          </w:p>
        </w:tc>
        <w:tc>
          <w:tcPr>
            <w:tcW w:w="2841"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＞2.5mm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5" w:hRule="atLeast"/>
        </w:trPr>
        <w:tc>
          <w:tcPr>
            <w:tcW w:w="817"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2</w:t>
            </w:r>
          </w:p>
        </w:tc>
        <w:tc>
          <w:tcPr>
            <w:tcW w:w="2693" w:type="dxa"/>
            <w:gridSpan w:val="2"/>
          </w:tcPr>
          <w:p>
            <w:pPr>
              <w:spacing w:line="400" w:lineRule="exact"/>
              <w:ind w:firstLine="0" w:firstLineChars="0"/>
              <w:jc w:val="center"/>
              <w:rPr>
                <w:rFonts w:ascii="宋体" w:hAnsi="宋体"/>
                <w:color w:val="000000" w:themeColor="text1"/>
                <w:sz w:val="18"/>
                <w14:textFill>
                  <w14:solidFill>
                    <w14:schemeClr w14:val="tx1"/>
                  </w14:solidFill>
                </w14:textFill>
              </w:rPr>
            </w:pPr>
            <w:r>
              <w:rPr>
                <w:color w:val="000000" w:themeColor="text1"/>
                <w:sz w:val="18"/>
                <w14:textFill>
                  <w14:solidFill>
                    <w14:schemeClr w14:val="tx1"/>
                  </w14:solidFill>
                </w14:textFill>
              </w:rPr>
              <w:drawing>
                <wp:anchor distT="0" distB="0" distL="114300" distR="114300" simplePos="0" relativeHeight="251659264" behindDoc="0" locked="0" layoutInCell="1" allowOverlap="1">
                  <wp:simplePos x="0" y="0"/>
                  <wp:positionH relativeFrom="column">
                    <wp:posOffset>-43180</wp:posOffset>
                  </wp:positionH>
                  <wp:positionV relativeFrom="paragraph">
                    <wp:posOffset>12700</wp:posOffset>
                  </wp:positionV>
                  <wp:extent cx="1400175" cy="789305"/>
                  <wp:effectExtent l="0" t="0" r="9525"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00175" cy="789305"/>
                          </a:xfrm>
                          <a:prstGeom prst="rect">
                            <a:avLst/>
                          </a:prstGeom>
                        </pic:spPr>
                      </pic:pic>
                    </a:graphicData>
                  </a:graphic>
                </wp:anchor>
              </w:drawing>
            </w:r>
          </w:p>
        </w:tc>
        <w:tc>
          <w:tcPr>
            <w:tcW w:w="2171" w:type="dxa"/>
            <w:vAlign w:val="center"/>
          </w:tcPr>
          <w:p>
            <w:pPr>
              <w:ind w:firstLine="0" w:firstLineChars="0"/>
              <w:jc w:val="center"/>
              <w:rPr>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是</w:t>
            </w:r>
          </w:p>
        </w:tc>
        <w:tc>
          <w:tcPr>
            <w:tcW w:w="2841" w:type="dxa"/>
            <w:vAlign w:val="center"/>
          </w:tcPr>
          <w:p>
            <w:pPr>
              <w:ind w:firstLine="0" w:firstLineChars="0"/>
              <w:jc w:val="center"/>
              <w:rPr>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＞2.5mm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817"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3</w:t>
            </w:r>
          </w:p>
        </w:tc>
        <w:tc>
          <w:tcPr>
            <w:tcW w:w="2693" w:type="dxa"/>
            <w:gridSpan w:val="2"/>
          </w:tcPr>
          <w:p>
            <w:pPr>
              <w:spacing w:line="400" w:lineRule="exact"/>
              <w:ind w:firstLine="0" w:firstLineChars="0"/>
              <w:jc w:val="center"/>
              <w:rPr>
                <w:rFonts w:ascii="宋体" w:hAnsi="宋体"/>
                <w:color w:val="000000" w:themeColor="text1"/>
                <w:sz w:val="18"/>
                <w14:textFill>
                  <w14:solidFill>
                    <w14:schemeClr w14:val="tx1"/>
                  </w14:solidFill>
                </w14:textFill>
              </w:rPr>
            </w:pPr>
            <w:r>
              <w:rPr>
                <w:color w:val="000000" w:themeColor="text1"/>
                <w:sz w:val="18"/>
                <w14:textFill>
                  <w14:solidFill>
                    <w14:schemeClr w14:val="tx1"/>
                  </w14:solidFill>
                </w14:textFill>
              </w:rPr>
              <w:drawing>
                <wp:anchor distT="0" distB="0" distL="114300" distR="114300" simplePos="0" relativeHeight="251660288" behindDoc="0" locked="0" layoutInCell="1" allowOverlap="1">
                  <wp:simplePos x="0" y="0"/>
                  <wp:positionH relativeFrom="column">
                    <wp:posOffset>71755</wp:posOffset>
                  </wp:positionH>
                  <wp:positionV relativeFrom="paragraph">
                    <wp:posOffset>38735</wp:posOffset>
                  </wp:positionV>
                  <wp:extent cx="1300480" cy="770890"/>
                  <wp:effectExtent l="0" t="0" r="0"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00246" cy="770734"/>
                          </a:xfrm>
                          <a:prstGeom prst="rect">
                            <a:avLst/>
                          </a:prstGeom>
                        </pic:spPr>
                      </pic:pic>
                    </a:graphicData>
                  </a:graphic>
                </wp:anchor>
              </w:drawing>
            </w:r>
          </w:p>
        </w:tc>
        <w:tc>
          <w:tcPr>
            <w:tcW w:w="2171"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是</w:t>
            </w:r>
          </w:p>
        </w:tc>
        <w:tc>
          <w:tcPr>
            <w:tcW w:w="2841"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＞2.5mm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817"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4</w:t>
            </w:r>
          </w:p>
        </w:tc>
        <w:tc>
          <w:tcPr>
            <w:tcW w:w="2693" w:type="dxa"/>
            <w:gridSpan w:val="2"/>
          </w:tcPr>
          <w:p>
            <w:pPr>
              <w:spacing w:line="400" w:lineRule="exact"/>
              <w:ind w:firstLine="0" w:firstLineChars="0"/>
              <w:jc w:val="center"/>
              <w:rPr>
                <w:rFonts w:ascii="宋体" w:hAnsi="宋体"/>
                <w:color w:val="000000" w:themeColor="text1"/>
                <w:sz w:val="18"/>
                <w14:textFill>
                  <w14:solidFill>
                    <w14:schemeClr w14:val="tx1"/>
                  </w14:solidFill>
                </w14:textFill>
              </w:rPr>
            </w:pPr>
            <w:r>
              <w:rPr>
                <w:color w:val="000000" w:themeColor="text1"/>
                <w:sz w:val="18"/>
                <w14:textFill>
                  <w14:solidFill>
                    <w14:schemeClr w14:val="tx1"/>
                  </w14:solidFill>
                </w14:textFill>
              </w:rPr>
              <w:drawing>
                <wp:anchor distT="0" distB="0" distL="114300" distR="114300" simplePos="0" relativeHeight="251661312" behindDoc="0" locked="0" layoutInCell="1" allowOverlap="1">
                  <wp:simplePos x="0" y="0"/>
                  <wp:positionH relativeFrom="column">
                    <wp:posOffset>-42545</wp:posOffset>
                  </wp:positionH>
                  <wp:positionV relativeFrom="paragraph">
                    <wp:posOffset>40005</wp:posOffset>
                  </wp:positionV>
                  <wp:extent cx="1543050" cy="723900"/>
                  <wp:effectExtent l="0" t="0" r="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543050" cy="723900"/>
                          </a:xfrm>
                          <a:prstGeom prst="rect">
                            <a:avLst/>
                          </a:prstGeom>
                        </pic:spPr>
                      </pic:pic>
                    </a:graphicData>
                  </a:graphic>
                </wp:anchor>
              </w:drawing>
            </w:r>
            <w:r>
              <w:rPr>
                <w:color w:val="000000" w:themeColor="text1"/>
                <w:sz w:val="18"/>
                <w14:textFill>
                  <w14:solidFill>
                    <w14:schemeClr w14:val="tx1"/>
                  </w14:solidFill>
                </w14:textFill>
              </w:rPr>
              <w:drawing>
                <wp:anchor distT="0" distB="0" distL="114300" distR="114300" simplePos="0" relativeHeight="251662336" behindDoc="0" locked="0" layoutInCell="1" allowOverlap="1">
                  <wp:simplePos x="0" y="0"/>
                  <wp:positionH relativeFrom="column">
                    <wp:posOffset>-52705</wp:posOffset>
                  </wp:positionH>
                  <wp:positionV relativeFrom="paragraph">
                    <wp:posOffset>785495</wp:posOffset>
                  </wp:positionV>
                  <wp:extent cx="1590675" cy="742950"/>
                  <wp:effectExtent l="0" t="0" r="9525" b="0"/>
                  <wp:wrapNone/>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590675" cy="742950"/>
                          </a:xfrm>
                          <a:prstGeom prst="rect">
                            <a:avLst/>
                          </a:prstGeom>
                        </pic:spPr>
                      </pic:pic>
                    </a:graphicData>
                  </a:graphic>
                </wp:anchor>
              </w:drawing>
            </w:r>
          </w:p>
        </w:tc>
        <w:tc>
          <w:tcPr>
            <w:tcW w:w="2171" w:type="dxa"/>
            <w:vAlign w:val="center"/>
          </w:tcPr>
          <w:p>
            <w:pPr>
              <w:ind w:firstLine="0" w:firstLineChars="0"/>
              <w:jc w:val="center"/>
              <w:rPr>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是</w:t>
            </w:r>
          </w:p>
        </w:tc>
        <w:tc>
          <w:tcPr>
            <w:tcW w:w="2841" w:type="dxa"/>
            <w:vAlign w:val="center"/>
          </w:tcPr>
          <w:p>
            <w:pPr>
              <w:ind w:firstLine="0" w:firstLineChars="0"/>
              <w:jc w:val="center"/>
              <w:rPr>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＞2.5mm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817"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5</w:t>
            </w:r>
          </w:p>
        </w:tc>
        <w:tc>
          <w:tcPr>
            <w:tcW w:w="2693" w:type="dxa"/>
            <w:gridSpan w:val="2"/>
          </w:tcPr>
          <w:p>
            <w:pPr>
              <w:spacing w:line="400" w:lineRule="exact"/>
              <w:ind w:firstLine="0" w:firstLineChars="0"/>
              <w:jc w:val="center"/>
              <w:rPr>
                <w:rFonts w:ascii="宋体" w:hAnsi="宋体"/>
                <w:color w:val="000000" w:themeColor="text1"/>
                <w:sz w:val="18"/>
                <w14:textFill>
                  <w14:solidFill>
                    <w14:schemeClr w14:val="tx1"/>
                  </w14:solidFill>
                </w14:textFill>
              </w:rPr>
            </w:pPr>
          </w:p>
        </w:tc>
        <w:tc>
          <w:tcPr>
            <w:tcW w:w="2171"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是</w:t>
            </w:r>
          </w:p>
        </w:tc>
        <w:tc>
          <w:tcPr>
            <w:tcW w:w="2841"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＞2.5mm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trPr>
        <w:tc>
          <w:tcPr>
            <w:tcW w:w="817"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6</w:t>
            </w:r>
          </w:p>
        </w:tc>
        <w:tc>
          <w:tcPr>
            <w:tcW w:w="2693" w:type="dxa"/>
            <w:gridSpan w:val="2"/>
          </w:tcPr>
          <w:p>
            <w:pPr>
              <w:spacing w:line="400" w:lineRule="exact"/>
              <w:ind w:firstLine="0" w:firstLineChars="0"/>
              <w:jc w:val="center"/>
              <w:rPr>
                <w:rFonts w:ascii="宋体" w:hAnsi="宋体"/>
                <w:color w:val="000000" w:themeColor="text1"/>
                <w:sz w:val="18"/>
                <w14:textFill>
                  <w14:solidFill>
                    <w14:schemeClr w14:val="tx1"/>
                  </w14:solidFill>
                </w14:textFill>
              </w:rPr>
            </w:pPr>
            <w:r>
              <w:rPr>
                <w:color w:val="000000" w:themeColor="text1"/>
                <w:sz w:val="18"/>
                <w14:textFill>
                  <w14:solidFill>
                    <w14:schemeClr w14:val="tx1"/>
                  </w14:solidFill>
                </w14:textFill>
              </w:rPr>
              <w:drawing>
                <wp:anchor distT="0" distB="0" distL="114300" distR="114300" simplePos="0" relativeHeight="251663360" behindDoc="0" locked="0" layoutInCell="1" allowOverlap="1">
                  <wp:simplePos x="0" y="0"/>
                  <wp:positionH relativeFrom="column">
                    <wp:posOffset>-73025</wp:posOffset>
                  </wp:positionH>
                  <wp:positionV relativeFrom="paragraph">
                    <wp:posOffset>45720</wp:posOffset>
                  </wp:positionV>
                  <wp:extent cx="1647825" cy="490220"/>
                  <wp:effectExtent l="0" t="0" r="9525" b="5080"/>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47825" cy="490220"/>
                          </a:xfrm>
                          <a:prstGeom prst="rect">
                            <a:avLst/>
                          </a:prstGeom>
                        </pic:spPr>
                      </pic:pic>
                    </a:graphicData>
                  </a:graphic>
                </wp:anchor>
              </w:drawing>
            </w:r>
          </w:p>
        </w:tc>
        <w:tc>
          <w:tcPr>
            <w:tcW w:w="2171" w:type="dxa"/>
            <w:vAlign w:val="center"/>
          </w:tcPr>
          <w:p>
            <w:pPr>
              <w:ind w:firstLine="0" w:firstLineChars="0"/>
              <w:jc w:val="center"/>
              <w:rPr>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是</w:t>
            </w:r>
          </w:p>
        </w:tc>
        <w:tc>
          <w:tcPr>
            <w:tcW w:w="2841" w:type="dxa"/>
            <w:vAlign w:val="center"/>
          </w:tcPr>
          <w:p>
            <w:pPr>
              <w:ind w:firstLine="0" w:firstLineChars="0"/>
              <w:jc w:val="center"/>
              <w:rPr>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＞2.5mm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817"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7</w:t>
            </w:r>
          </w:p>
        </w:tc>
        <w:tc>
          <w:tcPr>
            <w:tcW w:w="2693" w:type="dxa"/>
            <w:gridSpan w:val="2"/>
          </w:tcPr>
          <w:p>
            <w:pPr>
              <w:spacing w:line="400" w:lineRule="exact"/>
              <w:ind w:firstLine="0" w:firstLineChars="0"/>
              <w:jc w:val="center"/>
              <w:rPr>
                <w:rFonts w:ascii="宋体" w:hAnsi="宋体"/>
                <w:color w:val="000000" w:themeColor="text1"/>
                <w:sz w:val="18"/>
                <w14:textFill>
                  <w14:solidFill>
                    <w14:schemeClr w14:val="tx1"/>
                  </w14:solidFill>
                </w14:textFill>
              </w:rPr>
            </w:pPr>
            <w:r>
              <w:rPr>
                <w:color w:val="000000" w:themeColor="text1"/>
                <w:sz w:val="18"/>
                <w14:textFill>
                  <w14:solidFill>
                    <w14:schemeClr w14:val="tx1"/>
                  </w14:solidFill>
                </w14:textFill>
              </w:rPr>
              <w:drawing>
                <wp:anchor distT="0" distB="0" distL="114300" distR="114300" simplePos="0" relativeHeight="251665408" behindDoc="0" locked="0" layoutInCell="1" allowOverlap="1">
                  <wp:simplePos x="0" y="0"/>
                  <wp:positionH relativeFrom="column">
                    <wp:posOffset>-50800</wp:posOffset>
                  </wp:positionH>
                  <wp:positionV relativeFrom="paragraph">
                    <wp:posOffset>43180</wp:posOffset>
                  </wp:positionV>
                  <wp:extent cx="1567180" cy="638810"/>
                  <wp:effectExtent l="0" t="0" r="0" b="8890"/>
                  <wp:wrapNone/>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567180" cy="638810"/>
                          </a:xfrm>
                          <a:prstGeom prst="rect">
                            <a:avLst/>
                          </a:prstGeom>
                        </pic:spPr>
                      </pic:pic>
                    </a:graphicData>
                  </a:graphic>
                </wp:anchor>
              </w:drawing>
            </w:r>
          </w:p>
        </w:tc>
        <w:tc>
          <w:tcPr>
            <w:tcW w:w="2171"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是</w:t>
            </w:r>
          </w:p>
        </w:tc>
        <w:tc>
          <w:tcPr>
            <w:tcW w:w="2841" w:type="dxa"/>
            <w:vAlign w:val="center"/>
          </w:tcPr>
          <w:p>
            <w:pPr>
              <w:spacing w:line="400" w:lineRule="exact"/>
              <w:ind w:firstLine="0" w:firstLineChars="0"/>
              <w:jc w:val="center"/>
              <w:rPr>
                <w:rFonts w:ascii="宋体" w:hAnsi="宋体"/>
                <w:color w:val="000000" w:themeColor="text1"/>
                <w:sz w:val="18"/>
                <w14:textFill>
                  <w14:solidFill>
                    <w14:schemeClr w14:val="tx1"/>
                  </w14:solidFill>
                </w14:textFill>
              </w:rPr>
            </w:pPr>
            <w:r>
              <w:rPr>
                <w:rFonts w:hint="eastAsia" w:ascii="宋体" w:hAnsi="宋体"/>
                <w:color w:val="000000" w:themeColor="text1"/>
                <w:sz w:val="18"/>
                <w14:textFill>
                  <w14:solidFill>
                    <w14:schemeClr w14:val="tx1"/>
                  </w14:solidFill>
                </w14:textFill>
              </w:rPr>
              <w:t>＞2.5mm</w:t>
            </w:r>
          </w:p>
        </w:tc>
      </w:tr>
    </w:tbl>
    <w:p>
      <w:pPr>
        <w:spacing w:line="400" w:lineRule="exact"/>
        <w:ind w:firstLine="420" w:firstLineChars="0"/>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由上述结果可知，现有保险杠覆盖件的曲率半径已满足不小于2.5mm的要求。</w:t>
      </w:r>
    </w:p>
    <w:p>
      <w:pPr>
        <w:pStyle w:val="16"/>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保险杠覆盖件的曲率半径之所以要求不小于2.5mm，而不是5mm，主要原因如下：</w:t>
      </w:r>
    </w:p>
    <w:p>
      <w:pPr>
        <w:pStyle w:val="16"/>
        <w:spacing w:line="400" w:lineRule="exact"/>
        <w:rPr>
          <w:rFonts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一是保险杠覆盖件具有一定的吸能性，与行人发生事故时可以起到缓冲作用，更好的保护行人，相比刚性保险杠而言能更大程度地降低行人伤害值。</w:t>
      </w:r>
    </w:p>
    <w:p>
      <w:pPr>
        <w:pStyle w:val="16"/>
        <w:spacing w:line="400" w:lineRule="exact"/>
        <w:rPr>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二是</w:t>
      </w:r>
      <w:r>
        <w:rPr>
          <w:rFonts w:hint="eastAsia" w:hAnsi="宋体"/>
          <w:color w:val="000000" w:themeColor="text1"/>
          <w:kern w:val="13"/>
          <w14:textFill>
            <w14:solidFill>
              <w14:schemeClr w14:val="tx1"/>
            </w14:solidFill>
          </w14:textFill>
        </w:rPr>
        <w:t xml:space="preserve"> GB24550-202X《汽车对行人的碰撞保护》</w:t>
      </w:r>
      <w:r>
        <w:rPr>
          <w:rFonts w:hint="eastAsia" w:ascii="宋体" w:hAnsi="宋体"/>
          <w:color w:val="000000" w:themeColor="text1"/>
          <w14:textFill>
            <w14:solidFill>
              <w14:schemeClr w14:val="tx1"/>
            </w14:solidFill>
          </w14:textFill>
        </w:rPr>
        <w:t>即将强制性实施，适用于N</w:t>
      </w:r>
      <w:r>
        <w:rPr>
          <w:rFonts w:hint="eastAsia" w:ascii="宋体" w:hAnsi="宋体"/>
          <w:color w:val="000000" w:themeColor="text1"/>
          <w:vertAlign w:val="subscript"/>
          <w14:textFill>
            <w14:solidFill>
              <w14:schemeClr w14:val="tx1"/>
            </w14:solidFill>
          </w14:textFill>
        </w:rPr>
        <w:t>1</w:t>
      </w:r>
      <w:r>
        <w:rPr>
          <w:rFonts w:hint="eastAsia" w:ascii="宋体" w:hAnsi="宋体"/>
          <w:color w:val="000000" w:themeColor="text1"/>
          <w14:textFill>
            <w14:solidFill>
              <w14:schemeClr w14:val="tx1"/>
            </w14:solidFill>
          </w14:textFill>
        </w:rPr>
        <w:t>类车辆，</w:t>
      </w:r>
      <w:r>
        <w:rPr>
          <w:color w:val="000000" w:themeColor="text1"/>
          <w14:textFill>
            <w14:solidFill>
              <w14:schemeClr w14:val="tx1"/>
            </w14:solidFill>
          </w14:textFill>
        </w:rPr>
        <w:t>汽车对行人的碰撞保护性能主要包括车辆前部结构对行人头部和腿部的保护，即头型冲击车辆前部结构和下腿型（或上腿型）冲击保险杠。标准规定了行人冲击器冲击车辆前部结构时试验环境、试验速度、试验区域、冲击角度、冲击器冲击姿态等试验参数以及性能指标要求，能够有效评价汽车对行人的碰撞保护性能。</w:t>
      </w:r>
      <w:r>
        <w:rPr>
          <w:rFonts w:hint="eastAsia" w:ascii="宋体" w:hAnsi="宋体"/>
          <w:color w:val="000000" w:themeColor="text1"/>
          <w14:textFill>
            <w14:solidFill>
              <w14:schemeClr w14:val="tx1"/>
            </w14:solidFill>
          </w14:textFill>
        </w:rPr>
        <w:t>此标准的实施提升了车辆对行人碰撞的保护性能，</w:t>
      </w:r>
      <w:r>
        <w:rPr>
          <w:color w:val="000000" w:themeColor="text1"/>
          <w14:textFill>
            <w14:solidFill>
              <w14:schemeClr w14:val="tx1"/>
            </w14:solidFill>
          </w14:textFill>
        </w:rPr>
        <w:t>降低</w:t>
      </w:r>
      <w:r>
        <w:rPr>
          <w:rFonts w:hint="eastAsia"/>
          <w:color w:val="000000" w:themeColor="text1"/>
          <w14:textFill>
            <w14:solidFill>
              <w14:schemeClr w14:val="tx1"/>
            </w14:solidFill>
          </w14:textFill>
        </w:rPr>
        <w:t>了</w:t>
      </w:r>
      <w:r>
        <w:rPr>
          <w:color w:val="000000" w:themeColor="text1"/>
          <w14:textFill>
            <w14:solidFill>
              <w14:schemeClr w14:val="tx1"/>
            </w14:solidFill>
          </w14:textFill>
        </w:rPr>
        <w:t>人与车碰撞事故中行人受重伤或死亡的几率</w:t>
      </w:r>
      <w:r>
        <w:rPr>
          <w:rFonts w:hint="eastAsia"/>
          <w:color w:val="000000" w:themeColor="text1"/>
          <w14:textFill>
            <w14:solidFill>
              <w14:schemeClr w14:val="tx1"/>
            </w14:solidFill>
          </w14:textFill>
        </w:rPr>
        <w:t>。</w:t>
      </w:r>
    </w:p>
    <w:p>
      <w:pPr>
        <w:pStyle w:val="16"/>
        <w:spacing w:line="400" w:lineRule="exact"/>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综上所述</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我们应该大力倡导汽车制造商采用保险杠覆盖件</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鼓励</w:t>
      </w:r>
      <w:r>
        <w:rPr>
          <w:rFonts w:hint="eastAsia" w:ascii="宋体" w:hAnsi="宋体"/>
          <w:color w:val="000000" w:themeColor="text1"/>
          <w14:textFill>
            <w14:solidFill>
              <w14:schemeClr w14:val="tx1"/>
            </w14:solidFill>
          </w14:textFill>
        </w:rPr>
        <w:t>高科技</w:t>
      </w:r>
      <w:r>
        <w:rPr>
          <w:rFonts w:ascii="宋体" w:hAnsi="宋体"/>
          <w:color w:val="000000" w:themeColor="text1"/>
          <w14:textFill>
            <w14:solidFill>
              <w14:schemeClr w14:val="tx1"/>
            </w14:solidFill>
          </w14:textFill>
        </w:rPr>
        <w:t>材料在汽车应用上的创新和使用</w:t>
      </w:r>
      <w:r>
        <w:rPr>
          <w:rFonts w:hint="eastAsia" w:ascii="宋体" w:hAnsi="宋体"/>
          <w:color w:val="000000" w:themeColor="text1"/>
          <w14:textFill>
            <w14:solidFill>
              <w14:schemeClr w14:val="tx1"/>
            </w14:solidFill>
          </w14:textFill>
        </w:rPr>
        <w:t>，</w:t>
      </w:r>
      <w:r>
        <w:rPr>
          <w:rFonts w:ascii="宋体" w:hAnsi="宋体"/>
          <w:color w:val="000000" w:themeColor="text1"/>
          <w14:textFill>
            <w14:solidFill>
              <w14:schemeClr w14:val="tx1"/>
            </w14:solidFill>
          </w14:textFill>
        </w:rPr>
        <w:t>区别保险杠刚性表面和非刚性表面的技术要求。</w:t>
      </w:r>
    </w:p>
    <w:p>
      <w:pPr>
        <w:numPr>
          <w:ilvl w:val="0"/>
          <w:numId w:val="2"/>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themeColor="text1"/>
          <w:kern w:val="0"/>
          <w:sz w:val="24"/>
          <w14:textFill>
            <w14:solidFill>
              <w14:schemeClr w14:val="tx1"/>
            </w14:solidFill>
          </w14:textFill>
        </w:rPr>
      </w:pPr>
      <w:bookmarkStart w:id="21" w:name="_Toc64898477"/>
      <w:r>
        <w:rPr>
          <w:rFonts w:hint="eastAsia" w:ascii="黑体" w:hAnsi="黑体" w:eastAsia="黑体" w:cs="宋体"/>
          <w:bCs/>
          <w:color w:val="000000" w:themeColor="text1"/>
          <w:kern w:val="0"/>
          <w:sz w:val="24"/>
          <w14:textFill>
            <w14:solidFill>
              <w14:schemeClr w14:val="tx1"/>
            </w14:solidFill>
          </w14:textFill>
        </w:rPr>
        <w:t>与有关法律、行政法规和其他标准的关系</w:t>
      </w:r>
      <w:bookmarkEnd w:id="21"/>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本标准与G</w:t>
      </w:r>
      <w:r>
        <w:rPr>
          <w:color w:val="000000" w:themeColor="text1"/>
          <w14:textFill>
            <w14:solidFill>
              <w14:schemeClr w14:val="tx1"/>
            </w14:solidFill>
          </w14:textFill>
        </w:rPr>
        <w:t>B</w:t>
      </w:r>
      <w:r>
        <w:rPr>
          <w:rFonts w:hint="eastAsia"/>
          <w:color w:val="000000" w:themeColor="text1"/>
          <w14:textFill>
            <w14:solidFill>
              <w14:schemeClr w14:val="tx1"/>
            </w14:solidFill>
          </w14:textFill>
        </w:rPr>
        <w:t>11566《</w:t>
      </w:r>
      <w:r>
        <w:rPr>
          <w:rFonts w:hint="eastAsia" w:hAnsi="宋体"/>
          <w:color w:val="000000" w:themeColor="text1"/>
          <w:kern w:val="13"/>
          <w14:textFill>
            <w14:solidFill>
              <w14:schemeClr w14:val="tx1"/>
            </w14:solidFill>
          </w14:textFill>
        </w:rPr>
        <w:t>乘用车外部凸出物</w:t>
      </w:r>
      <w:r>
        <w:rPr>
          <w:rFonts w:hint="eastAsia"/>
          <w:color w:val="000000" w:themeColor="text1"/>
          <w14:textFill>
            <w14:solidFill>
              <w14:schemeClr w14:val="tx1"/>
            </w14:solidFill>
          </w14:textFill>
        </w:rPr>
        <w:t>》</w:t>
      </w:r>
      <w:r>
        <w:rPr>
          <w:rFonts w:hint="eastAsia" w:hAnsi="宋体"/>
          <w:color w:val="000000" w:themeColor="text1"/>
          <w:kern w:val="13"/>
          <w14:textFill>
            <w14:solidFill>
              <w14:schemeClr w14:val="tx1"/>
            </w14:solidFill>
          </w14:textFill>
        </w:rPr>
        <w:t>正在同步修订，这两个标准涵盖了商用车</w:t>
      </w:r>
      <w:r>
        <w:rPr>
          <w:rFonts w:hint="eastAsia"/>
          <w:color w:val="000000" w:themeColor="text1"/>
          <w14:textFill>
            <w14:solidFill>
              <w14:schemeClr w14:val="tx1"/>
            </w14:solidFill>
          </w14:textFill>
        </w:rPr>
        <w:t>驾驶室后围板之前的车身外部凸出物</w:t>
      </w:r>
      <w:r>
        <w:rPr>
          <w:rFonts w:hint="eastAsia" w:hAnsi="宋体"/>
          <w:color w:val="000000" w:themeColor="text1"/>
          <w:kern w:val="13"/>
          <w14:textFill>
            <w14:solidFill>
              <w14:schemeClr w14:val="tx1"/>
            </w14:solidFill>
          </w14:textFill>
        </w:rPr>
        <w:t>和乘用车外部凸出物的技术要求和检验方法。和现有标准相比，此次修订的两个标准同步将外后视镜修改为外部间接视野装置，以和现行GB15084的术语定义保持一致，将免检高度由1.8m调至2.0m，增加了保险杠定义、保险杠覆盖件的定义和技术要求，在关联性内容上保持一致。</w:t>
      </w:r>
    </w:p>
    <w:p>
      <w:pPr>
        <w:numPr>
          <w:ilvl w:val="0"/>
          <w:numId w:val="2"/>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themeColor="text1"/>
          <w:kern w:val="0"/>
          <w:sz w:val="24"/>
          <w14:textFill>
            <w14:solidFill>
              <w14:schemeClr w14:val="tx1"/>
            </w14:solidFill>
          </w14:textFill>
        </w:rPr>
      </w:pPr>
      <w:bookmarkStart w:id="22" w:name="_Toc64898478"/>
      <w:r>
        <w:rPr>
          <w:rFonts w:hint="eastAsia" w:ascii="黑体" w:hAnsi="黑体" w:eastAsia="黑体" w:cs="宋体"/>
          <w:bCs/>
          <w:color w:val="000000" w:themeColor="text1"/>
          <w:kern w:val="0"/>
          <w:sz w:val="24"/>
          <w14:textFill>
            <w14:solidFill>
              <w14:schemeClr w14:val="tx1"/>
            </w14:solidFill>
          </w14:textFill>
        </w:rPr>
        <w:t>与国际标准化组织、其他国家或者地区有关法律法规和标准的比对分析</w:t>
      </w:r>
      <w:bookmarkEnd w:id="22"/>
    </w:p>
    <w:p>
      <w:pPr>
        <w:pStyle w:val="18"/>
        <w:rPr>
          <w:color w:val="000000" w:themeColor="text1"/>
          <w14:textFill>
            <w14:solidFill>
              <w14:schemeClr w14:val="tx1"/>
            </w14:solidFill>
          </w14:textFill>
        </w:rPr>
      </w:pPr>
      <w:r>
        <w:rPr>
          <w:rFonts w:hint="eastAsia"/>
          <w:color w:val="000000" w:themeColor="text1"/>
          <w14:textFill>
            <w14:solidFill>
              <w14:schemeClr w14:val="tx1"/>
            </w14:solidFill>
          </w14:textFill>
        </w:rPr>
        <w:t>本标准在编制过程中参考了UN R61 Amendment 3/Supplement 3 to the original version of the Regulation《关于商用车驾驶室后围板前面外部凸出物认证的统一规定》（英文版）及其随后的修改单、增补件等。标准的主要技术要求与U</w:t>
      </w:r>
      <w:r>
        <w:rPr>
          <w:color w:val="000000" w:themeColor="text1"/>
          <w14:textFill>
            <w14:solidFill>
              <w14:schemeClr w14:val="tx1"/>
            </w14:solidFill>
          </w14:textFill>
        </w:rPr>
        <w:t>N R61</w:t>
      </w:r>
      <w:r>
        <w:rPr>
          <w:rFonts w:hint="eastAsia"/>
          <w:color w:val="000000" w:themeColor="text1"/>
          <w14:textFill>
            <w14:solidFill>
              <w14:schemeClr w14:val="tx1"/>
            </w14:solidFill>
          </w14:textFill>
        </w:rPr>
        <w:t>相当。</w:t>
      </w:r>
    </w:p>
    <w:p>
      <w:pPr>
        <w:numPr>
          <w:ilvl w:val="0"/>
          <w:numId w:val="2"/>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themeColor="text1"/>
          <w:kern w:val="0"/>
          <w:sz w:val="24"/>
          <w14:textFill>
            <w14:solidFill>
              <w14:schemeClr w14:val="tx1"/>
            </w14:solidFill>
          </w14:textFill>
        </w:rPr>
      </w:pPr>
      <w:bookmarkStart w:id="23" w:name="_Toc64898479"/>
      <w:r>
        <w:rPr>
          <w:rFonts w:hint="eastAsia" w:ascii="黑体" w:hAnsi="黑体" w:eastAsia="黑体" w:cs="宋体"/>
          <w:bCs/>
          <w:color w:val="000000" w:themeColor="text1"/>
          <w:kern w:val="0"/>
          <w:sz w:val="24"/>
          <w14:textFill>
            <w14:solidFill>
              <w14:schemeClr w14:val="tx1"/>
            </w14:solidFill>
          </w14:textFill>
        </w:rPr>
        <w:t>重大分歧意见的处理过程、处理意见及其依据</w:t>
      </w:r>
      <w:bookmarkEnd w:id="23"/>
    </w:p>
    <w:p>
      <w:pPr>
        <w:pStyle w:val="18"/>
        <w:rPr>
          <w:color w:val="000000" w:themeColor="text1"/>
          <w14:textFill>
            <w14:solidFill>
              <w14:schemeClr w14:val="tx1"/>
            </w14:solidFill>
          </w14:textFill>
        </w:rPr>
      </w:pPr>
      <w:r>
        <w:rPr>
          <w:rFonts w:hint="eastAsia"/>
          <w:color w:val="000000" w:themeColor="text1"/>
          <w14:textFill>
            <w14:solidFill>
              <w14:schemeClr w14:val="tx1"/>
            </w14:solidFill>
          </w14:textFill>
        </w:rPr>
        <w:t>本标准修订过程中无重大分歧意见。</w:t>
      </w:r>
    </w:p>
    <w:p>
      <w:pPr>
        <w:numPr>
          <w:ilvl w:val="0"/>
          <w:numId w:val="2"/>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themeColor="text1"/>
          <w:kern w:val="0"/>
          <w:sz w:val="24"/>
          <w14:textFill>
            <w14:solidFill>
              <w14:schemeClr w14:val="tx1"/>
            </w14:solidFill>
          </w14:textFill>
        </w:rPr>
      </w:pPr>
      <w:bookmarkStart w:id="24" w:name="_Toc64898480"/>
      <w:r>
        <w:rPr>
          <w:rFonts w:hint="eastAsia" w:ascii="黑体" w:hAnsi="黑体" w:eastAsia="黑体" w:cs="宋体"/>
          <w:bCs/>
          <w:color w:val="000000" w:themeColor="text1"/>
          <w:kern w:val="0"/>
          <w:sz w:val="24"/>
          <w14:textFill>
            <w14:solidFill>
              <w14:schemeClr w14:val="tx1"/>
            </w14:solidFill>
          </w14:textFill>
        </w:rPr>
        <w:t>对强制性国家标准自发布日期至实施日期之间的过渡期的建议及理由</w:t>
      </w:r>
      <w:bookmarkEnd w:id="24"/>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标准在起草过程中广泛征求了各主要车辆制造企业、检测机构的意见，标准技术内容充分考虑了我国整车的设计、制造的技术水平，检测机构也具有相关试验的检测能力，标准实施的基础条件已具备。</w:t>
      </w:r>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由于本次修订将</w:t>
      </w:r>
      <w:r>
        <w:rPr>
          <w:color w:val="000000" w:themeColor="text1"/>
          <w14:textFill>
            <w14:solidFill>
              <w14:schemeClr w14:val="tx1"/>
            </w14:solidFill>
          </w14:textFill>
        </w:rPr>
        <w:t>更改了不适用本文件的车身外表面的部件范围</w:t>
      </w:r>
      <w:r>
        <w:rPr>
          <w:rFonts w:hint="eastAsia"/>
          <w:color w:val="000000" w:themeColor="text1"/>
          <w14:textFill>
            <w14:solidFill>
              <w14:schemeClr w14:val="tx1"/>
            </w14:solidFill>
          </w14:textFill>
        </w:rPr>
        <w:t>由不低于1.8m调至不低于2.0m后将使更多的商用车部件纳入法规要求，车辆制造企业需要设计和验证的时间准备。建议本标准的实施时间为：对于新申请车辆型式批准的车型，自标准实施之日起开始执行，对于已获得车辆型式批准的车型，自标准实施之日起第</w:t>
      </w:r>
      <w:r>
        <w:rPr>
          <w:color w:val="000000" w:themeColor="text1"/>
          <w14:textFill>
            <w14:solidFill>
              <w14:schemeClr w14:val="tx1"/>
            </w14:solidFill>
          </w14:textFill>
        </w:rPr>
        <w:t>2</w:t>
      </w:r>
      <w:r>
        <w:rPr>
          <w:rFonts w:hint="eastAsia"/>
          <w:color w:val="000000" w:themeColor="text1"/>
          <w14:textFill>
            <w14:solidFill>
              <w14:schemeClr w14:val="tx1"/>
            </w14:solidFill>
          </w14:textFill>
        </w:rPr>
        <w:t>5个月开始执行。</w:t>
      </w:r>
    </w:p>
    <w:p>
      <w:pPr>
        <w:numPr>
          <w:ilvl w:val="0"/>
          <w:numId w:val="2"/>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themeColor="text1"/>
          <w:kern w:val="0"/>
          <w:sz w:val="24"/>
          <w14:textFill>
            <w14:solidFill>
              <w14:schemeClr w14:val="tx1"/>
            </w14:solidFill>
          </w14:textFill>
        </w:rPr>
      </w:pPr>
      <w:bookmarkStart w:id="25" w:name="_Toc64898481"/>
      <w:r>
        <w:rPr>
          <w:rFonts w:hint="eastAsia" w:ascii="黑体" w:hAnsi="黑体" w:eastAsia="黑体" w:cs="宋体"/>
          <w:bCs/>
          <w:color w:val="000000" w:themeColor="text1"/>
          <w:kern w:val="0"/>
          <w:sz w:val="24"/>
          <w14:textFill>
            <w14:solidFill>
              <w14:schemeClr w14:val="tx1"/>
            </w14:solidFill>
          </w14:textFill>
        </w:rPr>
        <w:t>与实施强制性国家标准有关的政策措施</w:t>
      </w:r>
      <w:bookmarkEnd w:id="25"/>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本标准的实施监督管理部门是中华人民共和国工业和信息化部和国家市场监督管理总局。本标准依据的法律法规及配套措施如下：</w:t>
      </w:r>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1）《中华人民共和国标准化法》第二章第十条规定，对保障人身健康和生命财产安全、国家安全、生态环境安全以及满足经济社会管理基本需要的技术要求，应当制定强制性国家标准。</w:t>
      </w:r>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2）“工业和信息化部关于调整《道路机动车辆生产企业及产品准入许可》事项审批流程及技术规范的通知”（工信部装〔2015〕492号）的附件2“汽车产品同一型号判定技术条件（2015修订版）”中将GB 20182</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2006《商用车驾驶室外部凸出物》作为《车辆生产企业及产品公告》管理所要求的强制性标准，是汽车产品准入的必要条件。</w:t>
      </w:r>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3）《车辆生产企业及产品生产一致性监督管理办法》（工产业〔2010〕第109号）附件3《一致性监督检查实施细则》中规定，《公告》规定的强制性标准项目的检验结果均符合要求时，判定为性能符合要求。即在汽车产品在一致性监督中，也应满足</w:t>
      </w:r>
      <w:r>
        <w:rPr>
          <w:color w:val="000000" w:themeColor="text1"/>
          <w14:textFill>
            <w14:solidFill>
              <w14:schemeClr w14:val="tx1"/>
            </w14:solidFill>
          </w14:textFill>
        </w:rPr>
        <w:t xml:space="preserve">GB </w:t>
      </w:r>
      <w:r>
        <w:rPr>
          <w:rFonts w:hint="eastAsia"/>
          <w:color w:val="000000" w:themeColor="text1"/>
          <w14:textFill>
            <w14:solidFill>
              <w14:schemeClr w14:val="tx1"/>
            </w14:solidFill>
          </w14:textFill>
        </w:rPr>
        <w:t>20182的要求。</w:t>
      </w:r>
    </w:p>
    <w:p>
      <w:pPr>
        <w:spacing w:line="400" w:lineRule="exact"/>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4）《国家认监委关于发布机动车辆及安全附件强制性产品认证实施规则的公告》（国家认监委公告〔2020〕8号）的附件《</w:t>
      </w:r>
      <w:r>
        <w:rPr>
          <w:color w:val="000000" w:themeColor="text1"/>
          <w14:textFill>
            <w14:solidFill>
              <w14:schemeClr w14:val="tx1"/>
            </w14:solidFill>
          </w14:textFill>
        </w:rPr>
        <w:t>CNCA-C11-01:2020</w:t>
      </w:r>
      <w:r>
        <w:rPr>
          <w:rFonts w:hint="eastAsia"/>
          <w:color w:val="000000" w:themeColor="text1"/>
          <w14:textFill>
            <w14:solidFill>
              <w14:schemeClr w14:val="tx1"/>
            </w14:solidFill>
          </w14:textFill>
        </w:rPr>
        <w:t>汽车》，将商用车驾驶室外部凸出物纳入了汽车及安全附件的强制性产品认证管理中，执行时依据的强制性标准为GB 20182。</w:t>
      </w:r>
    </w:p>
    <w:p>
      <w:pPr>
        <w:numPr>
          <w:ilvl w:val="0"/>
          <w:numId w:val="2"/>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themeColor="text1"/>
          <w:kern w:val="0"/>
          <w:sz w:val="24"/>
          <w14:textFill>
            <w14:solidFill>
              <w14:schemeClr w14:val="tx1"/>
            </w14:solidFill>
          </w14:textFill>
        </w:rPr>
      </w:pPr>
      <w:bookmarkStart w:id="26" w:name="_Toc64898482"/>
      <w:r>
        <w:rPr>
          <w:rFonts w:hint="eastAsia" w:ascii="黑体" w:hAnsi="黑体" w:eastAsia="黑体" w:cs="宋体"/>
          <w:bCs/>
          <w:color w:val="000000" w:themeColor="text1"/>
          <w:kern w:val="0"/>
          <w:sz w:val="24"/>
          <w14:textFill>
            <w14:solidFill>
              <w14:schemeClr w14:val="tx1"/>
            </w14:solidFill>
          </w14:textFill>
        </w:rPr>
        <w:t>是否需要对外通报的建议及理由</w:t>
      </w:r>
      <w:bookmarkEnd w:id="26"/>
    </w:p>
    <w:p>
      <w:pPr>
        <w:pStyle w:val="18"/>
        <w:rPr>
          <w:color w:val="000000" w:themeColor="text1"/>
          <w14:textFill>
            <w14:solidFill>
              <w14:schemeClr w14:val="tx1"/>
            </w14:solidFill>
          </w14:textFill>
        </w:rPr>
      </w:pPr>
      <w:r>
        <w:rPr>
          <w:rFonts w:hint="eastAsia"/>
          <w:color w:val="000000" w:themeColor="text1"/>
          <w14:textFill>
            <w14:solidFill>
              <w14:schemeClr w14:val="tx1"/>
            </w14:solidFill>
          </w14:textFill>
        </w:rPr>
        <w:t>本标准涉及整车外观设计和车辆进出口贸易，建议对外通报。</w:t>
      </w:r>
    </w:p>
    <w:p>
      <w:pPr>
        <w:numPr>
          <w:ilvl w:val="0"/>
          <w:numId w:val="2"/>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themeColor="text1"/>
          <w:kern w:val="0"/>
          <w:sz w:val="24"/>
          <w14:textFill>
            <w14:solidFill>
              <w14:schemeClr w14:val="tx1"/>
            </w14:solidFill>
          </w14:textFill>
        </w:rPr>
      </w:pPr>
      <w:bookmarkStart w:id="27" w:name="_Toc64898483"/>
      <w:r>
        <w:rPr>
          <w:rFonts w:hint="eastAsia" w:ascii="黑体" w:hAnsi="黑体" w:eastAsia="黑体" w:cs="宋体"/>
          <w:bCs/>
          <w:color w:val="000000" w:themeColor="text1"/>
          <w:kern w:val="0"/>
          <w:sz w:val="24"/>
          <w14:textFill>
            <w14:solidFill>
              <w14:schemeClr w14:val="tx1"/>
            </w14:solidFill>
          </w14:textFill>
        </w:rPr>
        <w:t>废止现行有关标准的建议</w:t>
      </w:r>
      <w:bookmarkEnd w:id="27"/>
    </w:p>
    <w:p>
      <w:pPr>
        <w:pStyle w:val="18"/>
        <w:rPr>
          <w:color w:val="000000" w:themeColor="text1"/>
          <w14:textFill>
            <w14:solidFill>
              <w14:schemeClr w14:val="tx1"/>
            </w14:solidFill>
          </w14:textFill>
        </w:rPr>
      </w:pPr>
      <w:r>
        <w:rPr>
          <w:rFonts w:hint="eastAsia"/>
          <w:color w:val="000000" w:themeColor="text1"/>
          <w14:textFill>
            <w14:solidFill>
              <w14:schemeClr w14:val="tx1"/>
            </w14:solidFill>
          </w14:textFill>
        </w:rPr>
        <w:t>自本标准实施之日起废止GB 20182-2006。</w:t>
      </w:r>
    </w:p>
    <w:p>
      <w:pPr>
        <w:numPr>
          <w:ilvl w:val="0"/>
          <w:numId w:val="2"/>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themeColor="text1"/>
          <w:kern w:val="0"/>
          <w:sz w:val="24"/>
          <w14:textFill>
            <w14:solidFill>
              <w14:schemeClr w14:val="tx1"/>
            </w14:solidFill>
          </w14:textFill>
        </w:rPr>
      </w:pPr>
      <w:bookmarkStart w:id="28" w:name="_Toc64898484"/>
      <w:r>
        <w:rPr>
          <w:rFonts w:hint="eastAsia" w:ascii="黑体" w:hAnsi="黑体" w:eastAsia="黑体" w:cs="宋体"/>
          <w:bCs/>
          <w:color w:val="000000" w:themeColor="text1"/>
          <w:kern w:val="0"/>
          <w:sz w:val="24"/>
          <w14:textFill>
            <w14:solidFill>
              <w14:schemeClr w14:val="tx1"/>
            </w14:solidFill>
          </w14:textFill>
        </w:rPr>
        <w:t>涉及专利的有关说明</w:t>
      </w:r>
      <w:bookmarkEnd w:id="28"/>
    </w:p>
    <w:p>
      <w:pPr>
        <w:pStyle w:val="18"/>
        <w:rPr>
          <w:color w:val="000000" w:themeColor="text1"/>
          <w14:textFill>
            <w14:solidFill>
              <w14:schemeClr w14:val="tx1"/>
            </w14:solidFill>
          </w14:textFill>
        </w:rPr>
      </w:pPr>
      <w:r>
        <w:rPr>
          <w:rFonts w:hint="eastAsia"/>
          <w:color w:val="000000" w:themeColor="text1"/>
          <w14:textFill>
            <w14:solidFill>
              <w14:schemeClr w14:val="tx1"/>
            </w14:solidFill>
          </w14:textFill>
        </w:rPr>
        <w:t>本标准不涉及专利。</w:t>
      </w:r>
    </w:p>
    <w:p>
      <w:pPr>
        <w:numPr>
          <w:ilvl w:val="0"/>
          <w:numId w:val="2"/>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themeColor="text1"/>
          <w:kern w:val="0"/>
          <w:sz w:val="24"/>
          <w14:textFill>
            <w14:solidFill>
              <w14:schemeClr w14:val="tx1"/>
            </w14:solidFill>
          </w14:textFill>
        </w:rPr>
      </w:pPr>
      <w:bookmarkStart w:id="29" w:name="_Toc64898485"/>
      <w:r>
        <w:rPr>
          <w:rFonts w:hint="eastAsia" w:ascii="黑体" w:hAnsi="黑体" w:eastAsia="黑体" w:cs="宋体"/>
          <w:bCs/>
          <w:color w:val="000000" w:themeColor="text1"/>
          <w:kern w:val="0"/>
          <w:sz w:val="24"/>
          <w14:textFill>
            <w14:solidFill>
              <w14:schemeClr w14:val="tx1"/>
            </w14:solidFill>
          </w14:textFill>
        </w:rPr>
        <w:t>强制性国家标准所涉及的产品、过程或者服务目录</w:t>
      </w:r>
      <w:bookmarkEnd w:id="29"/>
    </w:p>
    <w:p>
      <w:pPr>
        <w:pStyle w:val="18"/>
        <w:rPr>
          <w:color w:val="000000" w:themeColor="text1"/>
          <w14:textFill>
            <w14:solidFill>
              <w14:schemeClr w14:val="tx1"/>
            </w14:solidFill>
          </w14:textFill>
        </w:rPr>
      </w:pPr>
      <w:r>
        <w:rPr>
          <w:rFonts w:hint="eastAsia"/>
          <w:color w:val="000000" w:themeColor="text1"/>
          <w14:textFill>
            <w14:solidFill>
              <w14:schemeClr w14:val="tx1"/>
            </w14:solidFill>
          </w14:textFill>
        </w:rPr>
        <w:t>GB/T 15089中规定的N类车辆。</w:t>
      </w:r>
    </w:p>
    <w:p>
      <w:pPr>
        <w:numPr>
          <w:ilvl w:val="0"/>
          <w:numId w:val="2"/>
        </w:numPr>
        <w:autoSpaceDE w:val="0"/>
        <w:autoSpaceDN w:val="0"/>
        <w:adjustRightInd w:val="0"/>
        <w:spacing w:before="156" w:beforeLines="50" w:after="156" w:afterLines="50" w:line="400" w:lineRule="exact"/>
        <w:ind w:left="567" w:hanging="567" w:firstLineChars="0"/>
        <w:jc w:val="left"/>
        <w:outlineLvl w:val="0"/>
        <w:rPr>
          <w:rFonts w:ascii="黑体" w:hAnsi="黑体" w:eastAsia="黑体" w:cs="宋体"/>
          <w:bCs/>
          <w:color w:val="000000" w:themeColor="text1"/>
          <w:kern w:val="0"/>
          <w:sz w:val="24"/>
          <w14:textFill>
            <w14:solidFill>
              <w14:schemeClr w14:val="tx1"/>
            </w14:solidFill>
          </w14:textFill>
        </w:rPr>
      </w:pPr>
      <w:bookmarkStart w:id="30" w:name="_Toc64898486"/>
      <w:r>
        <w:rPr>
          <w:rFonts w:hint="eastAsia" w:ascii="黑体" w:hAnsi="黑体" w:eastAsia="黑体" w:cs="宋体"/>
          <w:bCs/>
          <w:color w:val="000000" w:themeColor="text1"/>
          <w:kern w:val="0"/>
          <w:sz w:val="24"/>
          <w14:textFill>
            <w14:solidFill>
              <w14:schemeClr w14:val="tx1"/>
            </w14:solidFill>
          </w14:textFill>
        </w:rPr>
        <w:t>其他应当予以说明的事项</w:t>
      </w:r>
      <w:bookmarkEnd w:id="19"/>
      <w:bookmarkEnd w:id="30"/>
    </w:p>
    <w:p>
      <w:pPr>
        <w:pStyle w:val="18"/>
        <w:rPr>
          <w:color w:val="000000" w:themeColor="text1"/>
          <w14:textFill>
            <w14:solidFill>
              <w14:schemeClr w14:val="tx1"/>
            </w14:solidFill>
          </w14:textFill>
        </w:rPr>
      </w:pPr>
      <w:r>
        <w:rPr>
          <w:rFonts w:hint="eastAsia"/>
          <w:color w:val="000000" w:themeColor="text1"/>
          <w14:textFill>
            <w14:solidFill>
              <w14:schemeClr w14:val="tx1"/>
            </w14:solidFill>
          </w14:textFill>
        </w:rPr>
        <w:t>无。</w:t>
      </w:r>
    </w:p>
    <w:p>
      <w:pPr>
        <w:pStyle w:val="16"/>
        <w:spacing w:line="400" w:lineRule="exact"/>
        <w:ind w:left="900" w:firstLine="0" w:firstLineChars="0"/>
        <w:jc w:val="right"/>
        <w:rPr>
          <w:color w:val="000000" w:themeColor="text1"/>
          <w14:textFill>
            <w14:solidFill>
              <w14:schemeClr w14:val="tx1"/>
            </w14:solidFill>
          </w14:textFill>
        </w:rPr>
      </w:pPr>
      <w:r>
        <w:rPr>
          <w:rFonts w:hint="eastAsia"/>
          <w:color w:val="000000" w:themeColor="text1"/>
          <w14:textFill>
            <w14:solidFill>
              <w14:schemeClr w14:val="tx1"/>
            </w14:solidFill>
          </w14:textFill>
        </w:rPr>
        <w:t>《商用车驾驶室外部凸出物》标准起草组</w:t>
      </w:r>
    </w:p>
    <w:p>
      <w:pPr>
        <w:pStyle w:val="16"/>
        <w:spacing w:line="400" w:lineRule="exact"/>
        <w:ind w:left="900" w:firstLine="0" w:firstLineChars="0"/>
        <w:jc w:val="right"/>
        <w:rPr>
          <w:color w:val="000000" w:themeColor="text1"/>
          <w14:textFill>
            <w14:solidFill>
              <w14:schemeClr w14:val="tx1"/>
            </w14:solidFill>
          </w14:textFill>
        </w:rPr>
      </w:pPr>
      <w:r>
        <w:rPr>
          <w:color w:val="000000" w:themeColor="text1"/>
          <w14:textFill>
            <w14:solidFill>
              <w14:schemeClr w14:val="tx1"/>
            </w14:solidFill>
          </w14:textFill>
        </w:rPr>
        <w:t>2022</w:t>
      </w:r>
      <w:r>
        <w:rPr>
          <w:rFonts w:hint="eastAsia"/>
          <w:color w:val="000000" w:themeColor="text1"/>
          <w14:textFill>
            <w14:solidFill>
              <w14:schemeClr w14:val="tx1"/>
            </w14:solidFill>
          </w14:textFill>
        </w:rPr>
        <w:t>年</w:t>
      </w:r>
      <w:r>
        <w:rPr>
          <w:color w:val="000000" w:themeColor="text1"/>
          <w14:textFill>
            <w14:solidFill>
              <w14:schemeClr w14:val="tx1"/>
            </w14:solidFill>
          </w14:textFill>
        </w:rPr>
        <w:t>7</w:t>
      </w:r>
      <w:r>
        <w:rPr>
          <w:rFonts w:hint="eastAsia"/>
          <w:color w:val="000000" w:themeColor="text1"/>
          <w14:textFill>
            <w14:solidFill>
              <w14:schemeClr w14:val="tx1"/>
            </w14:solidFill>
          </w14:textFill>
        </w:rPr>
        <w:t>月30日</w:t>
      </w:r>
    </w:p>
    <w:sectPr>
      <w:headerReference r:id="rId6" w:type="first"/>
      <w:footerReference r:id="rId8" w:type="first"/>
      <w:headerReference r:id="rId5" w:type="default"/>
      <w:footerReference r:id="rId7" w:type="default"/>
      <w:pgSz w:w="11906" w:h="16838"/>
      <w:pgMar w:top="1440" w:right="1800" w:bottom="1440" w:left="1800" w:header="851" w:footer="992" w:gutter="0"/>
      <w:pgNumType w:start="1"/>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ArialUnicodeMS">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4266888"/>
    </w:sdtPr>
    <w:sdtContent>
      <w:p>
        <w:pPr>
          <w:pStyle w:val="4"/>
          <w:ind w:firstLine="360"/>
          <w:jc w:val="center"/>
        </w:pPr>
        <w:r>
          <w:fldChar w:fldCharType="begin"/>
        </w:r>
        <w:r>
          <w:instrText xml:space="preserve">PAGE   \* MERGEFORMAT</w:instrText>
        </w:r>
        <w:r>
          <w:fldChar w:fldCharType="separate"/>
        </w:r>
        <w:r>
          <w:rPr>
            <w:lang w:val="zh-CN"/>
          </w:rPr>
          <w:t>9</w:t>
        </w:r>
        <w:r>
          <w:fldChar w:fldCharType="end"/>
        </w:r>
      </w:p>
    </w:sdtContent>
  </w:sdt>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14259378"/>
    </w:sdtPr>
    <w:sdtContent>
      <w:p>
        <w:pPr>
          <w:pStyle w:val="4"/>
          <w:ind w:firstLine="360"/>
          <w:jc w:val="center"/>
        </w:pPr>
        <w:r>
          <w:fldChar w:fldCharType="begin"/>
        </w:r>
        <w:r>
          <w:instrText xml:space="preserve">PAGE   \* MERGEFORMAT</w:instrText>
        </w:r>
        <w:r>
          <w:fldChar w:fldCharType="separate"/>
        </w:r>
        <w:r>
          <w:rPr>
            <w:lang w:val="zh-CN"/>
          </w:rPr>
          <w:t>1</w:t>
        </w:r>
        <w:r>
          <w:fldChar w:fldCharType="end"/>
        </w:r>
      </w:p>
    </w:sdtContent>
  </w:sdt>
  <w:p>
    <w:pPr>
      <w:pStyle w:val="4"/>
      <w:ind w:firstLine="0" w:firstLineChars="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w:rPr>
        <w:rFonts w:hint="eastAsia"/>
      </w:rPr>
      <w:t>《商用车驾驶室外部凸出物》（征求意见稿）编制说明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r>
      <w:rPr>
        <w:rFonts w:hint="eastAsia"/>
      </w:rPr>
      <w:t>《商用车驾驶室外部凸出物》（征求意见稿）编制说明</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C957A9"/>
    <w:multiLevelType w:val="multilevel"/>
    <w:tmpl w:val="28C957A9"/>
    <w:lvl w:ilvl="0" w:tentative="0">
      <w:start w:val="1"/>
      <w:numFmt w:val="japaneseCounting"/>
      <w:lvlText w:val="%1、"/>
      <w:lvlJc w:val="left"/>
      <w:pPr>
        <w:ind w:left="900" w:hanging="9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C5917C3"/>
    <w:multiLevelType w:val="multilevel"/>
    <w:tmpl w:val="2C5917C3"/>
    <w:lvl w:ilvl="0" w:tentative="0">
      <w:start w:val="1"/>
      <w:numFmt w:val="none"/>
      <w:pStyle w:val="2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25"/>
      <w:lvlText w:val=""/>
      <w:lvlJc w:val="left"/>
      <w:pPr>
        <w:ind w:left="851" w:hanging="431"/>
      </w:pPr>
      <w:rPr>
        <w:rFonts w:hint="default" w:ascii="Symbol" w:hAnsi="Symbol"/>
        <w:sz w:val="21"/>
      </w:rPr>
    </w:lvl>
    <w:lvl w:ilvl="2" w:tentative="0">
      <w:start w:val="1"/>
      <w:numFmt w:val="bullet"/>
      <w:pStyle w:val="2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2">
    <w:nsid w:val="6D151232"/>
    <w:multiLevelType w:val="multilevel"/>
    <w:tmpl w:val="6D151232"/>
    <w:lvl w:ilvl="0" w:tentative="0">
      <w:start w:val="1"/>
      <w:numFmt w:val="decimal"/>
      <w:lvlText w:val="%1)"/>
      <w:lvlJc w:val="left"/>
      <w:pPr>
        <w:ind w:left="0" w:firstLine="420"/>
      </w:pPr>
      <w:rPr>
        <w:rFonts w:hint="eastAsia"/>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2845"/>
    <w:rsid w:val="00006F0A"/>
    <w:rsid w:val="00012234"/>
    <w:rsid w:val="0001306A"/>
    <w:rsid w:val="00016B5B"/>
    <w:rsid w:val="0001748E"/>
    <w:rsid w:val="0002123D"/>
    <w:rsid w:val="000349B1"/>
    <w:rsid w:val="00037775"/>
    <w:rsid w:val="00041048"/>
    <w:rsid w:val="00061C93"/>
    <w:rsid w:val="0007093B"/>
    <w:rsid w:val="00070B63"/>
    <w:rsid w:val="000902B6"/>
    <w:rsid w:val="000A0FD4"/>
    <w:rsid w:val="000A6AD4"/>
    <w:rsid w:val="000D0D05"/>
    <w:rsid w:val="000D34C5"/>
    <w:rsid w:val="000F0237"/>
    <w:rsid w:val="000F2544"/>
    <w:rsid w:val="000F6484"/>
    <w:rsid w:val="00107CBB"/>
    <w:rsid w:val="00114B25"/>
    <w:rsid w:val="001235B5"/>
    <w:rsid w:val="0012520D"/>
    <w:rsid w:val="001270C8"/>
    <w:rsid w:val="0013239D"/>
    <w:rsid w:val="001350AE"/>
    <w:rsid w:val="00135AA7"/>
    <w:rsid w:val="00136A80"/>
    <w:rsid w:val="001401AC"/>
    <w:rsid w:val="0014551E"/>
    <w:rsid w:val="00151E03"/>
    <w:rsid w:val="001676BD"/>
    <w:rsid w:val="00167B0A"/>
    <w:rsid w:val="00170389"/>
    <w:rsid w:val="0017659A"/>
    <w:rsid w:val="001848BF"/>
    <w:rsid w:val="00190686"/>
    <w:rsid w:val="001927EC"/>
    <w:rsid w:val="00197230"/>
    <w:rsid w:val="001A3352"/>
    <w:rsid w:val="001B378A"/>
    <w:rsid w:val="001C7FB9"/>
    <w:rsid w:val="001D22C8"/>
    <w:rsid w:val="001D3286"/>
    <w:rsid w:val="001F04BC"/>
    <w:rsid w:val="00201133"/>
    <w:rsid w:val="002176C1"/>
    <w:rsid w:val="0021799F"/>
    <w:rsid w:val="00217C16"/>
    <w:rsid w:val="00242421"/>
    <w:rsid w:val="002441F9"/>
    <w:rsid w:val="00255B31"/>
    <w:rsid w:val="00257E24"/>
    <w:rsid w:val="00260138"/>
    <w:rsid w:val="0027006A"/>
    <w:rsid w:val="00272072"/>
    <w:rsid w:val="00272938"/>
    <w:rsid w:val="00277D19"/>
    <w:rsid w:val="00280CC2"/>
    <w:rsid w:val="002A65E3"/>
    <w:rsid w:val="002B0259"/>
    <w:rsid w:val="002B0894"/>
    <w:rsid w:val="002B5D4B"/>
    <w:rsid w:val="002C4A95"/>
    <w:rsid w:val="002D0B81"/>
    <w:rsid w:val="002E6ED6"/>
    <w:rsid w:val="002F2D31"/>
    <w:rsid w:val="0030124B"/>
    <w:rsid w:val="00321775"/>
    <w:rsid w:val="00342C8D"/>
    <w:rsid w:val="00346616"/>
    <w:rsid w:val="00350E31"/>
    <w:rsid w:val="003518C8"/>
    <w:rsid w:val="003533E3"/>
    <w:rsid w:val="00361426"/>
    <w:rsid w:val="0036598F"/>
    <w:rsid w:val="00367143"/>
    <w:rsid w:val="00374A8E"/>
    <w:rsid w:val="0038380F"/>
    <w:rsid w:val="00384974"/>
    <w:rsid w:val="00390F87"/>
    <w:rsid w:val="003A219D"/>
    <w:rsid w:val="003A3D87"/>
    <w:rsid w:val="003E4CE0"/>
    <w:rsid w:val="003E63B2"/>
    <w:rsid w:val="003F1BDE"/>
    <w:rsid w:val="00402F5C"/>
    <w:rsid w:val="00435869"/>
    <w:rsid w:val="00440AF5"/>
    <w:rsid w:val="00445187"/>
    <w:rsid w:val="004603C7"/>
    <w:rsid w:val="004653DA"/>
    <w:rsid w:val="00472021"/>
    <w:rsid w:val="00482A1E"/>
    <w:rsid w:val="00487376"/>
    <w:rsid w:val="00491213"/>
    <w:rsid w:val="00492469"/>
    <w:rsid w:val="004A567C"/>
    <w:rsid w:val="004A64ED"/>
    <w:rsid w:val="004D5976"/>
    <w:rsid w:val="004E44B8"/>
    <w:rsid w:val="004F39A1"/>
    <w:rsid w:val="005158F2"/>
    <w:rsid w:val="00526340"/>
    <w:rsid w:val="00552A94"/>
    <w:rsid w:val="00554A56"/>
    <w:rsid w:val="00557846"/>
    <w:rsid w:val="005608EB"/>
    <w:rsid w:val="0056107A"/>
    <w:rsid w:val="00567EBD"/>
    <w:rsid w:val="00590E4A"/>
    <w:rsid w:val="005B19DC"/>
    <w:rsid w:val="005B2BD0"/>
    <w:rsid w:val="005D5946"/>
    <w:rsid w:val="005E5508"/>
    <w:rsid w:val="0061258D"/>
    <w:rsid w:val="006321F5"/>
    <w:rsid w:val="00644A29"/>
    <w:rsid w:val="00650AFC"/>
    <w:rsid w:val="0067120B"/>
    <w:rsid w:val="0067416F"/>
    <w:rsid w:val="0068575E"/>
    <w:rsid w:val="00687D73"/>
    <w:rsid w:val="006C15C3"/>
    <w:rsid w:val="006D5502"/>
    <w:rsid w:val="00704058"/>
    <w:rsid w:val="00705B04"/>
    <w:rsid w:val="007144A4"/>
    <w:rsid w:val="007221A1"/>
    <w:rsid w:val="00776C0C"/>
    <w:rsid w:val="007832CA"/>
    <w:rsid w:val="007A1723"/>
    <w:rsid w:val="007A358D"/>
    <w:rsid w:val="007B2F79"/>
    <w:rsid w:val="007B7023"/>
    <w:rsid w:val="007C129F"/>
    <w:rsid w:val="007C1F78"/>
    <w:rsid w:val="007C38E3"/>
    <w:rsid w:val="007E16F0"/>
    <w:rsid w:val="007E2425"/>
    <w:rsid w:val="00800B83"/>
    <w:rsid w:val="008045A0"/>
    <w:rsid w:val="00814265"/>
    <w:rsid w:val="00820218"/>
    <w:rsid w:val="00841A6D"/>
    <w:rsid w:val="0085041F"/>
    <w:rsid w:val="00862BDB"/>
    <w:rsid w:val="00875FBA"/>
    <w:rsid w:val="0088199E"/>
    <w:rsid w:val="0088577E"/>
    <w:rsid w:val="00892845"/>
    <w:rsid w:val="008C09FD"/>
    <w:rsid w:val="008C7492"/>
    <w:rsid w:val="008C766E"/>
    <w:rsid w:val="008E68DA"/>
    <w:rsid w:val="008E6BD1"/>
    <w:rsid w:val="008E722B"/>
    <w:rsid w:val="008F0CC4"/>
    <w:rsid w:val="00924060"/>
    <w:rsid w:val="00925301"/>
    <w:rsid w:val="009273A8"/>
    <w:rsid w:val="0094248C"/>
    <w:rsid w:val="00945B03"/>
    <w:rsid w:val="00950EA6"/>
    <w:rsid w:val="009522EB"/>
    <w:rsid w:val="009535F8"/>
    <w:rsid w:val="0095555A"/>
    <w:rsid w:val="00957233"/>
    <w:rsid w:val="009656D2"/>
    <w:rsid w:val="00980D98"/>
    <w:rsid w:val="00990AC3"/>
    <w:rsid w:val="00992AC6"/>
    <w:rsid w:val="009A1C1D"/>
    <w:rsid w:val="009B6341"/>
    <w:rsid w:val="009D4CD2"/>
    <w:rsid w:val="009D5FD4"/>
    <w:rsid w:val="009F2029"/>
    <w:rsid w:val="00A02022"/>
    <w:rsid w:val="00A11B0B"/>
    <w:rsid w:val="00A1530E"/>
    <w:rsid w:val="00A16F92"/>
    <w:rsid w:val="00A2748A"/>
    <w:rsid w:val="00A30338"/>
    <w:rsid w:val="00A40C89"/>
    <w:rsid w:val="00A4652C"/>
    <w:rsid w:val="00A70D68"/>
    <w:rsid w:val="00A95A29"/>
    <w:rsid w:val="00A9754E"/>
    <w:rsid w:val="00AA035A"/>
    <w:rsid w:val="00AA24A5"/>
    <w:rsid w:val="00AA2F02"/>
    <w:rsid w:val="00AA35C3"/>
    <w:rsid w:val="00AB3E8B"/>
    <w:rsid w:val="00AB5CA8"/>
    <w:rsid w:val="00AC4639"/>
    <w:rsid w:val="00AF1CEA"/>
    <w:rsid w:val="00B07332"/>
    <w:rsid w:val="00B1292A"/>
    <w:rsid w:val="00B12F76"/>
    <w:rsid w:val="00B34D8B"/>
    <w:rsid w:val="00B508CA"/>
    <w:rsid w:val="00B643B0"/>
    <w:rsid w:val="00B6771B"/>
    <w:rsid w:val="00B84CD4"/>
    <w:rsid w:val="00B86B04"/>
    <w:rsid w:val="00B93CF6"/>
    <w:rsid w:val="00BB2F55"/>
    <w:rsid w:val="00BB32B5"/>
    <w:rsid w:val="00BB727F"/>
    <w:rsid w:val="00BB781B"/>
    <w:rsid w:val="00BC2127"/>
    <w:rsid w:val="00BC4565"/>
    <w:rsid w:val="00BD3336"/>
    <w:rsid w:val="00BF19AB"/>
    <w:rsid w:val="00C130E9"/>
    <w:rsid w:val="00C46415"/>
    <w:rsid w:val="00C642FD"/>
    <w:rsid w:val="00C75369"/>
    <w:rsid w:val="00C807DE"/>
    <w:rsid w:val="00C86454"/>
    <w:rsid w:val="00C91560"/>
    <w:rsid w:val="00CA3D9F"/>
    <w:rsid w:val="00CB5476"/>
    <w:rsid w:val="00CC4553"/>
    <w:rsid w:val="00CD16C2"/>
    <w:rsid w:val="00CD5323"/>
    <w:rsid w:val="00CD68A9"/>
    <w:rsid w:val="00CE5D41"/>
    <w:rsid w:val="00D20184"/>
    <w:rsid w:val="00D2752D"/>
    <w:rsid w:val="00D317E0"/>
    <w:rsid w:val="00D6116E"/>
    <w:rsid w:val="00D6255A"/>
    <w:rsid w:val="00D67B74"/>
    <w:rsid w:val="00D92D16"/>
    <w:rsid w:val="00D954FF"/>
    <w:rsid w:val="00DB333D"/>
    <w:rsid w:val="00DB7620"/>
    <w:rsid w:val="00DC749F"/>
    <w:rsid w:val="00DD1FFC"/>
    <w:rsid w:val="00DE02D2"/>
    <w:rsid w:val="00DE1CC7"/>
    <w:rsid w:val="00DF5D69"/>
    <w:rsid w:val="00DF7886"/>
    <w:rsid w:val="00E01A33"/>
    <w:rsid w:val="00E245EA"/>
    <w:rsid w:val="00E31747"/>
    <w:rsid w:val="00E360E0"/>
    <w:rsid w:val="00E4164F"/>
    <w:rsid w:val="00E42B97"/>
    <w:rsid w:val="00E43326"/>
    <w:rsid w:val="00E45F30"/>
    <w:rsid w:val="00E544A7"/>
    <w:rsid w:val="00E67739"/>
    <w:rsid w:val="00E737E8"/>
    <w:rsid w:val="00E86EAA"/>
    <w:rsid w:val="00E90A23"/>
    <w:rsid w:val="00EB3970"/>
    <w:rsid w:val="00EB3D42"/>
    <w:rsid w:val="00EB70F3"/>
    <w:rsid w:val="00EC36AC"/>
    <w:rsid w:val="00ED272C"/>
    <w:rsid w:val="00EE13B6"/>
    <w:rsid w:val="00EF600F"/>
    <w:rsid w:val="00F02303"/>
    <w:rsid w:val="00F33B7C"/>
    <w:rsid w:val="00F363BA"/>
    <w:rsid w:val="00F4709E"/>
    <w:rsid w:val="00F56033"/>
    <w:rsid w:val="00F6014B"/>
    <w:rsid w:val="00F67663"/>
    <w:rsid w:val="00F80F7F"/>
    <w:rsid w:val="00F97C76"/>
    <w:rsid w:val="00FA3AAB"/>
    <w:rsid w:val="00FB180E"/>
    <w:rsid w:val="00FB2167"/>
    <w:rsid w:val="00FC15D0"/>
    <w:rsid w:val="00FC4B5B"/>
    <w:rsid w:val="00FF0F7A"/>
    <w:rsid w:val="00FF38D0"/>
    <w:rsid w:val="00FF4B80"/>
    <w:rsid w:val="0DE203C9"/>
    <w:rsid w:val="2C5607B3"/>
    <w:rsid w:val="35AD087C"/>
    <w:rsid w:val="628A3A1A"/>
    <w:rsid w:val="6AFE36DB"/>
    <w:rsid w:val="77A303A5"/>
    <w:rsid w:val="7F1E09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20"/>
    <w:semiHidden/>
    <w:unhideWhenUsed/>
    <w:uiPriority w:val="99"/>
    <w:pPr>
      <w:spacing w:line="240" w:lineRule="auto"/>
    </w:pPr>
    <w:rPr>
      <w:sz w:val="18"/>
      <w:szCs w:val="18"/>
    </w:rPr>
  </w:style>
  <w:style w:type="paragraph" w:styleId="4">
    <w:name w:val="footer"/>
    <w:basedOn w:val="1"/>
    <w:link w:val="12"/>
    <w:unhideWhenUsed/>
    <w:uiPriority w:val="99"/>
    <w:pPr>
      <w:tabs>
        <w:tab w:val="center" w:pos="4153"/>
        <w:tab w:val="right" w:pos="8306"/>
      </w:tabs>
      <w:snapToGrid w:val="0"/>
      <w:jc w:val="left"/>
    </w:pPr>
    <w:rPr>
      <w:sz w:val="18"/>
      <w:szCs w:val="18"/>
    </w:rPr>
  </w:style>
  <w:style w:type="paragraph" w:styleId="5">
    <w:name w:val="header"/>
    <w:basedOn w:val="1"/>
    <w:link w:val="11"/>
    <w:unhideWhenUsed/>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Hyperlink"/>
    <w:basedOn w:val="9"/>
    <w:unhideWhenUsed/>
    <w:uiPriority w:val="99"/>
    <w:rPr>
      <w:color w:val="0563C1" w:themeColor="hyperlink"/>
      <w:u w:val="single"/>
      <w14:textFill>
        <w14:solidFill>
          <w14:schemeClr w14:val="hlink"/>
        </w14:solidFill>
      </w14:textFill>
    </w:rPr>
  </w:style>
  <w:style w:type="character" w:customStyle="1" w:styleId="11">
    <w:name w:val="页眉 Char"/>
    <w:basedOn w:val="9"/>
    <w:link w:val="5"/>
    <w:qFormat/>
    <w:uiPriority w:val="99"/>
    <w:rPr>
      <w:sz w:val="18"/>
      <w:szCs w:val="18"/>
    </w:rPr>
  </w:style>
  <w:style w:type="character" w:customStyle="1" w:styleId="12">
    <w:name w:val="页脚 Char"/>
    <w:basedOn w:val="9"/>
    <w:link w:val="4"/>
    <w:uiPriority w:val="99"/>
    <w:rPr>
      <w:sz w:val="18"/>
      <w:szCs w:val="18"/>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标题 1 Char"/>
    <w:basedOn w:val="9"/>
    <w:link w:val="2"/>
    <w:qFormat/>
    <w:uiPriority w:val="9"/>
    <w:rPr>
      <w:rFonts w:ascii="Times New Roman" w:hAnsi="Times New Roman" w:eastAsia="宋体" w:cs="Times New Roman"/>
      <w:b/>
      <w:bCs/>
      <w:kern w:val="44"/>
      <w:sz w:val="44"/>
      <w:szCs w:val="44"/>
    </w:rPr>
  </w:style>
  <w:style w:type="paragraph" w:customStyle="1" w:styleId="15">
    <w:name w:val="TOC 标题1"/>
    <w:basedOn w:val="2"/>
    <w:next w:val="1"/>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16">
    <w:name w:val="List Paragraph"/>
    <w:basedOn w:val="1"/>
    <w:qFormat/>
    <w:uiPriority w:val="34"/>
    <w:pPr>
      <w:ind w:firstLine="420"/>
    </w:pPr>
  </w:style>
  <w:style w:type="paragraph" w:customStyle="1" w:styleId="17">
    <w:name w:val="标准文件_文件名称"/>
    <w:basedOn w:val="1"/>
    <w:next w:val="1"/>
    <w:qFormat/>
    <w:uiPriority w:val="0"/>
    <w:pPr>
      <w:framePr w:w="9639" w:h="6976" w:hRule="exact" w:wrap="auto" w:vAnchor="page" w:hAnchor="page" w:y="6408"/>
      <w:widowControl/>
      <w:spacing w:line="700" w:lineRule="exact"/>
      <w:ind w:firstLine="0" w:firstLineChars="0"/>
      <w:jc w:val="center"/>
    </w:pPr>
    <w:rPr>
      <w:rFonts w:ascii="黑体" w:hAnsi="黑体" w:eastAsia="黑体"/>
      <w:bCs/>
      <w:kern w:val="0"/>
      <w:sz w:val="52"/>
      <w:szCs w:val="20"/>
    </w:rPr>
  </w:style>
  <w:style w:type="paragraph" w:customStyle="1" w:styleId="18">
    <w:name w:val="编制说明正文"/>
    <w:basedOn w:val="1"/>
    <w:link w:val="19"/>
    <w:qFormat/>
    <w:uiPriority w:val="0"/>
    <w:pPr>
      <w:shd w:val="clear" w:color="auto" w:fill="FFFFFF"/>
      <w:spacing w:line="400" w:lineRule="exact"/>
      <w:ind w:firstLine="420"/>
    </w:pPr>
    <w:rPr>
      <w:rFonts w:cs="Arial"/>
      <w:szCs w:val="21"/>
    </w:rPr>
  </w:style>
  <w:style w:type="character" w:customStyle="1" w:styleId="19">
    <w:name w:val="编制说明正文 字符"/>
    <w:basedOn w:val="9"/>
    <w:link w:val="18"/>
    <w:uiPriority w:val="0"/>
    <w:rPr>
      <w:rFonts w:ascii="Times New Roman" w:hAnsi="Times New Roman" w:eastAsia="宋体" w:cs="Arial"/>
      <w:szCs w:val="21"/>
      <w:shd w:val="clear" w:color="auto" w:fill="FFFFFF"/>
    </w:rPr>
  </w:style>
  <w:style w:type="character" w:customStyle="1" w:styleId="20">
    <w:name w:val="批注框文本 Char"/>
    <w:basedOn w:val="9"/>
    <w:link w:val="3"/>
    <w:semiHidden/>
    <w:uiPriority w:val="99"/>
    <w:rPr>
      <w:rFonts w:ascii="Times New Roman" w:hAnsi="Times New Roman" w:eastAsia="宋体" w:cs="Times New Roman"/>
      <w:sz w:val="18"/>
      <w:szCs w:val="18"/>
    </w:rPr>
  </w:style>
  <w:style w:type="paragraph" w:customStyle="1" w:styleId="21">
    <w:name w:val="标准文件_段"/>
    <w:link w:val="24"/>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2">
    <w:name w:val="标准文件_一级项"/>
    <w:uiPriority w:val="0"/>
    <w:pPr>
      <w:numPr>
        <w:ilvl w:val="0"/>
        <w:numId w:val="1"/>
      </w:numPr>
    </w:pPr>
    <w:rPr>
      <w:rFonts w:ascii="宋体" w:hAnsi="Times New Roman" w:eastAsia="宋体" w:cs="Times New Roman"/>
      <w:sz w:val="21"/>
      <w:lang w:val="en-US" w:eastAsia="zh-CN" w:bidi="ar-SA"/>
    </w:rPr>
  </w:style>
  <w:style w:type="paragraph" w:customStyle="1" w:styleId="23">
    <w:name w:val="标准文件_三级项"/>
    <w:basedOn w:val="1"/>
    <w:uiPriority w:val="0"/>
    <w:pPr>
      <w:numPr>
        <w:ilvl w:val="2"/>
        <w:numId w:val="1"/>
      </w:numPr>
      <w:adjustRightInd w:val="0"/>
      <w:spacing w:line="536870612" w:lineRule="auto"/>
      <w:ind w:firstLine="0" w:firstLineChars="0"/>
    </w:pPr>
    <w:rPr>
      <w:szCs w:val="21"/>
    </w:rPr>
  </w:style>
  <w:style w:type="character" w:customStyle="1" w:styleId="24">
    <w:name w:val="标准文件_段 Char"/>
    <w:link w:val="21"/>
    <w:uiPriority w:val="0"/>
    <w:rPr>
      <w:rFonts w:ascii="宋体" w:hAnsi="Times New Roman" w:eastAsia="宋体" w:cs="Times New Roman"/>
      <w:sz w:val="21"/>
    </w:rPr>
  </w:style>
  <w:style w:type="paragraph" w:customStyle="1" w:styleId="25">
    <w:name w:val="标准文件_二级项2"/>
    <w:basedOn w:val="21"/>
    <w:qFormat/>
    <w:uiPriority w:val="0"/>
    <w:pPr>
      <w:numPr>
        <w:ilvl w:val="1"/>
        <w:numId w:val="1"/>
      </w:numPr>
      <w:tabs>
        <w:tab w:val="left" w:pos="360"/>
      </w:tabs>
      <w:ind w:left="1271" w:hanging="420" w:firstLineChars="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2.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646F95-461D-488B-B42A-6CBEE7970D32}">
  <ds:schemaRefs/>
</ds:datastoreItem>
</file>

<file path=docProps/app.xml><?xml version="1.0" encoding="utf-8"?>
<Properties xmlns="http://schemas.openxmlformats.org/officeDocument/2006/extended-properties" xmlns:vt="http://schemas.openxmlformats.org/officeDocument/2006/docPropsVTypes">
  <Template>Normal.dotm</Template>
  <Pages>11</Pages>
  <Words>1176</Words>
  <Characters>6707</Characters>
  <Lines>55</Lines>
  <Paragraphs>15</Paragraphs>
  <TotalTime>379</TotalTime>
  <ScaleCrop>false</ScaleCrop>
  <LinksUpToDate>false</LinksUpToDate>
  <CharactersWithSpaces>7868</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2022-05-30T08:06:00Z</dcterms:created>
  <dc:creator>李云伟</dc:creator>
  <cp:lastModifiedBy>李云伟</cp:lastModifiedBy>
  <cp:lastPrinted>2022-07-29T03:13:00Z</cp:lastPrinted>
  <dcterms:modified xsi:type="dcterms:W3CDTF">2022-09-26T06:14:52Z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F682A07ACBA0407D903D0B90052E36A9</vt:lpwstr>
  </property>
</Properties>
</file>