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uto"/>
        <w:ind w:firstLine="0" w:firstLineChars="0"/>
        <w:jc w:val="center"/>
        <w:outlineLvl w:val="0"/>
        <w:rPr>
          <w:rFonts w:ascii="黑体" w:hAnsi="黑体" w:eastAsia="黑体"/>
          <w:color w:val="000000"/>
          <w:kern w:val="0"/>
          <w:sz w:val="32"/>
          <w:szCs w:val="32"/>
        </w:rPr>
      </w:pPr>
      <w:bookmarkStart w:id="32" w:name="_GoBack"/>
      <w:bookmarkStart w:id="0" w:name="_Toc36212235"/>
      <w:bookmarkStart w:id="1" w:name="_Toc64898472"/>
      <w:bookmarkStart w:id="2" w:name="_Toc28417"/>
      <w:bookmarkStart w:id="3" w:name="_Toc30310"/>
      <w:bookmarkStart w:id="4" w:name="_Toc28374"/>
      <w:r>
        <w:rPr>
          <w:rFonts w:ascii="黑体" w:hAnsi="黑体" w:eastAsia="黑体"/>
          <w:color w:val="000000"/>
          <w:kern w:val="0"/>
          <w:sz w:val="32"/>
          <w:szCs w:val="32"/>
        </w:rPr>
        <w:t>《</w:t>
      </w:r>
      <w:r>
        <w:rPr>
          <w:rFonts w:hint="eastAsia" w:ascii="黑体" w:hAnsi="黑体" w:eastAsia="黑体"/>
          <w:color w:val="000000"/>
          <w:kern w:val="0"/>
          <w:sz w:val="32"/>
          <w:szCs w:val="32"/>
        </w:rPr>
        <w:t>乘用车外部</w:t>
      </w:r>
      <w:r>
        <w:rPr>
          <w:rFonts w:hint="eastAsia" w:ascii="黑体" w:hAnsi="黑体" w:eastAsia="黑体"/>
          <w:color w:val="000000"/>
          <w:kern w:val="0"/>
          <w:sz w:val="32"/>
          <w:szCs w:val="32"/>
          <w:lang w:val="en-US" w:eastAsia="zh-CN"/>
        </w:rPr>
        <w:t>凸</w:t>
      </w:r>
      <w:r>
        <w:rPr>
          <w:rFonts w:hint="eastAsia" w:ascii="黑体" w:hAnsi="黑体" w:eastAsia="黑体"/>
          <w:color w:val="000000"/>
          <w:kern w:val="0"/>
          <w:sz w:val="32"/>
          <w:szCs w:val="32"/>
        </w:rPr>
        <w:t>出物</w:t>
      </w:r>
      <w:r>
        <w:rPr>
          <w:rFonts w:ascii="黑体" w:hAnsi="黑体" w:eastAsia="黑体"/>
          <w:color w:val="000000"/>
          <w:kern w:val="0"/>
          <w:sz w:val="32"/>
          <w:szCs w:val="32"/>
        </w:rPr>
        <w:t>》</w:t>
      </w:r>
      <w:bookmarkEnd w:id="0"/>
      <w:bookmarkEnd w:id="1"/>
      <w:bookmarkEnd w:id="2"/>
      <w:bookmarkEnd w:id="3"/>
      <w:bookmarkEnd w:id="4"/>
      <w:bookmarkStart w:id="5" w:name="_Toc36212236"/>
      <w:bookmarkStart w:id="6" w:name="_Toc21854"/>
      <w:bookmarkStart w:id="7" w:name="_Toc64898473"/>
      <w:bookmarkStart w:id="8" w:name="_Toc4815"/>
      <w:bookmarkStart w:id="9" w:name="_Toc14803"/>
      <w:r>
        <w:rPr>
          <w:rFonts w:ascii="黑体" w:hAnsi="黑体" w:eastAsia="黑体"/>
          <w:color w:val="000000"/>
          <w:kern w:val="0"/>
          <w:sz w:val="32"/>
          <w:szCs w:val="32"/>
        </w:rPr>
        <w:t>（</w:t>
      </w:r>
      <w:r>
        <w:rPr>
          <w:rFonts w:hint="eastAsia" w:ascii="黑体" w:hAnsi="黑体" w:eastAsia="黑体"/>
          <w:color w:val="000000"/>
          <w:kern w:val="0"/>
          <w:sz w:val="32"/>
          <w:szCs w:val="32"/>
        </w:rPr>
        <w:t>征求意见稿</w:t>
      </w:r>
      <w:r>
        <w:rPr>
          <w:rFonts w:ascii="黑体" w:hAnsi="黑体" w:eastAsia="黑体"/>
          <w:color w:val="000000"/>
          <w:kern w:val="0"/>
          <w:sz w:val="32"/>
          <w:szCs w:val="32"/>
        </w:rPr>
        <w:t>）</w:t>
      </w:r>
      <w:bookmarkEnd w:id="32"/>
      <w:bookmarkEnd w:id="5"/>
      <w:bookmarkEnd w:id="6"/>
      <w:bookmarkEnd w:id="7"/>
      <w:bookmarkEnd w:id="8"/>
      <w:bookmarkEnd w:id="9"/>
    </w:p>
    <w:p>
      <w:pPr>
        <w:autoSpaceDE w:val="0"/>
        <w:autoSpaceDN w:val="0"/>
        <w:adjustRightInd w:val="0"/>
        <w:spacing w:line="240" w:lineRule="auto"/>
        <w:ind w:firstLine="0" w:firstLineChars="0"/>
        <w:jc w:val="center"/>
        <w:outlineLvl w:val="0"/>
        <w:rPr>
          <w:rFonts w:ascii="黑体" w:hAnsi="黑体" w:eastAsia="黑体" w:cs="宋体"/>
          <w:color w:val="000000"/>
          <w:kern w:val="0"/>
          <w:sz w:val="32"/>
          <w:szCs w:val="32"/>
        </w:rPr>
      </w:pPr>
      <w:bookmarkStart w:id="10" w:name="_Toc8137"/>
      <w:bookmarkStart w:id="11" w:name="_Toc36212237"/>
      <w:bookmarkStart w:id="12" w:name="_Toc31546"/>
      <w:bookmarkStart w:id="13" w:name="_Toc64898474"/>
      <w:bookmarkStart w:id="14" w:name="_Toc30226"/>
      <w:r>
        <w:rPr>
          <w:rFonts w:hint="eastAsia" w:ascii="黑体" w:hAnsi="黑体" w:eastAsia="黑体" w:cs="宋体"/>
          <w:color w:val="000000"/>
          <w:kern w:val="0"/>
          <w:sz w:val="32"/>
          <w:szCs w:val="32"/>
        </w:rPr>
        <w:t>编制说明</w:t>
      </w:r>
      <w:bookmarkEnd w:id="10"/>
      <w:bookmarkEnd w:id="11"/>
      <w:bookmarkEnd w:id="12"/>
      <w:bookmarkEnd w:id="13"/>
      <w:bookmarkEnd w:id="14"/>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15" w:name="_Toc733"/>
      <w:bookmarkStart w:id="16" w:name="_Toc36212238"/>
      <w:bookmarkStart w:id="17" w:name="_Toc64898475"/>
      <w:bookmarkStart w:id="18" w:name="_Toc7124"/>
      <w:bookmarkStart w:id="19" w:name="_Hlk64896381"/>
      <w:r>
        <w:rPr>
          <w:rFonts w:hint="eastAsia" w:ascii="黑体" w:hAnsi="黑体" w:eastAsia="黑体" w:cs="宋体"/>
          <w:bCs/>
          <w:color w:val="000000"/>
          <w:kern w:val="0"/>
          <w:sz w:val="24"/>
        </w:rPr>
        <w:t>工作简况</w:t>
      </w:r>
      <w:bookmarkEnd w:id="15"/>
      <w:bookmarkEnd w:id="16"/>
      <w:bookmarkEnd w:id="17"/>
      <w:bookmarkEnd w:id="18"/>
    </w:p>
    <w:p>
      <w:pPr>
        <w:shd w:val="clear" w:color="auto" w:fill="FFFFFF"/>
        <w:spacing w:before="156" w:beforeLines="50" w:after="156" w:afterLines="50" w:line="400" w:lineRule="exact"/>
        <w:ind w:firstLine="422"/>
        <w:rPr>
          <w:rFonts w:ascii="黑体" w:hAnsi="黑体" w:eastAsia="黑体" w:cs="宋体"/>
          <w:b/>
          <w:bCs/>
          <w:szCs w:val="21"/>
        </w:rPr>
      </w:pPr>
      <w:bookmarkStart w:id="20" w:name="_Toc64898476"/>
      <w:r>
        <w:rPr>
          <w:rFonts w:hint="eastAsia" w:ascii="黑体" w:hAnsi="黑体" w:eastAsia="黑体" w:cs="宋体"/>
          <w:b/>
          <w:bCs/>
          <w:szCs w:val="21"/>
        </w:rPr>
        <w:t>1、任务来源</w:t>
      </w:r>
    </w:p>
    <w:p>
      <w:pPr>
        <w:shd w:val="clear" w:color="auto" w:fill="FFFFFF"/>
        <w:spacing w:line="400" w:lineRule="exact"/>
        <w:ind w:firstLine="420"/>
        <w:rPr>
          <w:rFonts w:cs="Arial"/>
          <w:szCs w:val="21"/>
        </w:rPr>
      </w:pPr>
      <w:r>
        <w:rPr>
          <w:rFonts w:hint="eastAsia" w:cs="Arial"/>
          <w:szCs w:val="21"/>
        </w:rPr>
        <w:t>GB 11566－2009《乘用车外部凸出物》属于汽车强制性标准体系中被动安全领域要求。标准对车辆外部凸出物加以规范，有利于避免对车外人员的擦伤、刮伤、撞伤等，在人与车的碰撞事故（包括车辆处于运动或静止时的碰撞）中能降低车外人员的伤害程度。</w:t>
      </w:r>
    </w:p>
    <w:p>
      <w:pPr>
        <w:shd w:val="clear" w:color="auto" w:fill="FFFFFF"/>
        <w:spacing w:line="400" w:lineRule="exact"/>
        <w:ind w:firstLine="420"/>
        <w:rPr>
          <w:rFonts w:cs="Arial"/>
          <w:szCs w:val="21"/>
        </w:rPr>
      </w:pPr>
      <w:r>
        <w:rPr>
          <w:rFonts w:hint="eastAsia" w:cs="Arial"/>
          <w:szCs w:val="21"/>
        </w:rPr>
        <w:t>随着汽车技术的发展，目前乘用车的保险杠系统与GB 11566-2009标准起草时“经典”的保险杠有明显的不同。大部分乘用车保险杠不再是以前的刚性保险杠，取而代之的是保险杠系统：由用于碰撞吸能的刚性部件，及在其外面覆盖的非刚性外表面组成。GB11566－2009现有的技术指标和试验方法滞后于当前新技术的发展要求，这种局面不利于乘用车外部凸出物新技术的采用和检测认证工作的开展，不能满足当前国际上汽车被动安全领域的技术发展要求和我国的国情，因此,非常有必要对现行的GB11566－2009标准进行重新修订，从而使该标准更加适应我国汽车工业发展的需要，也更有利于与国际接轨。</w:t>
      </w:r>
    </w:p>
    <w:p>
      <w:pPr>
        <w:shd w:val="clear" w:color="auto" w:fill="FFFFFF"/>
        <w:spacing w:line="400" w:lineRule="exact"/>
        <w:ind w:firstLine="420"/>
        <w:rPr>
          <w:rFonts w:cs="Arial"/>
          <w:szCs w:val="21"/>
        </w:rPr>
      </w:pPr>
      <w:r>
        <w:rPr>
          <w:rFonts w:hint="eastAsia" w:cs="Arial"/>
          <w:szCs w:val="21"/>
        </w:rPr>
        <w:t>2021年7月26日，国家标准化管理委员会下达 GB1</w:t>
      </w:r>
      <w:r>
        <w:rPr>
          <w:rFonts w:cs="Arial"/>
          <w:szCs w:val="21"/>
        </w:rPr>
        <w:t>1566</w:t>
      </w:r>
      <w:r>
        <w:rPr>
          <w:rFonts w:hint="eastAsia" w:cs="Arial"/>
          <w:szCs w:val="21"/>
        </w:rPr>
        <w:t>《乘用车外部凸出物》强制性国家标准制修订计划【计划号为：2</w:t>
      </w:r>
      <w:r>
        <w:rPr>
          <w:rFonts w:cs="Arial"/>
          <w:szCs w:val="21"/>
        </w:rPr>
        <w:t>20211255-Q-339</w:t>
      </w:r>
      <w:r>
        <w:rPr>
          <w:rFonts w:hint="eastAsia" w:cs="Arial"/>
          <w:szCs w:val="21"/>
        </w:rPr>
        <w:t>】，由襄阳达安汽车检测中心有限公司、中国汽车技术研究中心有限公司等单位负责起草。</w:t>
      </w:r>
    </w:p>
    <w:p>
      <w:pPr>
        <w:shd w:val="clear" w:color="auto" w:fill="FFFFFF"/>
        <w:spacing w:before="156" w:beforeLines="50" w:after="156" w:afterLines="50" w:line="400" w:lineRule="exact"/>
        <w:ind w:firstLine="422"/>
        <w:rPr>
          <w:rFonts w:ascii="黑体" w:hAnsi="黑体" w:eastAsia="黑体" w:cs="宋体"/>
          <w:b/>
          <w:bCs/>
          <w:i/>
          <w:iCs/>
          <w:szCs w:val="21"/>
        </w:rPr>
      </w:pPr>
      <w:r>
        <w:rPr>
          <w:rFonts w:hint="eastAsia" w:ascii="黑体" w:hAnsi="黑体" w:eastAsia="黑体" w:cs="宋体"/>
          <w:b/>
          <w:bCs/>
          <w:szCs w:val="21"/>
        </w:rPr>
        <w:t>2、主要工作过程</w:t>
      </w:r>
    </w:p>
    <w:p>
      <w:pPr>
        <w:shd w:val="clear" w:color="auto" w:fill="FFFFFF"/>
        <w:spacing w:before="156" w:beforeLines="50" w:after="156" w:afterLines="50"/>
        <w:ind w:firstLine="420"/>
        <w:rPr>
          <w:rFonts w:ascii="黑体" w:hAnsi="黑体" w:eastAsia="黑体" w:cs="宋体"/>
          <w:bCs/>
          <w:color w:val="000000" w:themeColor="text1"/>
          <w:szCs w:val="21"/>
          <w14:textFill>
            <w14:solidFill>
              <w14:schemeClr w14:val="tx1"/>
            </w14:solidFill>
          </w14:textFill>
        </w:rPr>
      </w:pPr>
      <w:r>
        <w:rPr>
          <w:rFonts w:hint="eastAsia" w:ascii="黑体" w:hAnsi="黑体" w:eastAsia="黑体" w:cs="宋体"/>
          <w:bCs/>
          <w:color w:val="000000" w:themeColor="text1"/>
          <w:szCs w:val="21"/>
          <w14:textFill>
            <w14:solidFill>
              <w14:schemeClr w14:val="tx1"/>
            </w14:solidFill>
          </w14:textFill>
        </w:rPr>
        <w:t>2.1 GB1</w:t>
      </w:r>
      <w:r>
        <w:rPr>
          <w:rFonts w:ascii="黑体" w:hAnsi="黑体" w:eastAsia="黑体" w:cs="宋体"/>
          <w:bCs/>
          <w:color w:val="000000" w:themeColor="text1"/>
          <w:szCs w:val="21"/>
          <w14:textFill>
            <w14:solidFill>
              <w14:schemeClr w14:val="tx1"/>
            </w14:solidFill>
          </w14:textFill>
        </w:rPr>
        <w:t>1566</w:t>
      </w:r>
      <w:r>
        <w:rPr>
          <w:rFonts w:hint="eastAsia" w:ascii="黑体" w:hAnsi="黑体" w:eastAsia="黑体" w:cs="宋体"/>
          <w:bCs/>
          <w:color w:val="000000" w:themeColor="text1"/>
          <w:szCs w:val="21"/>
          <w14:textFill>
            <w14:solidFill>
              <w14:schemeClr w14:val="tx1"/>
            </w14:solidFill>
          </w14:textFill>
        </w:rPr>
        <w:t>-XXXX《乘用车外部凸出物》预研</w:t>
      </w:r>
      <w:r>
        <w:rPr>
          <w:rFonts w:ascii="黑体" w:hAnsi="黑体" w:eastAsia="黑体" w:cs="宋体"/>
          <w:bCs/>
          <w:color w:val="000000" w:themeColor="text1"/>
          <w:szCs w:val="21"/>
          <w14:textFill>
            <w14:solidFill>
              <w14:schemeClr w14:val="tx1"/>
            </w14:solidFill>
          </w14:textFill>
        </w:rPr>
        <w:t>工作</w:t>
      </w:r>
    </w:p>
    <w:p>
      <w:pPr>
        <w:shd w:val="clear" w:color="auto" w:fill="FFFFFF"/>
        <w:spacing w:line="400" w:lineRule="exact"/>
        <w:ind w:firstLine="420"/>
        <w:rPr>
          <w:rFonts w:cs="Arial"/>
          <w:szCs w:val="21"/>
        </w:rPr>
      </w:pPr>
      <w:r>
        <w:rPr>
          <w:rFonts w:cs="Arial"/>
          <w:szCs w:val="21"/>
        </w:rPr>
        <w:t>2015年起</w:t>
      </w:r>
      <w:r>
        <w:rPr>
          <w:rFonts w:hint="eastAsia" w:cs="Arial"/>
          <w:szCs w:val="21"/>
        </w:rPr>
        <w:t>，</w:t>
      </w:r>
      <w:r>
        <w:rPr>
          <w:rFonts w:cs="Arial"/>
          <w:szCs w:val="21"/>
        </w:rPr>
        <w:t>车身分技术委员会车身分技术委员会</w:t>
      </w:r>
      <w:r>
        <w:rPr>
          <w:rFonts w:hint="eastAsia" w:cs="Arial"/>
          <w:szCs w:val="21"/>
        </w:rPr>
        <w:t>不断收到整车企业和检测机构要求修订GB</w:t>
      </w:r>
      <w:r>
        <w:rPr>
          <w:rFonts w:cs="Arial"/>
          <w:szCs w:val="21"/>
        </w:rPr>
        <w:t xml:space="preserve"> 11566</w:t>
      </w:r>
      <w:r>
        <w:rPr>
          <w:rFonts w:hint="eastAsia" w:cs="Arial"/>
          <w:szCs w:val="21"/>
        </w:rPr>
        <w:t>的呼声和建议，并委托襄阳达安汽车检测中心有限公司等单位成立标准研究工作组，启动了标准的预研工作。预研过程中对联合国法规U</w:t>
      </w:r>
      <w:r>
        <w:rPr>
          <w:rFonts w:cs="Arial"/>
          <w:szCs w:val="21"/>
        </w:rPr>
        <w:t>N R26</w:t>
      </w:r>
      <w:r>
        <w:rPr>
          <w:rFonts w:hint="eastAsia" w:cs="Arial"/>
          <w:szCs w:val="21"/>
        </w:rPr>
        <w:t>《关于外部凸出物方面批准车辆的统一规定》进行分析与比对，并对U</w:t>
      </w:r>
      <w:r>
        <w:rPr>
          <w:rFonts w:cs="Arial"/>
          <w:szCs w:val="21"/>
        </w:rPr>
        <w:t>N R26的主要修订内容进行了充分的调研</w:t>
      </w:r>
      <w:r>
        <w:rPr>
          <w:rFonts w:hint="eastAsia" w:cs="Arial"/>
          <w:szCs w:val="21"/>
        </w:rPr>
        <w:t>，与国内外众多整车企业和检测机构进行了深入的技术交流探讨。</w:t>
      </w:r>
    </w:p>
    <w:p>
      <w:pPr>
        <w:shd w:val="clear" w:color="auto" w:fill="FFFFFF"/>
        <w:spacing w:line="400" w:lineRule="exact"/>
        <w:ind w:firstLine="420"/>
        <w:rPr>
          <w:rFonts w:cs="Arial"/>
          <w:szCs w:val="21"/>
        </w:rPr>
      </w:pPr>
      <w:r>
        <w:rPr>
          <w:rFonts w:hint="eastAsia" w:cs="Arial"/>
          <w:szCs w:val="21"/>
        </w:rPr>
        <w:t>2</w:t>
      </w:r>
      <w:r>
        <w:rPr>
          <w:rFonts w:cs="Arial"/>
          <w:szCs w:val="21"/>
        </w:rPr>
        <w:t>019年初</w:t>
      </w:r>
      <w:r>
        <w:rPr>
          <w:rFonts w:hint="eastAsia" w:cs="Arial"/>
          <w:szCs w:val="21"/>
        </w:rPr>
        <w:t>，标准起草组根据前期标准预研成果，完成了标准草案的编制工作，经与行业主要的整车企业、检测机构及科研院所等充分研讨后达成共识，并提交至车身分技术委员会启动标准立项申报工作。</w:t>
      </w:r>
    </w:p>
    <w:p>
      <w:pPr>
        <w:shd w:val="clear" w:color="auto" w:fill="FFFFFF"/>
        <w:spacing w:line="400" w:lineRule="exact"/>
        <w:ind w:firstLine="420"/>
        <w:rPr>
          <w:rFonts w:cs="Arial"/>
          <w:szCs w:val="21"/>
        </w:rPr>
      </w:pPr>
      <w:r>
        <w:rPr>
          <w:rFonts w:cs="Arial"/>
          <w:szCs w:val="21"/>
        </w:rPr>
        <w:t>2020年</w:t>
      </w:r>
      <w:r>
        <w:rPr>
          <w:rFonts w:hint="eastAsia" w:cs="Arial"/>
          <w:szCs w:val="21"/>
        </w:rPr>
        <w:t>1</w:t>
      </w:r>
      <w:r>
        <w:rPr>
          <w:rFonts w:cs="Arial"/>
          <w:szCs w:val="21"/>
        </w:rPr>
        <w:t>2月</w:t>
      </w:r>
      <w:r>
        <w:rPr>
          <w:rFonts w:hint="eastAsia" w:cs="Arial"/>
          <w:szCs w:val="21"/>
        </w:rPr>
        <w:t>，标准起草组完成国家标准化管理委员会组织了立项答辩工作。</w:t>
      </w:r>
    </w:p>
    <w:p>
      <w:pPr>
        <w:pStyle w:val="21"/>
      </w:pPr>
      <w:r>
        <w:rPr>
          <w:rFonts w:hint="eastAsia"/>
        </w:rPr>
        <w:t>2021年7月26日，国家标准化管理委员会发布了“关于下达《铸造机械安全要求》等17项强制性国家标准制修订计划的通知”，将G</w:t>
      </w:r>
      <w:r>
        <w:t>B 11566</w:t>
      </w:r>
      <w:r>
        <w:rPr>
          <w:rFonts w:hint="eastAsia"/>
        </w:rPr>
        <w:t>《乘用车外部凸出物》正式列入强制性国家标准的制修订计划，计划号为：2021125</w:t>
      </w:r>
      <w:r>
        <w:t>5</w:t>
      </w:r>
      <w:r>
        <w:rPr>
          <w:rFonts w:hint="eastAsia"/>
        </w:rPr>
        <w:t xml:space="preserve"> Q 339。</w:t>
      </w:r>
    </w:p>
    <w:p>
      <w:pPr>
        <w:pStyle w:val="21"/>
      </w:pPr>
      <w:r>
        <w:rPr>
          <w:rFonts w:hint="eastAsia"/>
        </w:rPr>
        <w:t>2021年</w:t>
      </w:r>
      <w:r>
        <w:t>11</w:t>
      </w:r>
      <w:r>
        <w:rPr>
          <w:rFonts w:hint="eastAsia"/>
        </w:rPr>
        <w:t>月，车身分标委秘书处（TC114/SC18) 完成了《乘用车外部凸出物》标准修订工作组的筹建工作。</w:t>
      </w:r>
    </w:p>
    <w:p>
      <w:pPr>
        <w:shd w:val="clear" w:color="auto" w:fill="FFFFFF"/>
        <w:spacing w:before="156" w:beforeLines="50" w:after="156" w:afterLines="50"/>
        <w:ind w:firstLine="420"/>
        <w:rPr>
          <w:rFonts w:ascii="黑体" w:hAnsi="黑体" w:eastAsia="黑体" w:cs="宋体"/>
          <w:bCs/>
          <w:color w:val="000000" w:themeColor="text1"/>
          <w:szCs w:val="21"/>
          <w14:textFill>
            <w14:solidFill>
              <w14:schemeClr w14:val="tx1"/>
            </w14:solidFill>
          </w14:textFill>
        </w:rPr>
      </w:pPr>
      <w:r>
        <w:rPr>
          <w:rFonts w:hint="eastAsia" w:ascii="黑体" w:hAnsi="黑体" w:eastAsia="黑体" w:cs="宋体"/>
          <w:bCs/>
          <w:color w:val="000000" w:themeColor="text1"/>
          <w:szCs w:val="21"/>
          <w14:textFill>
            <w14:solidFill>
              <w14:schemeClr w14:val="tx1"/>
            </w14:solidFill>
          </w14:textFill>
        </w:rPr>
        <w:t>2.</w:t>
      </w:r>
      <w:r>
        <w:rPr>
          <w:rFonts w:ascii="黑体" w:hAnsi="黑体" w:eastAsia="黑体" w:cs="宋体"/>
          <w:bCs/>
          <w:color w:val="000000" w:themeColor="text1"/>
          <w:szCs w:val="21"/>
          <w14:textFill>
            <w14:solidFill>
              <w14:schemeClr w14:val="tx1"/>
            </w14:solidFill>
          </w14:textFill>
        </w:rPr>
        <w:t>2</w:t>
      </w:r>
      <w:r>
        <w:rPr>
          <w:rFonts w:hint="eastAsia" w:ascii="黑体" w:hAnsi="黑体" w:eastAsia="黑体" w:cs="宋体"/>
          <w:bCs/>
          <w:color w:val="000000" w:themeColor="text1"/>
          <w:szCs w:val="21"/>
          <w14:textFill>
            <w14:solidFill>
              <w14:schemeClr w14:val="tx1"/>
            </w14:solidFill>
          </w14:textFill>
        </w:rPr>
        <w:t xml:space="preserve"> 第一次</w:t>
      </w:r>
      <w:r>
        <w:rPr>
          <w:rFonts w:ascii="黑体" w:hAnsi="黑体" w:eastAsia="黑体" w:cs="宋体"/>
          <w:bCs/>
          <w:color w:val="000000" w:themeColor="text1"/>
          <w:szCs w:val="21"/>
          <w14:textFill>
            <w14:solidFill>
              <w14:schemeClr w14:val="tx1"/>
            </w14:solidFill>
          </w14:textFill>
        </w:rPr>
        <w:t>工作组会议</w:t>
      </w:r>
    </w:p>
    <w:p>
      <w:pPr>
        <w:pStyle w:val="21"/>
      </w:pPr>
      <w:r>
        <w:rPr>
          <w:rFonts w:hint="eastAsia"/>
        </w:rPr>
        <w:t>2</w:t>
      </w:r>
      <w:r>
        <w:t>022</w:t>
      </w:r>
      <w:r>
        <w:rPr>
          <w:rFonts w:hint="eastAsia"/>
        </w:rPr>
        <w:t>年</w:t>
      </w:r>
      <w:r>
        <w:t>3</w:t>
      </w:r>
      <w:r>
        <w:rPr>
          <w:rFonts w:hint="eastAsia"/>
        </w:rPr>
        <w:t>月</w:t>
      </w:r>
      <w:r>
        <w:t>1</w:t>
      </w:r>
      <w:r>
        <w:rPr>
          <w:rFonts w:hint="eastAsia"/>
        </w:rPr>
        <w:t>日，由全国汽车标准化技术委员会车身分技术委员会主办，襄阳达安汽车检测中心有限公司承办的GB1</w:t>
      </w:r>
      <w:r>
        <w:t>1566</w:t>
      </w:r>
      <w:r>
        <w:rPr>
          <w:rFonts w:hint="eastAsia"/>
        </w:rPr>
        <w:t>《乘用车外部凸出物》标准制修订研讨会以视频会议形式召开。研讨会上，与会人员</w:t>
      </w:r>
      <w:r>
        <w:rPr>
          <w:rFonts w:hint="eastAsia"/>
          <w:color w:val="000000" w:themeColor="text1"/>
          <w14:textFill>
            <w14:solidFill>
              <w14:schemeClr w14:val="tx1"/>
            </w14:solidFill>
          </w14:textFill>
        </w:rPr>
        <w:t>对襄阳达安汽车检测中心有限公司GB11566标准工作组编制的标准草案进行了研讨，针对保险杠、保险杆覆盖件等新增内容</w:t>
      </w:r>
      <w:r>
        <w:rPr>
          <w:rFonts w:hint="eastAsia"/>
        </w:rPr>
        <w:t>及发动机罩后边缘范围、风窗刮水器技术要求、凸出物豁免高度等本次修订有变化的条款展开了热烈的讨论。会议要求对GB11566-2009版条款有异议的单位，提出具体的修改意见或建议，对隐藏式门把手等新技术与本标准要求的合规性进行研究，并根据会议要求和成员各单位的反馈意见完善标准文本。</w:t>
      </w:r>
    </w:p>
    <w:p>
      <w:pPr>
        <w:pStyle w:val="21"/>
      </w:pPr>
      <w:r>
        <w:t>会议达成以下共识：</w:t>
      </w:r>
    </w:p>
    <w:tbl>
      <w:tblPr>
        <w:tblStyle w:val="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3260"/>
        <w:gridCol w:w="850"/>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vMerge w:val="restart"/>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序号</w:t>
            </w:r>
          </w:p>
        </w:tc>
        <w:tc>
          <w:tcPr>
            <w:tcW w:w="4111" w:type="dxa"/>
            <w:gridSpan w:val="2"/>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GB11566-2009</w:t>
            </w:r>
          </w:p>
        </w:tc>
        <w:tc>
          <w:tcPr>
            <w:tcW w:w="4701" w:type="dxa"/>
            <w:gridSpan w:val="2"/>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GB11566-20XX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vMerge w:val="continue"/>
            <w:shd w:val="clear" w:color="auto" w:fill="auto"/>
            <w:vAlign w:val="center"/>
          </w:tcPr>
          <w:p>
            <w:pPr>
              <w:adjustRightInd w:val="0"/>
              <w:spacing w:line="240" w:lineRule="auto"/>
              <w:ind w:firstLine="0" w:firstLineChars="0"/>
              <w:jc w:val="center"/>
              <w:rPr>
                <w:rFonts w:ascii="宋体" w:hAnsi="宋体" w:cs="宋体"/>
                <w:spacing w:val="20"/>
                <w:sz w:val="16"/>
                <w:szCs w:val="18"/>
              </w:rPr>
            </w:pP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章条号</w:t>
            </w:r>
          </w:p>
        </w:tc>
        <w:tc>
          <w:tcPr>
            <w:tcW w:w="326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内容</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章条号</w:t>
            </w:r>
          </w:p>
        </w:tc>
        <w:tc>
          <w:tcPr>
            <w:tcW w:w="3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1</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1</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本标准对停止及行驶时的车辆都适用，但不适用于外后视镜，也不适用于牵引装置。</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1</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本标准对停止及行驶时的车辆都适用，但不适用于外部间接视野装置，也不适用于牵引装置。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2</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3</w:t>
            </w:r>
            <w:r>
              <w:rPr>
                <w:rFonts w:ascii="宋体" w:hAnsi="宋体" w:cs="宋体"/>
                <w:spacing w:val="20"/>
                <w:sz w:val="16"/>
                <w:szCs w:val="18"/>
              </w:rPr>
              <w:t>.2</w:t>
            </w:r>
          </w:p>
        </w:tc>
        <w:tc>
          <w:tcPr>
            <w:tcW w:w="3260" w:type="dxa"/>
            <w:shd w:val="clear" w:color="auto" w:fill="auto"/>
            <w:vAlign w:val="center"/>
          </w:tcPr>
          <w:p>
            <w:pPr>
              <w:adjustRightInd w:val="0"/>
              <w:spacing w:line="240" w:lineRule="auto"/>
              <w:ind w:firstLine="0" w:firstLineChars="0"/>
              <w:jc w:val="left"/>
              <w:rPr>
                <w:rFonts w:ascii="宋体" w:hAnsi="宋体" w:cs="宋体"/>
                <w:color w:val="000000" w:themeColor="text1"/>
                <w:spacing w:val="20"/>
                <w:sz w:val="16"/>
                <w:szCs w:val="18"/>
                <w14:textFill>
                  <w14:solidFill>
                    <w14:schemeClr w14:val="tx1"/>
                  </w14:solidFill>
                </w14:textFill>
              </w:rPr>
            </w:pPr>
            <w:r>
              <w:rPr>
                <w:rFonts w:hint="eastAsia" w:ascii="宋体" w:hAnsi="宋体" w:cs="宋体"/>
                <w:color w:val="000000" w:themeColor="text1"/>
                <w:spacing w:val="20"/>
                <w:sz w:val="16"/>
                <w:szCs w:val="18"/>
                <w14:textFill>
                  <w14:solidFill>
                    <w14:schemeClr w14:val="tx1"/>
                  </w14:solidFill>
                </w14:textFill>
              </w:rPr>
              <w:t>车辆覆盖件的可见表面，包括发动机罩、行李箱盖、车门、翼子板、车顶、照明及灯光信号装置和可见的加强筋等。</w:t>
            </w:r>
          </w:p>
        </w:tc>
        <w:tc>
          <w:tcPr>
            <w:tcW w:w="850" w:type="dxa"/>
            <w:shd w:val="clear" w:color="auto" w:fill="auto"/>
            <w:vAlign w:val="center"/>
          </w:tcPr>
          <w:p>
            <w:pPr>
              <w:adjustRightInd w:val="0"/>
              <w:spacing w:line="240" w:lineRule="auto"/>
              <w:ind w:firstLine="0" w:firstLineChars="0"/>
              <w:jc w:val="center"/>
              <w:rPr>
                <w:rFonts w:ascii="宋体" w:hAnsi="宋体" w:cs="宋体"/>
                <w:color w:val="000000" w:themeColor="text1"/>
                <w:spacing w:val="20"/>
                <w:sz w:val="16"/>
                <w:szCs w:val="18"/>
                <w14:textFill>
                  <w14:solidFill>
                    <w14:schemeClr w14:val="tx1"/>
                  </w14:solidFill>
                </w14:textFill>
              </w:rPr>
            </w:pPr>
            <w:r>
              <w:rPr>
                <w:rFonts w:hint="eastAsia" w:ascii="宋体" w:hAnsi="宋体" w:cs="宋体"/>
                <w:color w:val="000000" w:themeColor="text1"/>
                <w:spacing w:val="20"/>
                <w:sz w:val="16"/>
                <w:szCs w:val="18"/>
                <w14:textFill>
                  <w14:solidFill>
                    <w14:schemeClr w14:val="tx1"/>
                  </w14:solidFill>
                </w14:textFill>
              </w:rPr>
              <w:t>3</w:t>
            </w:r>
            <w:r>
              <w:rPr>
                <w:rFonts w:ascii="宋体" w:hAnsi="宋体" w:cs="宋体"/>
                <w:color w:val="000000" w:themeColor="text1"/>
                <w:spacing w:val="20"/>
                <w:sz w:val="16"/>
                <w:szCs w:val="18"/>
                <w14:textFill>
                  <w14:solidFill>
                    <w14:schemeClr w14:val="tx1"/>
                  </w14:solidFill>
                </w14:textFill>
              </w:rPr>
              <w:t>.2</w:t>
            </w:r>
          </w:p>
        </w:tc>
        <w:tc>
          <w:tcPr>
            <w:tcW w:w="3851" w:type="dxa"/>
            <w:shd w:val="clear" w:color="auto" w:fill="auto"/>
            <w:vAlign w:val="center"/>
          </w:tcPr>
          <w:p>
            <w:pPr>
              <w:adjustRightInd w:val="0"/>
              <w:spacing w:line="240" w:lineRule="auto"/>
              <w:ind w:firstLine="0" w:firstLineChars="0"/>
              <w:jc w:val="left"/>
              <w:rPr>
                <w:rFonts w:ascii="宋体" w:hAnsi="宋体" w:cs="宋体"/>
                <w:color w:val="000000" w:themeColor="text1"/>
                <w:spacing w:val="20"/>
                <w:sz w:val="16"/>
                <w:szCs w:val="18"/>
                <w14:textFill>
                  <w14:solidFill>
                    <w14:schemeClr w14:val="tx1"/>
                  </w14:solidFill>
                </w14:textFill>
              </w:rPr>
            </w:pPr>
            <w:r>
              <w:rPr>
                <w:rFonts w:hint="eastAsia" w:ascii="宋体" w:hAnsi="宋体" w:cs="宋体"/>
                <w:color w:val="000000" w:themeColor="text1"/>
                <w:spacing w:val="20"/>
                <w:sz w:val="16"/>
                <w:szCs w:val="18"/>
                <w14:textFill>
                  <w14:solidFill>
                    <w14:schemeClr w14:val="tx1"/>
                  </w14:solidFill>
                </w14:textFill>
              </w:rPr>
              <w:t>车辆的可见表面，包括发动机罩、行李箱盖、车门、翼子板、车顶、照明及灯光信号装置和可见的加强组件等。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3</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3</w:t>
            </w:r>
            <w:r>
              <w:rPr>
                <w:rFonts w:ascii="宋体" w:hAnsi="宋体" w:cs="宋体"/>
                <w:spacing w:val="20"/>
                <w:sz w:val="16"/>
                <w:szCs w:val="18"/>
              </w:rPr>
              <w:t>.3</w:t>
            </w:r>
          </w:p>
        </w:tc>
        <w:tc>
          <w:tcPr>
            <w:tcW w:w="3260" w:type="dxa"/>
            <w:shd w:val="clear" w:color="auto" w:fill="auto"/>
            <w:vAlign w:val="center"/>
          </w:tcPr>
          <w:p>
            <w:pPr>
              <w:adjustRightInd w:val="0"/>
              <w:spacing w:line="240" w:lineRule="auto"/>
              <w:ind w:firstLine="0" w:firstLineChars="0"/>
              <w:jc w:val="left"/>
              <w:rPr>
                <w:rFonts w:ascii="宋体" w:hAnsi="宋体" w:cs="宋体"/>
                <w:color w:val="000000" w:themeColor="text1"/>
                <w:spacing w:val="20"/>
                <w:sz w:val="16"/>
                <w:szCs w:val="18"/>
                <w14:textFill>
                  <w14:solidFill>
                    <w14:schemeClr w14:val="tx1"/>
                  </w14:solidFill>
                </w14:textFill>
              </w:rPr>
            </w:pPr>
            <w:r>
              <w:rPr>
                <w:rFonts w:hint="eastAsia" w:ascii="宋体" w:hAnsi="宋体" w:cs="宋体"/>
                <w:color w:val="000000" w:themeColor="text1"/>
                <w:spacing w:val="20"/>
                <w:sz w:val="16"/>
                <w:szCs w:val="18"/>
                <w14:textFill>
                  <w14:solidFill>
                    <w14:schemeClr w14:val="tx1"/>
                  </w14:solidFill>
                </w14:textFill>
              </w:rPr>
              <w:t>取一个半角为30°的圆锥体（自行确定锥高，以操作方便为原则，锥顶向上，锥轴与水平面垂直），使其沿一满载车辆的车身外表面可接触的最低位置连续接触，这些接触点的几何轨迹即是底线。</w:t>
            </w:r>
          </w:p>
        </w:tc>
        <w:tc>
          <w:tcPr>
            <w:tcW w:w="850" w:type="dxa"/>
            <w:shd w:val="clear" w:color="auto" w:fill="auto"/>
            <w:vAlign w:val="center"/>
          </w:tcPr>
          <w:p>
            <w:pPr>
              <w:adjustRightInd w:val="0"/>
              <w:spacing w:line="240" w:lineRule="auto"/>
              <w:ind w:firstLine="0" w:firstLineChars="0"/>
              <w:jc w:val="center"/>
              <w:rPr>
                <w:rFonts w:ascii="宋体" w:hAnsi="宋体" w:cs="宋体"/>
                <w:color w:val="000000" w:themeColor="text1"/>
                <w:spacing w:val="20"/>
                <w:sz w:val="16"/>
                <w:szCs w:val="18"/>
                <w14:textFill>
                  <w14:solidFill>
                    <w14:schemeClr w14:val="tx1"/>
                  </w14:solidFill>
                </w14:textFill>
              </w:rPr>
            </w:pPr>
            <w:r>
              <w:rPr>
                <w:rFonts w:hint="eastAsia" w:ascii="宋体" w:hAnsi="宋体" w:cs="宋体"/>
                <w:color w:val="000000" w:themeColor="text1"/>
                <w:spacing w:val="20"/>
                <w:sz w:val="16"/>
                <w:szCs w:val="18"/>
                <w14:textFill>
                  <w14:solidFill>
                    <w14:schemeClr w14:val="tx1"/>
                  </w14:solidFill>
                </w14:textFill>
              </w:rPr>
              <w:t>3</w:t>
            </w:r>
            <w:r>
              <w:rPr>
                <w:rFonts w:ascii="宋体" w:hAnsi="宋体" w:cs="宋体"/>
                <w:color w:val="000000" w:themeColor="text1"/>
                <w:spacing w:val="20"/>
                <w:sz w:val="16"/>
                <w:szCs w:val="18"/>
                <w14:textFill>
                  <w14:solidFill>
                    <w14:schemeClr w14:val="tx1"/>
                  </w14:solidFill>
                </w14:textFill>
              </w:rPr>
              <w:t>.3</w:t>
            </w:r>
          </w:p>
        </w:tc>
        <w:tc>
          <w:tcPr>
            <w:tcW w:w="3851" w:type="dxa"/>
            <w:shd w:val="clear" w:color="auto" w:fill="auto"/>
            <w:vAlign w:val="center"/>
          </w:tcPr>
          <w:p>
            <w:pPr>
              <w:adjustRightInd w:val="0"/>
              <w:spacing w:line="240" w:lineRule="auto"/>
              <w:ind w:firstLine="0" w:firstLineChars="0"/>
              <w:jc w:val="left"/>
              <w:rPr>
                <w:rFonts w:ascii="宋体" w:hAnsi="宋体" w:cs="宋体"/>
                <w:color w:val="000000" w:themeColor="text1"/>
                <w:spacing w:val="20"/>
                <w:sz w:val="16"/>
                <w:szCs w:val="18"/>
                <w14:textFill>
                  <w14:solidFill>
                    <w14:schemeClr w14:val="tx1"/>
                  </w14:solidFill>
                </w14:textFill>
              </w:rPr>
            </w:pPr>
            <w:r>
              <w:rPr>
                <w:rFonts w:hint="eastAsia" w:ascii="宋体" w:hAnsi="宋体" w:cs="宋体"/>
                <w:color w:val="000000" w:themeColor="text1"/>
                <w:spacing w:val="20"/>
                <w:sz w:val="16"/>
                <w:szCs w:val="18"/>
                <w14:textFill>
                  <w14:solidFill>
                    <w14:schemeClr w14:val="tx1"/>
                  </w14:solidFill>
                </w14:textFill>
              </w:rPr>
              <w:t>取一个半角为30°的圆锥体（自行确定锥高，以操作方便为原则，锥顶向上，锥轴与水平面垂直），使其沿一满载车辆的车辆外表面可接触的最低位置连续接触，这些接触点的几何轨迹即是底线。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4</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3</w:t>
            </w:r>
            <w:r>
              <w:rPr>
                <w:rFonts w:ascii="宋体" w:hAnsi="宋体" w:cs="宋体"/>
                <w:spacing w:val="20"/>
                <w:sz w:val="16"/>
                <w:szCs w:val="18"/>
              </w:rPr>
              <w:t>.6</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——外后视镜；</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3</w:t>
            </w:r>
            <w:r>
              <w:rPr>
                <w:rFonts w:ascii="宋体" w:hAnsi="宋体" w:cs="宋体"/>
                <w:spacing w:val="20"/>
                <w:sz w:val="16"/>
                <w:szCs w:val="18"/>
              </w:rPr>
              <w:t>.6</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——间接视野装置；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ascii="宋体" w:hAnsi="宋体" w:cs="宋体"/>
                <w:spacing w:val="20"/>
                <w:sz w:val="16"/>
                <w:szCs w:val="18"/>
              </w:rPr>
              <w:t>5</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3</w:t>
            </w:r>
            <w:r>
              <w:rPr>
                <w:rFonts w:ascii="宋体" w:hAnsi="宋体" w:cs="宋体"/>
                <w:spacing w:val="20"/>
                <w:sz w:val="16"/>
                <w:szCs w:val="18"/>
              </w:rPr>
              <w:t>.10</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保险杠 bumper</w:t>
            </w:r>
          </w:p>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车辆前部或后部较低的外部构件，包括在车辆发生低速正面碰撞或后部碰撞时保护车辆的所有结构及附件。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ascii="宋体" w:hAnsi="宋体" w:cs="宋体"/>
                <w:spacing w:val="20"/>
                <w:sz w:val="16"/>
                <w:szCs w:val="18"/>
              </w:rPr>
              <w:t>6</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3</w:t>
            </w:r>
            <w:r>
              <w:rPr>
                <w:rFonts w:ascii="宋体" w:hAnsi="宋体" w:cs="宋体"/>
                <w:spacing w:val="20"/>
                <w:sz w:val="16"/>
                <w:szCs w:val="18"/>
              </w:rPr>
              <w:t>.11</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保险杠 bumper</w:t>
            </w:r>
          </w:p>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保险杠非刚性外表面，通常延伸至车辆前部或后部整个宽度。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7</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4</w:t>
            </w:r>
            <w:r>
              <w:rPr>
                <w:rFonts w:ascii="宋体" w:hAnsi="宋体" w:cs="宋体"/>
                <w:spacing w:val="20"/>
                <w:sz w:val="16"/>
                <w:szCs w:val="18"/>
              </w:rPr>
              <w:t>.1</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——高于地面</w:t>
            </w:r>
            <w:r>
              <w:rPr>
                <w:rFonts w:ascii="宋体" w:hAnsi="宋体" w:cs="宋体"/>
                <w:spacing w:val="20"/>
                <w:sz w:val="16"/>
                <w:szCs w:val="18"/>
              </w:rPr>
              <w:t>1.8</w:t>
            </w:r>
            <w:r>
              <w:rPr>
                <w:rFonts w:hint="eastAsia" w:ascii="宋体" w:hAnsi="宋体" w:cs="宋体"/>
                <w:spacing w:val="20"/>
                <w:sz w:val="16"/>
                <w:szCs w:val="18"/>
              </w:rPr>
              <w:t>m的零部件；</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4</w:t>
            </w:r>
            <w:r>
              <w:rPr>
                <w:rFonts w:ascii="宋体" w:hAnsi="宋体" w:cs="宋体"/>
                <w:spacing w:val="20"/>
                <w:sz w:val="16"/>
                <w:szCs w:val="18"/>
              </w:rPr>
              <w:t>.1</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ascii="宋体" w:hAnsi="宋体"/>
                <w:spacing w:val="20"/>
                <w:sz w:val="16"/>
                <w:szCs w:val="18"/>
              </w:rPr>
              <w:t>——</w:t>
            </w:r>
            <w:r>
              <w:rPr>
                <w:rFonts w:hint="eastAsia" w:ascii="宋体" w:hAnsi="宋体" w:cs="宋体"/>
                <w:spacing w:val="20"/>
                <w:sz w:val="16"/>
                <w:szCs w:val="18"/>
              </w:rPr>
              <w:t>高于地面2m的零部件；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ascii="宋体" w:hAnsi="宋体" w:cs="宋体"/>
                <w:spacing w:val="20"/>
                <w:sz w:val="16"/>
                <w:szCs w:val="18"/>
              </w:rPr>
              <w:t>8</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5</w:t>
            </w:r>
            <w:r>
              <w:rPr>
                <w:rFonts w:ascii="宋体" w:hAnsi="宋体" w:cs="宋体"/>
                <w:spacing w:val="20"/>
                <w:sz w:val="16"/>
                <w:szCs w:val="18"/>
              </w:rPr>
              <w:t>.4.1</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风窗刮水器的转轴应带有保护罩，其圆角半径满足4.4的规定，其端部面积不应小于150 mm</w:t>
            </w:r>
            <w:r>
              <w:rPr>
                <w:rFonts w:hint="eastAsia" w:ascii="宋体" w:hAnsi="宋体" w:cs="宋体"/>
                <w:spacing w:val="20"/>
                <w:sz w:val="16"/>
                <w:szCs w:val="18"/>
                <w:vertAlign w:val="superscript"/>
              </w:rPr>
              <w:t>2</w:t>
            </w:r>
            <w:r>
              <w:rPr>
                <w:rFonts w:hint="eastAsia" w:ascii="宋体" w:hAnsi="宋体" w:cs="宋体"/>
                <w:spacing w:val="20"/>
                <w:sz w:val="16"/>
                <w:szCs w:val="18"/>
              </w:rPr>
              <w:t>。如是圆形盖，在离最高凸出点不大于6.5mm处测量时，应有150 mm</w:t>
            </w:r>
            <w:r>
              <w:rPr>
                <w:rFonts w:hint="eastAsia" w:ascii="宋体" w:hAnsi="宋体" w:cs="宋体"/>
                <w:spacing w:val="20"/>
                <w:sz w:val="16"/>
                <w:szCs w:val="18"/>
                <w:vertAlign w:val="superscript"/>
              </w:rPr>
              <w:t>2</w:t>
            </w:r>
            <w:r>
              <w:rPr>
                <w:rFonts w:hint="eastAsia" w:ascii="宋体" w:hAnsi="宋体" w:cs="宋体"/>
                <w:spacing w:val="20"/>
                <w:sz w:val="16"/>
                <w:szCs w:val="18"/>
              </w:rPr>
              <w:t>的最小投影面积。后窗刮水器和前照灯刮水器也应满足此要求。</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5</w:t>
            </w:r>
            <w:r>
              <w:rPr>
                <w:rFonts w:ascii="宋体" w:hAnsi="宋体" w:cs="宋体"/>
                <w:spacing w:val="20"/>
                <w:sz w:val="16"/>
                <w:szCs w:val="18"/>
              </w:rPr>
              <w:t>.4.1</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风窗刮水器的转轴(见图1中位置1)应带有保护罩(见图1中位置1.1)，其圆角半径应满足4.4的规定，其端部面积不应小于150 mm</w:t>
            </w:r>
            <w:r>
              <w:rPr>
                <w:rFonts w:hint="eastAsia" w:ascii="宋体" w:hAnsi="宋体" w:cs="宋体"/>
                <w:spacing w:val="20"/>
                <w:sz w:val="16"/>
                <w:szCs w:val="18"/>
                <w:vertAlign w:val="superscript"/>
              </w:rPr>
              <w:t>2</w:t>
            </w:r>
            <w:r>
              <w:rPr>
                <w:rFonts w:hint="eastAsia" w:ascii="宋体" w:hAnsi="宋体" w:cs="宋体"/>
                <w:spacing w:val="20"/>
                <w:sz w:val="16"/>
                <w:szCs w:val="18"/>
              </w:rPr>
              <w:t>。支撑件（前部和主要部分，见图1中位置2，2.1）的圆角半径应满足4.4的规定。如是圆形盖，在离最高凸出点不大于6.5mm处测量时，应有150 mm</w:t>
            </w:r>
            <w:r>
              <w:rPr>
                <w:rFonts w:hint="eastAsia" w:ascii="宋体" w:hAnsi="宋体" w:cs="宋体"/>
                <w:spacing w:val="20"/>
                <w:sz w:val="16"/>
                <w:szCs w:val="18"/>
                <w:vertAlign w:val="superscript"/>
              </w:rPr>
              <w:t>2</w:t>
            </w:r>
            <w:r>
              <w:rPr>
                <w:rFonts w:hint="eastAsia" w:ascii="宋体" w:hAnsi="宋体" w:cs="宋体"/>
                <w:spacing w:val="20"/>
                <w:sz w:val="16"/>
                <w:szCs w:val="18"/>
              </w:rPr>
              <w:t>的最小投影面积。后窗刮水器和前照灯刮水器也应满足此要求。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ascii="宋体" w:hAnsi="宋体" w:cs="宋体"/>
                <w:spacing w:val="20"/>
                <w:sz w:val="16"/>
                <w:szCs w:val="18"/>
              </w:rPr>
              <w:t>9</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5</w:t>
            </w:r>
            <w:r>
              <w:rPr>
                <w:rFonts w:ascii="宋体" w:hAnsi="宋体" w:cs="宋体"/>
                <w:spacing w:val="20"/>
                <w:sz w:val="16"/>
                <w:szCs w:val="18"/>
              </w:rPr>
              <w:t>.4.2</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刮水器刮片及其支撑件不受4.4规定的限制，但这些零件上不应有尖角或刃口。</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5</w:t>
            </w:r>
            <w:r>
              <w:rPr>
                <w:rFonts w:ascii="宋体" w:hAnsi="宋体" w:cs="宋体"/>
                <w:spacing w:val="20"/>
                <w:sz w:val="16"/>
                <w:szCs w:val="18"/>
              </w:rPr>
              <w:t>.4.2</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刮水器刮片(见图1中位置4) 不受4.4规定的限制，如果存在刮片支承件(见图1中位置3)、副支撑件(见图1中位置2.2)、支撑件前部与主支撑件间的功能性铰链(见图1中位置5)、主副支撑件接合处(见图1中位置6)，也不受4.4规定的限制。但这些零件上不应有尖角或刃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ascii="宋体" w:hAnsi="宋体" w:cs="宋体"/>
                <w:spacing w:val="20"/>
                <w:sz w:val="16"/>
                <w:szCs w:val="18"/>
              </w:rPr>
              <w:t>10</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5</w:t>
            </w:r>
            <w:r>
              <w:rPr>
                <w:rFonts w:ascii="宋体" w:hAnsi="宋体" w:cs="宋体"/>
                <w:spacing w:val="20"/>
                <w:sz w:val="16"/>
                <w:szCs w:val="18"/>
              </w:rPr>
              <w:t>.4.3</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刮水器处于停放位置应符合5.4.1和5.4.2的规定。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ascii="宋体" w:hAnsi="宋体" w:cs="宋体"/>
                <w:spacing w:val="20"/>
                <w:sz w:val="16"/>
                <w:szCs w:val="18"/>
              </w:rPr>
              <w:t>11</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5</w:t>
            </w:r>
            <w:r>
              <w:rPr>
                <w:rFonts w:ascii="宋体" w:hAnsi="宋体" w:cs="宋体"/>
                <w:spacing w:val="20"/>
                <w:sz w:val="16"/>
                <w:szCs w:val="18"/>
              </w:rPr>
              <w:t>.5.4</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5.5.2的要求不适用于保险杠覆盖件，但保险杠覆盖件仍需满足第4章的规定。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ascii="宋体" w:hAnsi="宋体" w:cs="宋体"/>
                <w:spacing w:val="20"/>
                <w:sz w:val="16"/>
                <w:szCs w:val="18"/>
              </w:rPr>
              <w:t>12</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5</w:t>
            </w:r>
            <w:r>
              <w:rPr>
                <w:rFonts w:ascii="宋体" w:hAnsi="宋体" w:cs="宋体"/>
                <w:spacing w:val="20"/>
                <w:sz w:val="16"/>
                <w:szCs w:val="18"/>
              </w:rPr>
              <w:t>.8</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发动机罩后边缘以及后行李箱盖的前边缘的金属板件，可不满足4.4条的要求。</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5</w:t>
            </w:r>
            <w:r>
              <w:rPr>
                <w:rFonts w:ascii="宋体" w:hAnsi="宋体" w:cs="宋体"/>
                <w:spacing w:val="20"/>
                <w:sz w:val="16"/>
                <w:szCs w:val="18"/>
              </w:rPr>
              <w:t>.8</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发动机罩后边缘以及后行李箱盖的前边缘的金属板件，可不满足4.4条的要求。</w:t>
            </w:r>
          </w:p>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发动机罩后边缘包含左右两侧向外延伸部分（例如挡泥板的上边缘或A柱边缘）。其横向最大延伸可至前挡风玻璃的横向最外侧边缘。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04"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ascii="宋体" w:hAnsi="宋体" w:cs="宋体"/>
                <w:spacing w:val="20"/>
                <w:sz w:val="16"/>
                <w:szCs w:val="18"/>
              </w:rPr>
              <w:t>13</w:t>
            </w:r>
          </w:p>
        </w:tc>
        <w:tc>
          <w:tcPr>
            <w:tcW w:w="851"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5</w:t>
            </w:r>
            <w:r>
              <w:rPr>
                <w:rFonts w:ascii="宋体" w:hAnsi="宋体" w:cs="宋体"/>
                <w:spacing w:val="20"/>
                <w:sz w:val="16"/>
                <w:szCs w:val="18"/>
              </w:rPr>
              <w:t>.17.1</w:t>
            </w:r>
          </w:p>
        </w:tc>
        <w:tc>
          <w:tcPr>
            <w:tcW w:w="3260"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无线电收发天线按制造商规定的任一使用位置安装在车辆上时，如果天线的顶端离地高度小于1</w:t>
            </w:r>
            <w:r>
              <w:rPr>
                <w:rFonts w:ascii="宋体" w:hAnsi="宋体" w:cs="宋体"/>
                <w:spacing w:val="20"/>
                <w:sz w:val="16"/>
                <w:szCs w:val="18"/>
              </w:rPr>
              <w:t>.8</w:t>
            </w:r>
            <w:r>
              <w:rPr>
                <w:rFonts w:hint="eastAsia" w:ascii="宋体" w:hAnsi="宋体" w:cs="宋体"/>
                <w:spacing w:val="20"/>
                <w:sz w:val="16"/>
                <w:szCs w:val="18"/>
              </w:rPr>
              <w:t>m，它应处在汽车最外边缘内100mm的垂直平面围成的区域内。</w:t>
            </w:r>
          </w:p>
        </w:tc>
        <w:tc>
          <w:tcPr>
            <w:tcW w:w="850" w:type="dxa"/>
            <w:shd w:val="clear" w:color="auto" w:fill="auto"/>
            <w:vAlign w:val="center"/>
          </w:tcPr>
          <w:p>
            <w:pPr>
              <w:adjustRightInd w:val="0"/>
              <w:spacing w:line="240" w:lineRule="auto"/>
              <w:ind w:firstLine="0" w:firstLineChars="0"/>
              <w:jc w:val="center"/>
              <w:rPr>
                <w:rFonts w:ascii="宋体" w:hAnsi="宋体" w:cs="宋体"/>
                <w:spacing w:val="20"/>
                <w:sz w:val="16"/>
                <w:szCs w:val="18"/>
              </w:rPr>
            </w:pPr>
            <w:r>
              <w:rPr>
                <w:rFonts w:hint="eastAsia" w:ascii="宋体" w:hAnsi="宋体" w:cs="宋体"/>
                <w:spacing w:val="20"/>
                <w:sz w:val="16"/>
                <w:szCs w:val="18"/>
              </w:rPr>
              <w:t>5</w:t>
            </w:r>
            <w:r>
              <w:rPr>
                <w:rFonts w:ascii="宋体" w:hAnsi="宋体" w:cs="宋体"/>
                <w:spacing w:val="20"/>
                <w:sz w:val="16"/>
                <w:szCs w:val="18"/>
              </w:rPr>
              <w:t>.17.1</w:t>
            </w:r>
          </w:p>
        </w:tc>
        <w:tc>
          <w:tcPr>
            <w:tcW w:w="3851" w:type="dxa"/>
            <w:shd w:val="clear" w:color="auto" w:fill="auto"/>
            <w:vAlign w:val="center"/>
          </w:tcPr>
          <w:p>
            <w:pPr>
              <w:adjustRightInd w:val="0"/>
              <w:spacing w:line="240" w:lineRule="auto"/>
              <w:ind w:firstLine="0" w:firstLineChars="0"/>
              <w:jc w:val="left"/>
              <w:rPr>
                <w:rFonts w:ascii="宋体" w:hAnsi="宋体" w:cs="宋体"/>
                <w:spacing w:val="20"/>
                <w:sz w:val="16"/>
                <w:szCs w:val="18"/>
              </w:rPr>
            </w:pPr>
            <w:r>
              <w:rPr>
                <w:rFonts w:hint="eastAsia" w:ascii="宋体" w:hAnsi="宋体" w:cs="宋体"/>
                <w:spacing w:val="20"/>
                <w:sz w:val="16"/>
                <w:szCs w:val="18"/>
              </w:rPr>
              <w:t>无线电收发天线按制造商规定的任一使用位置安装在车辆上时，如果天线的顶端离地高度小于2m，它应处在汽车最外边缘内100mm的垂直平面围成的区域内。</w:t>
            </w:r>
          </w:p>
        </w:tc>
      </w:tr>
    </w:tbl>
    <w:p>
      <w:pPr>
        <w:shd w:val="clear" w:color="auto" w:fill="FFFFFF"/>
        <w:spacing w:before="156" w:beforeLines="50" w:after="156" w:afterLines="50"/>
        <w:ind w:firstLine="420"/>
        <w:rPr>
          <w:rFonts w:ascii="黑体" w:hAnsi="黑体" w:eastAsia="黑体" w:cs="宋体"/>
          <w:bCs/>
          <w:color w:val="000000" w:themeColor="text1"/>
          <w:szCs w:val="21"/>
          <w14:textFill>
            <w14:solidFill>
              <w14:schemeClr w14:val="tx1"/>
            </w14:solidFill>
          </w14:textFill>
        </w:rPr>
      </w:pPr>
      <w:r>
        <w:rPr>
          <w:rFonts w:hint="eastAsia" w:ascii="黑体" w:hAnsi="黑体" w:eastAsia="黑体" w:cs="宋体"/>
          <w:bCs/>
          <w:color w:val="000000" w:themeColor="text1"/>
          <w:szCs w:val="21"/>
          <w14:textFill>
            <w14:solidFill>
              <w14:schemeClr w14:val="tx1"/>
            </w14:solidFill>
          </w14:textFill>
        </w:rPr>
        <w:t>2.</w:t>
      </w:r>
      <w:r>
        <w:rPr>
          <w:rFonts w:ascii="黑体" w:hAnsi="黑体" w:eastAsia="黑体" w:cs="宋体"/>
          <w:bCs/>
          <w:color w:val="000000" w:themeColor="text1"/>
          <w:szCs w:val="21"/>
          <w14:textFill>
            <w14:solidFill>
              <w14:schemeClr w14:val="tx1"/>
            </w14:solidFill>
          </w14:textFill>
        </w:rPr>
        <w:t>3</w:t>
      </w:r>
      <w:r>
        <w:rPr>
          <w:rFonts w:hint="eastAsia" w:ascii="黑体" w:hAnsi="黑体" w:eastAsia="黑体" w:cs="宋体"/>
          <w:bCs/>
          <w:color w:val="000000" w:themeColor="text1"/>
          <w:szCs w:val="21"/>
          <w14:textFill>
            <w14:solidFill>
              <w14:schemeClr w14:val="tx1"/>
            </w14:solidFill>
          </w14:textFill>
        </w:rPr>
        <w:t xml:space="preserve"> 第二次</w:t>
      </w:r>
      <w:r>
        <w:rPr>
          <w:rFonts w:ascii="黑体" w:hAnsi="黑体" w:eastAsia="黑体" w:cs="宋体"/>
          <w:bCs/>
          <w:color w:val="000000" w:themeColor="text1"/>
          <w:szCs w:val="21"/>
          <w14:textFill>
            <w14:solidFill>
              <w14:schemeClr w14:val="tx1"/>
            </w14:solidFill>
          </w14:textFill>
        </w:rPr>
        <w:t>工作组会议</w:t>
      </w:r>
    </w:p>
    <w:p>
      <w:pPr>
        <w:shd w:val="clear" w:color="auto" w:fill="FFFFFF"/>
        <w:spacing w:before="156" w:beforeLines="50" w:after="156" w:afterLines="50"/>
        <w:ind w:firstLine="420"/>
        <w:rPr>
          <w:sz w:val="23"/>
          <w:szCs w:val="23"/>
        </w:rPr>
      </w:pPr>
      <w:r>
        <w:rPr>
          <w:rFonts w:hint="eastAsia"/>
        </w:rPr>
        <w:t>2</w:t>
      </w:r>
      <w:r>
        <w:t>022</w:t>
      </w:r>
      <w:r>
        <w:rPr>
          <w:rFonts w:hint="eastAsia"/>
        </w:rPr>
        <w:t>年</w:t>
      </w:r>
      <w:r>
        <w:t>5</w:t>
      </w:r>
      <w:r>
        <w:rPr>
          <w:rFonts w:hint="eastAsia"/>
        </w:rPr>
        <w:t>月</w:t>
      </w:r>
      <w:r>
        <w:t>13</w:t>
      </w:r>
      <w:r>
        <w:rPr>
          <w:rFonts w:hint="eastAsia"/>
        </w:rPr>
        <w:t>日，由全国汽车标准化委员会车身分技术委员会主办，襄阳达安汽车检测中心有限公司承办的GB1</w:t>
      </w:r>
      <w:r>
        <w:t>1566</w:t>
      </w:r>
      <w:r>
        <w:rPr>
          <w:rFonts w:hint="eastAsia"/>
        </w:rPr>
        <w:t>-XXXX《乘用车外部凸出物》标准第二次研讨会以视频会议形式召开。研讨会上，与会人员</w:t>
      </w:r>
      <w:r>
        <w:rPr>
          <w:rFonts w:hint="eastAsia"/>
          <w:color w:val="000000" w:themeColor="text1"/>
          <w14:textFill>
            <w14:solidFill>
              <w14:schemeClr w14:val="tx1"/>
            </w14:solidFill>
          </w14:textFill>
        </w:rPr>
        <w:t>襄阳达安汽车检测中心有限公司</w:t>
      </w:r>
      <w:r>
        <w:rPr>
          <w:rFonts w:hint="eastAsia"/>
        </w:rPr>
        <w:t>GB11566标准工作组编制的标准草案（V</w:t>
      </w:r>
      <w:r>
        <w:t>2</w:t>
      </w:r>
      <w:r>
        <w:rPr>
          <w:rFonts w:hint="eastAsia"/>
        </w:rPr>
        <w:t>）的技术内容进行了深入研讨。针对针对隐藏式门把手、电动尾翼等新兴技术在标准中的符合性问题以及本次新增的车辆同一型式认证，实施日期等内容进行了专项研讨</w:t>
      </w:r>
      <w:r>
        <w:rPr>
          <w:rFonts w:hint="eastAsia"/>
          <w:sz w:val="23"/>
          <w:szCs w:val="23"/>
        </w:rPr>
        <w:t>，并就形成标准征求意见稿草案进行达成一致。</w:t>
      </w:r>
    </w:p>
    <w:p>
      <w:pPr>
        <w:shd w:val="clear" w:color="auto" w:fill="FFFFFF"/>
        <w:spacing w:line="400" w:lineRule="exact"/>
        <w:ind w:firstLine="420"/>
        <w:rPr>
          <w:sz w:val="23"/>
          <w:szCs w:val="23"/>
        </w:rPr>
      </w:pPr>
      <w:r>
        <w:rPr>
          <w:rFonts w:hint="eastAsia" w:cs="Arial"/>
          <w:color w:val="000000" w:themeColor="text1"/>
          <w:szCs w:val="21"/>
          <w14:textFill>
            <w14:solidFill>
              <w14:schemeClr w14:val="tx1"/>
            </w14:solidFill>
          </w14:textFill>
        </w:rPr>
        <w:t>会后，标准起草组按照会议要求研讨意见修改完善标准文本及编制说明，形成征求意见稿。</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r>
        <w:rPr>
          <w:rFonts w:hint="eastAsia" w:ascii="黑体" w:hAnsi="黑体" w:eastAsia="黑体" w:cs="宋体"/>
          <w:bCs/>
          <w:color w:val="000000"/>
          <w:kern w:val="0"/>
          <w:sz w:val="24"/>
        </w:rPr>
        <w:t>编制原则、强制性国家标准主要技术要求的依据及理由</w:t>
      </w:r>
      <w:bookmarkEnd w:id="20"/>
    </w:p>
    <w:p>
      <w:pPr>
        <w:shd w:val="clear" w:color="auto" w:fill="FFFFFF"/>
        <w:spacing w:before="156" w:beforeLines="50" w:after="156" w:afterLines="50" w:line="400" w:lineRule="exact"/>
        <w:ind w:firstLine="422"/>
        <w:rPr>
          <w:rFonts w:ascii="黑体" w:hAnsi="黑体" w:eastAsia="黑体" w:cs="宋体"/>
          <w:b/>
          <w:bCs/>
          <w:szCs w:val="21"/>
        </w:rPr>
      </w:pPr>
      <w:r>
        <w:rPr>
          <w:rFonts w:hint="eastAsia" w:ascii="黑体" w:hAnsi="黑体" w:eastAsia="黑体" w:cs="宋体"/>
          <w:b/>
          <w:bCs/>
          <w:szCs w:val="21"/>
        </w:rPr>
        <w:t>1、编制原则</w:t>
      </w:r>
    </w:p>
    <w:p>
      <w:pPr>
        <w:spacing w:line="400" w:lineRule="exact"/>
        <w:ind w:firstLine="420"/>
      </w:pPr>
      <w:bookmarkStart w:id="21" w:name="_Hlk87003558"/>
      <w:r>
        <w:rPr>
          <w:rFonts w:hint="eastAsia"/>
        </w:rPr>
        <w:t>本文件参考了UN R26法规（04系列，2020版）《关于就外部凸出物方面车辆认证的统一规定》（英文版）。</w:t>
      </w:r>
    </w:p>
    <w:bookmarkEnd w:id="21"/>
    <w:p>
      <w:pPr>
        <w:spacing w:line="400" w:lineRule="exact"/>
        <w:ind w:firstLine="420"/>
      </w:pPr>
      <w:r>
        <w:rPr>
          <w:rFonts w:hint="eastAsia"/>
        </w:rPr>
        <w:t>文件的结构和编写要求符合GB/T 1.1-20</w:t>
      </w:r>
      <w:r>
        <w:t>20</w:t>
      </w:r>
      <w:r>
        <w:rPr>
          <w:rFonts w:hint="eastAsia"/>
        </w:rPr>
        <w:t>《标准化工作导则 第1部分：标准的结构和编写》。</w:t>
      </w:r>
    </w:p>
    <w:p>
      <w:pPr>
        <w:spacing w:line="400" w:lineRule="exact"/>
        <w:ind w:firstLine="420"/>
      </w:pPr>
      <w:r>
        <w:rPr>
          <w:rFonts w:hint="eastAsia"/>
        </w:rPr>
        <w:t>文件制定过程中充分听取了相关的车辆制造企业、检测机构、科研单位以及管理部门的意见,并对文件新增的技术内容进行了大量的试验验证，保证文件技术要求的先进性和合理性。</w:t>
      </w:r>
    </w:p>
    <w:p>
      <w:pPr>
        <w:shd w:val="clear" w:color="auto" w:fill="FFFFFF"/>
        <w:spacing w:before="156" w:beforeLines="50" w:after="156" w:afterLines="50" w:line="400" w:lineRule="exact"/>
        <w:ind w:firstLine="422"/>
        <w:rPr>
          <w:highlight w:val="green"/>
        </w:rPr>
      </w:pPr>
      <w:r>
        <w:rPr>
          <w:rFonts w:hint="eastAsia" w:ascii="黑体" w:hAnsi="黑体" w:eastAsia="黑体" w:cs="宋体"/>
          <w:b/>
          <w:bCs/>
          <w:szCs w:val="21"/>
        </w:rPr>
        <w:t>2、本次修订与GB11566</w:t>
      </w:r>
      <w:r>
        <w:rPr>
          <w:rFonts w:ascii="黑体" w:hAnsi="黑体" w:eastAsia="黑体" w:cs="宋体"/>
          <w:b/>
          <w:bCs/>
          <w:szCs w:val="21"/>
        </w:rPr>
        <w:t>-2009</w:t>
      </w:r>
      <w:r>
        <w:rPr>
          <w:rFonts w:hint="eastAsia" w:ascii="黑体" w:hAnsi="黑体" w:eastAsia="黑体" w:cs="宋体"/>
          <w:b/>
          <w:bCs/>
          <w:szCs w:val="21"/>
        </w:rPr>
        <w:t>的差异</w:t>
      </w:r>
    </w:p>
    <w:p>
      <w:pPr>
        <w:ind w:firstLine="396" w:firstLineChars="189"/>
        <w:rPr>
          <w:rFonts w:cs="方正仿宋简体" w:asciiTheme="minorEastAsia" w:hAnsiTheme="minorEastAsia"/>
        </w:rPr>
      </w:pPr>
      <w:r>
        <w:rPr>
          <w:rFonts w:hint="eastAsia" w:cs="方正仿宋简体" w:asciiTheme="minorEastAsia" w:hAnsiTheme="minorEastAsia"/>
          <w:szCs w:val="21"/>
        </w:rPr>
        <w:t>（1）增加保险杠定义</w:t>
      </w:r>
    </w:p>
    <w:p>
      <w:pPr>
        <w:ind w:firstLine="420"/>
        <w:rPr>
          <w:rFonts w:ascii="宋体" w:hAnsi="宋体"/>
        </w:rPr>
      </w:pPr>
      <w:r>
        <w:rPr>
          <w:rFonts w:hint="eastAsia" w:ascii="宋体" w:hAnsi="宋体"/>
        </w:rPr>
        <w:t xml:space="preserve">保险杠 </w:t>
      </w:r>
      <w:r>
        <w:t>bumper</w:t>
      </w:r>
    </w:p>
    <w:p>
      <w:pPr>
        <w:ind w:firstLine="420"/>
        <w:rPr>
          <w:rFonts w:ascii="宋体" w:hAnsi="宋体"/>
        </w:rPr>
      </w:pPr>
      <w:r>
        <w:rPr>
          <w:rFonts w:hint="eastAsia" w:ascii="宋体" w:hAnsi="宋体"/>
        </w:rPr>
        <w:t>车辆前部或后部较低的外部构件，包括在车辆发生低速正面碰撞或后部碰撞时保护车辆的所有结构及附件。</w:t>
      </w:r>
    </w:p>
    <w:p>
      <w:pPr>
        <w:autoSpaceDE w:val="0"/>
        <w:autoSpaceDN w:val="0"/>
        <w:adjustRightInd w:val="0"/>
        <w:ind w:firstLine="420"/>
        <w:jc w:val="left"/>
        <w:rPr>
          <w:rFonts w:ascii="黑体" w:eastAsia="黑体"/>
          <w:color w:val="FF0000"/>
          <w:lang w:val="fr-FR"/>
        </w:rPr>
      </w:pPr>
      <w:r>
        <w:rPr>
          <w:rFonts w:hint="eastAsia" w:ascii="宋体" w:hAnsi="宋体" w:cs="Arial"/>
          <w:szCs w:val="21"/>
        </w:rPr>
        <w:t>注：GB11566-2009及之前的版本中没有保险杠的定义，2013-7-15发布的UN R26 03系列修订本、增补件2（Supplement 2 to the 03 series of amendments）新增了此部分内容。本次修订保持与UN R26的一致，增加此部分内容。</w:t>
      </w:r>
    </w:p>
    <w:p>
      <w:pPr>
        <w:ind w:firstLine="396" w:firstLineChars="189"/>
        <w:rPr>
          <w:rFonts w:cs="方正仿宋简体" w:asciiTheme="minorEastAsia" w:hAnsiTheme="minorEastAsia"/>
          <w:szCs w:val="21"/>
        </w:rPr>
      </w:pPr>
      <w:r>
        <w:rPr>
          <w:rFonts w:hint="eastAsia" w:cs="方正仿宋简体" w:asciiTheme="minorEastAsia" w:hAnsiTheme="minorEastAsia"/>
          <w:szCs w:val="21"/>
        </w:rPr>
        <w:t>（</w:t>
      </w:r>
      <w:r>
        <w:rPr>
          <w:rFonts w:cs="方正仿宋简体" w:asciiTheme="minorEastAsia" w:hAnsiTheme="minorEastAsia"/>
          <w:szCs w:val="21"/>
        </w:rPr>
        <w:t>2</w:t>
      </w:r>
      <w:r>
        <w:rPr>
          <w:rFonts w:hint="eastAsia" w:cs="方正仿宋简体" w:asciiTheme="minorEastAsia" w:hAnsiTheme="minorEastAsia"/>
          <w:szCs w:val="21"/>
        </w:rPr>
        <w:t>）增加保险杠</w:t>
      </w:r>
      <w:r>
        <w:rPr>
          <w:rFonts w:hint="eastAsia" w:asciiTheme="minorEastAsia" w:hAnsiTheme="minorEastAsia"/>
          <w:szCs w:val="21"/>
        </w:rPr>
        <w:t>覆盖件</w:t>
      </w:r>
      <w:r>
        <w:rPr>
          <w:rFonts w:hint="eastAsia" w:cs="方正仿宋简体" w:asciiTheme="minorEastAsia" w:hAnsiTheme="minorEastAsia"/>
          <w:szCs w:val="21"/>
        </w:rPr>
        <w:t>定义</w:t>
      </w:r>
    </w:p>
    <w:p>
      <w:pPr>
        <w:ind w:firstLine="396" w:firstLineChars="189"/>
        <w:rPr>
          <w:rFonts w:cs="方正仿宋简体" w:asciiTheme="minorEastAsia" w:hAnsiTheme="minorEastAsia"/>
        </w:rPr>
      </w:pPr>
      <w:r>
        <w:rPr>
          <w:rFonts w:hint="eastAsia" w:cs="方正仿宋简体" w:asciiTheme="minorEastAsia" w:hAnsiTheme="minorEastAsia"/>
        </w:rPr>
        <w:t>保险杠覆盖件 bumper cover</w:t>
      </w:r>
    </w:p>
    <w:p>
      <w:pPr>
        <w:ind w:firstLine="396" w:firstLineChars="189"/>
        <w:rPr>
          <w:rFonts w:cs="方正仿宋简体" w:asciiTheme="minorEastAsia" w:hAnsiTheme="minorEastAsia"/>
        </w:rPr>
      </w:pPr>
      <w:r>
        <w:rPr>
          <w:rFonts w:hint="eastAsia" w:cs="方正仿宋简体" w:asciiTheme="minorEastAsia" w:hAnsiTheme="minorEastAsia"/>
        </w:rPr>
        <w:tab/>
      </w:r>
      <w:r>
        <w:rPr>
          <w:rFonts w:hint="eastAsia" w:cs="方正仿宋简体" w:asciiTheme="minorEastAsia" w:hAnsiTheme="minorEastAsia"/>
        </w:rPr>
        <w:t>保险杠非刚性外表面，通常延伸至车辆前部或后部整个宽度。</w:t>
      </w:r>
    </w:p>
    <w:p>
      <w:pPr>
        <w:autoSpaceDE w:val="0"/>
        <w:autoSpaceDN w:val="0"/>
        <w:adjustRightInd w:val="0"/>
        <w:ind w:firstLine="420"/>
        <w:jc w:val="left"/>
        <w:rPr>
          <w:rFonts w:ascii="黑体" w:eastAsia="黑体"/>
          <w:color w:val="FF0000"/>
          <w:lang w:val="fr-FR"/>
        </w:rPr>
      </w:pPr>
      <w:r>
        <w:rPr>
          <w:rFonts w:hint="eastAsia" w:ascii="宋体" w:hAnsi="宋体" w:cs="Arial"/>
          <w:szCs w:val="21"/>
        </w:rPr>
        <w:t>注：GB11566-2009及之前的版本中没有保险杠覆盖件的定义，2013-7-15发布的UN R26 03系列修订本、增补件2（Supplement 2 to the 03 series of amendments）新增了此部分内容。本次修订保持与UN R26的一致，增加此部分内容。</w:t>
      </w:r>
    </w:p>
    <w:p>
      <w:pPr>
        <w:autoSpaceDE w:val="0"/>
        <w:autoSpaceDN w:val="0"/>
        <w:adjustRightInd w:val="0"/>
        <w:ind w:firstLine="420"/>
        <w:jc w:val="left"/>
        <w:rPr>
          <w:rFonts w:ascii="宋体" w:hAnsi="宋体" w:cs="Arial"/>
          <w:szCs w:val="21"/>
          <w:lang w:val="fr-FR"/>
        </w:rPr>
      </w:pPr>
      <w:r>
        <w:rPr>
          <w:rFonts w:hint="eastAsia" w:cs="方正仿宋简体" w:asciiTheme="minorEastAsia" w:hAnsiTheme="minorEastAsia"/>
        </w:rPr>
        <w:t>（3）</w:t>
      </w:r>
      <w:r>
        <w:rPr>
          <w:rFonts w:hint="eastAsia" w:ascii="宋体" w:hAnsi="宋体" w:cs="Arial"/>
          <w:szCs w:val="21"/>
          <w:lang w:val="fr-FR"/>
        </w:rPr>
        <w:t>修改保险杠覆盖件的圆角半径要求</w:t>
      </w:r>
    </w:p>
    <w:p>
      <w:pPr>
        <w:tabs>
          <w:tab w:val="left" w:pos="525"/>
        </w:tabs>
        <w:adjustRightInd w:val="0"/>
        <w:ind w:firstLine="409" w:firstLineChars="195"/>
        <w:rPr>
          <w:szCs w:val="21"/>
          <w:lang w:val="fr-FR"/>
        </w:rPr>
      </w:pPr>
      <w:r>
        <w:rPr>
          <w:rFonts w:hint="eastAsia"/>
          <w:szCs w:val="21"/>
        </w:rPr>
        <w:t>5.5.2的要求不适用于保险杠覆盖件。但本文件4的一般要求仍然适用。</w:t>
      </w:r>
    </w:p>
    <w:p>
      <w:pPr>
        <w:autoSpaceDE w:val="0"/>
        <w:autoSpaceDN w:val="0"/>
        <w:adjustRightInd w:val="0"/>
        <w:ind w:firstLine="420"/>
        <w:jc w:val="left"/>
        <w:rPr>
          <w:rFonts w:ascii="黑体" w:eastAsia="黑体"/>
          <w:color w:val="FF0000"/>
          <w:lang w:val="fr-FR"/>
        </w:rPr>
      </w:pPr>
      <w:r>
        <w:rPr>
          <w:rFonts w:hint="eastAsia" w:ascii="宋体" w:hAnsi="宋体" w:cs="Arial"/>
          <w:szCs w:val="21"/>
          <w:lang w:val="fr-FR"/>
        </w:rPr>
        <w:t>GB11566-2009及之前的版本中保险杠覆盖件的圆角半径要求和保险杠一致，2013-7-15发布的UN R26 03系列修订本、增补件2（Supplement 2 to the 03 series of amendments）修改了保险杠覆盖件的圆角半径要求。本次修订保持与UN R26的一致，修改此部分内容。</w:t>
      </w:r>
    </w:p>
    <w:p>
      <w:pPr>
        <w:ind w:firstLine="420"/>
        <w:rPr>
          <w:rFonts w:ascii="宋体" w:hAnsi="宋体" w:cs="Arial"/>
          <w:szCs w:val="21"/>
        </w:rPr>
      </w:pPr>
      <w:r>
        <w:rPr>
          <w:rFonts w:hint="eastAsia" w:ascii="宋体" w:hAnsi="宋体" w:cs="Arial"/>
          <w:szCs w:val="21"/>
        </w:rPr>
        <w:t>（4）条款</w:t>
      </w:r>
      <w:r>
        <w:rPr>
          <w:rFonts w:ascii="宋体" w:hAnsi="宋体" w:cs="Arial"/>
          <w:szCs w:val="21"/>
        </w:rPr>
        <w:t>中将</w:t>
      </w:r>
      <w:r>
        <w:rPr>
          <w:rFonts w:hint="eastAsia" w:ascii="宋体" w:hAnsi="宋体" w:cs="Arial"/>
          <w:szCs w:val="21"/>
        </w:rPr>
        <w:t>检测范围中的高度由“不高于地面1.8m”修改为“不高于地面2m”。</w:t>
      </w:r>
    </w:p>
    <w:p>
      <w:pPr>
        <w:ind w:firstLine="420"/>
        <w:rPr>
          <w:rFonts w:ascii="宋体" w:hAnsi="宋体" w:cs="Arial"/>
          <w:szCs w:val="21"/>
        </w:rPr>
      </w:pPr>
      <w:r>
        <w:rPr>
          <w:rFonts w:hint="eastAsia" w:ascii="宋体" w:hAnsi="宋体" w:cs="Arial"/>
          <w:szCs w:val="21"/>
          <w:lang w:val="fr-FR"/>
        </w:rPr>
        <w:t>GB11566-2009中根据我国人体平均身高因素，将UN R26中</w:t>
      </w:r>
      <w:r>
        <w:rPr>
          <w:rFonts w:hint="eastAsia" w:ascii="宋体" w:hAnsi="宋体" w:cs="Arial"/>
          <w:szCs w:val="21"/>
        </w:rPr>
        <w:t>检测范围中的高度由</w:t>
      </w:r>
      <w:r>
        <w:rPr>
          <w:rFonts w:hint="eastAsia" w:ascii="宋体" w:hAnsi="宋体" w:cs="Arial"/>
          <w:szCs w:val="21"/>
          <w:lang w:val="fr-FR"/>
        </w:rPr>
        <w:t xml:space="preserve"> “不高于地面2m”修改为“不高于地面1.8m”。本次修订保持与UN R26的一致，将“不高于地面1.8m”修改为“不高于地面2m”。</w:t>
      </w:r>
    </w:p>
    <w:p>
      <w:pPr>
        <w:ind w:firstLine="420"/>
        <w:rPr>
          <w:rFonts w:ascii="宋体" w:hAnsi="宋体" w:cs="Arial"/>
          <w:szCs w:val="21"/>
        </w:rPr>
      </w:pPr>
      <w:r>
        <w:rPr>
          <w:rFonts w:ascii="宋体" w:hAnsi="宋体" w:cs="Arial"/>
          <w:szCs w:val="21"/>
        </w:rPr>
        <w:t>（</w:t>
      </w:r>
      <w:r>
        <w:rPr>
          <w:rFonts w:hint="eastAsia" w:ascii="宋体" w:hAnsi="宋体" w:cs="Arial"/>
          <w:szCs w:val="21"/>
        </w:rPr>
        <w:t>5</w:t>
      </w:r>
      <w:r>
        <w:rPr>
          <w:rFonts w:ascii="宋体" w:hAnsi="宋体" w:cs="Arial"/>
          <w:szCs w:val="21"/>
        </w:rPr>
        <w:t>）</w:t>
      </w:r>
      <w:r>
        <w:rPr>
          <w:rFonts w:hint="eastAsia" w:ascii="宋体" w:hAnsi="宋体" w:cs="Arial"/>
          <w:szCs w:val="21"/>
        </w:rPr>
        <w:t>将“外后视镜”修改为“外部间接视野装置”。</w:t>
      </w:r>
    </w:p>
    <w:p>
      <w:pPr>
        <w:ind w:firstLine="420"/>
        <w:rPr>
          <w:rFonts w:ascii="宋体" w:hAnsi="宋体" w:cs="Arial"/>
          <w:szCs w:val="21"/>
        </w:rPr>
      </w:pPr>
      <w:r>
        <w:rPr>
          <w:rFonts w:hint="eastAsia" w:ascii="宋体" w:hAnsi="宋体" w:cs="Arial"/>
          <w:szCs w:val="21"/>
          <w:lang w:val="fr-FR"/>
        </w:rPr>
        <w:t>GB1</w:t>
      </w:r>
      <w:r>
        <w:rPr>
          <w:rFonts w:ascii="宋体" w:hAnsi="宋体" w:cs="Arial"/>
          <w:szCs w:val="21"/>
          <w:lang w:val="fr-FR"/>
        </w:rPr>
        <w:t>1566-2009</w:t>
      </w:r>
      <w:r>
        <w:rPr>
          <w:rFonts w:hint="eastAsia" w:ascii="宋体" w:hAnsi="宋体" w:cs="Arial"/>
          <w:szCs w:val="21"/>
        </w:rPr>
        <w:t>及之前的版本中采用的是“外后视镜”的称谓，2</w:t>
      </w:r>
      <w:r>
        <w:rPr>
          <w:rFonts w:ascii="宋体" w:hAnsi="宋体" w:cs="Arial"/>
          <w:szCs w:val="21"/>
        </w:rPr>
        <w:t>016-6-18</w:t>
      </w:r>
      <w:r>
        <w:rPr>
          <w:rFonts w:hint="eastAsia" w:ascii="宋体" w:hAnsi="宋体" w:cs="Arial"/>
          <w:szCs w:val="21"/>
        </w:rPr>
        <w:t>发布的</w:t>
      </w:r>
      <w:r>
        <w:rPr>
          <w:rFonts w:hint="eastAsia" w:ascii="宋体" w:hAnsi="宋体" w:cs="Arial"/>
          <w:szCs w:val="21"/>
          <w:lang w:val="fr-FR"/>
        </w:rPr>
        <w:t>UN R</w:t>
      </w:r>
      <w:r>
        <w:rPr>
          <w:rFonts w:ascii="宋体" w:hAnsi="宋体" w:cs="Arial"/>
          <w:szCs w:val="21"/>
          <w:lang w:val="fr-FR"/>
        </w:rPr>
        <w:t>26</w:t>
      </w:r>
      <w:r>
        <w:rPr>
          <w:rFonts w:hint="eastAsia" w:ascii="宋体" w:hAnsi="宋体" w:cs="Arial"/>
          <w:szCs w:val="21"/>
          <w:lang w:val="fr-FR"/>
        </w:rPr>
        <w:t xml:space="preserve"> 0</w:t>
      </w:r>
      <w:r>
        <w:rPr>
          <w:rFonts w:ascii="宋体" w:hAnsi="宋体" w:cs="Arial"/>
          <w:szCs w:val="21"/>
          <w:lang w:val="fr-FR"/>
        </w:rPr>
        <w:t>3</w:t>
      </w:r>
      <w:r>
        <w:rPr>
          <w:rFonts w:hint="eastAsia" w:ascii="宋体" w:hAnsi="宋体" w:cs="Arial"/>
          <w:szCs w:val="21"/>
        </w:rPr>
        <w:t>系列修订本、增补件</w:t>
      </w:r>
      <w:r>
        <w:rPr>
          <w:rFonts w:ascii="宋体" w:hAnsi="宋体" w:cs="Arial"/>
          <w:szCs w:val="21"/>
          <w:lang w:val="fr-FR"/>
        </w:rPr>
        <w:t>3</w:t>
      </w:r>
      <w:r>
        <w:rPr>
          <w:rFonts w:hint="eastAsia" w:ascii="宋体" w:hAnsi="宋体" w:cs="Arial"/>
          <w:szCs w:val="21"/>
          <w:lang w:val="fr-FR"/>
        </w:rPr>
        <w:t>（</w:t>
      </w:r>
      <w:r>
        <w:rPr>
          <w:rFonts w:ascii="宋体" w:hAnsi="宋体" w:cs="Arial"/>
          <w:szCs w:val="21"/>
          <w:lang w:val="fr-FR"/>
        </w:rPr>
        <w:t>Supplement 3 to the 03 series of amendments</w:t>
      </w:r>
      <w:r>
        <w:rPr>
          <w:rFonts w:hint="eastAsia" w:ascii="宋体" w:hAnsi="宋体" w:cs="Arial"/>
          <w:szCs w:val="21"/>
          <w:lang w:val="fr-FR"/>
        </w:rPr>
        <w:t>）</w:t>
      </w:r>
      <w:r>
        <w:rPr>
          <w:rFonts w:hint="eastAsia" w:ascii="宋体" w:hAnsi="宋体" w:cs="Arial"/>
          <w:szCs w:val="21"/>
        </w:rPr>
        <w:t>将“外后视镜”修改为“外部间接视野装置”。本次修订保持与UN R</w:t>
      </w:r>
      <w:r>
        <w:rPr>
          <w:rFonts w:ascii="宋体" w:hAnsi="宋体" w:cs="Arial"/>
          <w:szCs w:val="21"/>
        </w:rPr>
        <w:t>26</w:t>
      </w:r>
      <w:r>
        <w:rPr>
          <w:rFonts w:hint="eastAsia" w:ascii="宋体" w:hAnsi="宋体" w:cs="Arial"/>
          <w:szCs w:val="21"/>
        </w:rPr>
        <w:t>的一致，增加此部分内容。</w:t>
      </w:r>
    </w:p>
    <w:p>
      <w:pPr>
        <w:ind w:firstLine="420"/>
        <w:rPr>
          <w:rFonts w:ascii="宋体" w:hAnsi="宋体" w:cs="Arial"/>
          <w:szCs w:val="21"/>
        </w:rPr>
      </w:pPr>
      <w:r>
        <w:rPr>
          <w:rFonts w:hint="eastAsia" w:ascii="宋体" w:hAnsi="宋体" w:cs="Arial"/>
          <w:szCs w:val="21"/>
        </w:rPr>
        <w:t>（6）</w:t>
      </w:r>
      <w:r>
        <w:rPr>
          <w:rFonts w:hint="eastAsia"/>
        </w:rPr>
        <w:t>修改</w:t>
      </w:r>
      <w:r>
        <w:t>了</w:t>
      </w:r>
      <w:r>
        <w:rPr>
          <w:rFonts w:hint="eastAsia"/>
        </w:rPr>
        <w:t>风窗刮水器的技术要求</w:t>
      </w:r>
      <w:r>
        <w:rPr>
          <w:rFonts w:hint="eastAsia" w:ascii="宋体" w:hAnsi="宋体" w:cs="Arial"/>
          <w:szCs w:val="21"/>
        </w:rPr>
        <w:t>。</w:t>
      </w:r>
    </w:p>
    <w:p>
      <w:pPr>
        <w:ind w:firstLine="420"/>
        <w:rPr>
          <w:rFonts w:ascii="宋体" w:hAnsi="宋体" w:cs="Arial"/>
          <w:szCs w:val="21"/>
        </w:rPr>
      </w:pPr>
      <w:r>
        <w:rPr>
          <w:rFonts w:hint="eastAsia" w:ascii="宋体" w:hAnsi="宋体" w:cs="Arial"/>
          <w:szCs w:val="21"/>
        </w:rPr>
        <w:t>2020</w:t>
      </w:r>
      <w:r>
        <w:rPr>
          <w:rFonts w:ascii="宋体" w:hAnsi="宋体" w:cs="Arial"/>
          <w:szCs w:val="21"/>
        </w:rPr>
        <w:t>-</w:t>
      </w:r>
      <w:r>
        <w:rPr>
          <w:rFonts w:hint="eastAsia" w:ascii="宋体" w:hAnsi="宋体" w:cs="Arial"/>
          <w:szCs w:val="21"/>
        </w:rPr>
        <w:t>10</w:t>
      </w:r>
      <w:r>
        <w:rPr>
          <w:rFonts w:ascii="宋体" w:hAnsi="宋体" w:cs="Arial"/>
          <w:szCs w:val="21"/>
        </w:rPr>
        <w:t>-</w:t>
      </w:r>
      <w:r>
        <w:rPr>
          <w:rFonts w:hint="eastAsia" w:ascii="宋体" w:hAnsi="宋体" w:cs="Arial"/>
          <w:szCs w:val="21"/>
        </w:rPr>
        <w:t>30发布的</w:t>
      </w:r>
      <w:r>
        <w:rPr>
          <w:rFonts w:hint="eastAsia" w:ascii="宋体" w:hAnsi="宋体" w:cs="Arial"/>
          <w:szCs w:val="21"/>
          <w:lang w:val="fr-FR"/>
        </w:rPr>
        <w:t>UN R</w:t>
      </w:r>
      <w:r>
        <w:rPr>
          <w:rFonts w:ascii="宋体" w:hAnsi="宋体" w:cs="Arial"/>
          <w:szCs w:val="21"/>
          <w:lang w:val="fr-FR"/>
        </w:rPr>
        <w:t>26</w:t>
      </w:r>
      <w:r>
        <w:rPr>
          <w:rFonts w:hint="eastAsia" w:ascii="宋体" w:hAnsi="宋体" w:cs="Arial"/>
          <w:szCs w:val="21"/>
          <w:lang w:val="fr-FR"/>
        </w:rPr>
        <w:t xml:space="preserve"> 04</w:t>
      </w:r>
      <w:r>
        <w:rPr>
          <w:rFonts w:hint="eastAsia" w:ascii="宋体" w:hAnsi="宋体" w:cs="Arial"/>
          <w:szCs w:val="21"/>
        </w:rPr>
        <w:t>系列修订本</w:t>
      </w:r>
      <w:r>
        <w:rPr>
          <w:rFonts w:hint="eastAsia" w:ascii="宋体" w:hAnsi="宋体" w:cs="Arial"/>
          <w:szCs w:val="21"/>
          <w:lang w:val="fr-FR"/>
        </w:rPr>
        <w:t>（</w:t>
      </w:r>
      <w:r>
        <w:rPr>
          <w:rFonts w:ascii="宋体" w:hAnsi="宋体" w:cs="Arial"/>
          <w:szCs w:val="21"/>
          <w:lang w:val="fr-FR"/>
        </w:rPr>
        <w:t>0</w:t>
      </w:r>
      <w:r>
        <w:rPr>
          <w:rFonts w:hint="eastAsia" w:ascii="宋体" w:hAnsi="宋体" w:cs="Arial"/>
          <w:szCs w:val="21"/>
          <w:lang w:val="fr-FR"/>
        </w:rPr>
        <w:t>4</w:t>
      </w:r>
      <w:r>
        <w:rPr>
          <w:rFonts w:ascii="宋体" w:hAnsi="宋体" w:cs="Arial"/>
          <w:szCs w:val="21"/>
          <w:lang w:val="fr-FR"/>
        </w:rPr>
        <w:t xml:space="preserve"> series of amendments</w:t>
      </w:r>
      <w:r>
        <w:rPr>
          <w:rFonts w:hint="eastAsia" w:ascii="宋体" w:hAnsi="宋体" w:cs="Arial"/>
          <w:szCs w:val="21"/>
          <w:lang w:val="fr-FR"/>
        </w:rPr>
        <w:t>）</w:t>
      </w:r>
      <w:r>
        <w:rPr>
          <w:rFonts w:hint="eastAsia" w:ascii="宋体" w:hAnsi="宋体" w:cs="Arial"/>
          <w:szCs w:val="21"/>
        </w:rPr>
        <w:t>将风窗刮水器各构件进行详细划分，并增加了支撑件的技术要求。本次修订保持与UN R</w:t>
      </w:r>
      <w:r>
        <w:rPr>
          <w:rFonts w:ascii="宋体" w:hAnsi="宋体" w:cs="Arial"/>
          <w:szCs w:val="21"/>
        </w:rPr>
        <w:t>26</w:t>
      </w:r>
      <w:r>
        <w:rPr>
          <w:rFonts w:hint="eastAsia" w:ascii="宋体" w:hAnsi="宋体" w:cs="Arial"/>
          <w:szCs w:val="21"/>
        </w:rPr>
        <w:t>的一致，修改此部分内容。</w:t>
      </w:r>
    </w:p>
    <w:p>
      <w:pPr>
        <w:ind w:firstLine="420"/>
        <w:rPr>
          <w:rFonts w:ascii="宋体" w:hAnsi="宋体" w:cs="Arial"/>
          <w:szCs w:val="21"/>
        </w:rPr>
      </w:pPr>
      <w:r>
        <w:rPr>
          <w:rFonts w:hint="eastAsia" w:ascii="宋体" w:hAnsi="宋体" w:cs="Arial"/>
          <w:szCs w:val="21"/>
        </w:rPr>
        <w:t>（7）</w:t>
      </w:r>
      <w:r>
        <w:rPr>
          <w:rFonts w:hint="eastAsia"/>
        </w:rPr>
        <w:t>增加了发动机罩后边缘的范围说明</w:t>
      </w:r>
      <w:r>
        <w:rPr>
          <w:rFonts w:hint="eastAsia" w:ascii="宋体" w:hAnsi="宋体" w:cs="Arial"/>
          <w:szCs w:val="21"/>
        </w:rPr>
        <w:t>。</w:t>
      </w:r>
    </w:p>
    <w:p>
      <w:pPr>
        <w:ind w:firstLine="420"/>
        <w:rPr>
          <w:rFonts w:ascii="宋体" w:hAnsi="宋体" w:cs="Arial"/>
          <w:szCs w:val="21"/>
        </w:rPr>
      </w:pPr>
      <w:r>
        <w:rPr>
          <w:rFonts w:hint="eastAsia" w:ascii="宋体" w:hAnsi="宋体" w:cs="Arial"/>
          <w:szCs w:val="21"/>
          <w:lang w:val="fr-FR"/>
        </w:rPr>
        <w:t>GB1</w:t>
      </w:r>
      <w:r>
        <w:rPr>
          <w:rFonts w:ascii="宋体" w:hAnsi="宋体" w:cs="Arial"/>
          <w:szCs w:val="21"/>
          <w:lang w:val="fr-FR"/>
        </w:rPr>
        <w:t>1566-2009</w:t>
      </w:r>
      <w:r>
        <w:rPr>
          <w:rFonts w:hint="eastAsia" w:ascii="宋体" w:hAnsi="宋体" w:cs="Arial"/>
          <w:szCs w:val="21"/>
        </w:rPr>
        <w:t>及之前的版本中并未说明</w:t>
      </w:r>
      <w:r>
        <w:rPr>
          <w:rFonts w:hint="eastAsia"/>
        </w:rPr>
        <w:t>发动机罩后边缘的范围</w:t>
      </w:r>
      <w:r>
        <w:rPr>
          <w:rFonts w:hint="eastAsia" w:ascii="宋体" w:hAnsi="宋体" w:cs="Arial"/>
          <w:szCs w:val="21"/>
        </w:rPr>
        <w:t>，2020</w:t>
      </w:r>
      <w:r>
        <w:rPr>
          <w:rFonts w:ascii="宋体" w:hAnsi="宋体" w:cs="Arial"/>
          <w:szCs w:val="21"/>
        </w:rPr>
        <w:t>-</w:t>
      </w:r>
      <w:r>
        <w:rPr>
          <w:rFonts w:hint="eastAsia" w:ascii="宋体" w:hAnsi="宋体" w:cs="Arial"/>
          <w:szCs w:val="21"/>
        </w:rPr>
        <w:t>10</w:t>
      </w:r>
      <w:r>
        <w:rPr>
          <w:rFonts w:ascii="宋体" w:hAnsi="宋体" w:cs="Arial"/>
          <w:szCs w:val="21"/>
        </w:rPr>
        <w:t>-</w:t>
      </w:r>
      <w:r>
        <w:rPr>
          <w:rFonts w:hint="eastAsia" w:ascii="宋体" w:hAnsi="宋体" w:cs="Arial"/>
          <w:szCs w:val="21"/>
        </w:rPr>
        <w:t>30发布的</w:t>
      </w:r>
      <w:r>
        <w:rPr>
          <w:rFonts w:hint="eastAsia" w:ascii="宋体" w:hAnsi="宋体" w:cs="Arial"/>
          <w:szCs w:val="21"/>
          <w:lang w:val="fr-FR"/>
        </w:rPr>
        <w:t>UN R</w:t>
      </w:r>
      <w:r>
        <w:rPr>
          <w:rFonts w:ascii="宋体" w:hAnsi="宋体" w:cs="Arial"/>
          <w:szCs w:val="21"/>
          <w:lang w:val="fr-FR"/>
        </w:rPr>
        <w:t>26</w:t>
      </w:r>
      <w:r>
        <w:rPr>
          <w:rFonts w:hint="eastAsia" w:ascii="宋体" w:hAnsi="宋体" w:cs="Arial"/>
          <w:szCs w:val="21"/>
          <w:lang w:val="fr-FR"/>
        </w:rPr>
        <w:t xml:space="preserve"> 0</w:t>
      </w:r>
      <w:r>
        <w:rPr>
          <w:rFonts w:ascii="宋体" w:hAnsi="宋体" w:cs="Arial"/>
          <w:szCs w:val="21"/>
          <w:lang w:val="fr-FR"/>
        </w:rPr>
        <w:t>3</w:t>
      </w:r>
      <w:r>
        <w:rPr>
          <w:rFonts w:hint="eastAsia" w:ascii="宋体" w:hAnsi="宋体" w:cs="Arial"/>
          <w:szCs w:val="21"/>
        </w:rPr>
        <w:t>系列修订本、增补件</w:t>
      </w:r>
      <w:r>
        <w:rPr>
          <w:rFonts w:hint="eastAsia" w:ascii="宋体" w:hAnsi="宋体" w:cs="Arial"/>
          <w:szCs w:val="21"/>
          <w:lang w:val="fr-FR"/>
        </w:rPr>
        <w:t>4（</w:t>
      </w:r>
      <w:r>
        <w:rPr>
          <w:rFonts w:ascii="宋体" w:hAnsi="宋体" w:cs="Arial"/>
          <w:szCs w:val="21"/>
          <w:lang w:val="fr-FR"/>
        </w:rPr>
        <w:t xml:space="preserve">Supplement </w:t>
      </w:r>
      <w:r>
        <w:rPr>
          <w:rFonts w:hint="eastAsia" w:ascii="宋体" w:hAnsi="宋体" w:cs="Arial"/>
          <w:szCs w:val="21"/>
          <w:lang w:val="fr-FR"/>
        </w:rPr>
        <w:t>4</w:t>
      </w:r>
      <w:r>
        <w:rPr>
          <w:rFonts w:ascii="宋体" w:hAnsi="宋体" w:cs="Arial"/>
          <w:szCs w:val="21"/>
          <w:lang w:val="fr-FR"/>
        </w:rPr>
        <w:t xml:space="preserve"> to the 03 series of amendments</w:t>
      </w:r>
      <w:r>
        <w:rPr>
          <w:rFonts w:hint="eastAsia" w:ascii="宋体" w:hAnsi="宋体" w:cs="Arial"/>
          <w:szCs w:val="21"/>
          <w:lang w:val="fr-FR"/>
        </w:rPr>
        <w:t>）</w:t>
      </w:r>
      <w:r>
        <w:rPr>
          <w:rFonts w:hint="eastAsia"/>
        </w:rPr>
        <w:t>发动机罩后边缘所包含的范围</w:t>
      </w:r>
      <w:r>
        <w:rPr>
          <w:rFonts w:hint="eastAsia" w:ascii="宋体" w:hAnsi="宋体" w:cs="Arial"/>
          <w:szCs w:val="21"/>
        </w:rPr>
        <w:t>。本次修订保持与UN R</w:t>
      </w:r>
      <w:r>
        <w:rPr>
          <w:rFonts w:ascii="宋体" w:hAnsi="宋体" w:cs="Arial"/>
          <w:szCs w:val="21"/>
        </w:rPr>
        <w:t>26</w:t>
      </w:r>
      <w:r>
        <w:rPr>
          <w:rFonts w:hint="eastAsia" w:ascii="宋体" w:hAnsi="宋体" w:cs="Arial"/>
          <w:szCs w:val="21"/>
        </w:rPr>
        <w:t>的一致，增加此部分内容。</w:t>
      </w:r>
    </w:p>
    <w:p>
      <w:pPr>
        <w:ind w:firstLine="420"/>
        <w:rPr>
          <w:rFonts w:ascii="宋体" w:hAnsi="宋体" w:cs="Arial"/>
          <w:szCs w:val="21"/>
        </w:rPr>
      </w:pPr>
      <w:r>
        <w:rPr>
          <w:rFonts w:hint="eastAsia" w:ascii="宋体" w:hAnsi="宋体" w:cs="Arial"/>
          <w:szCs w:val="21"/>
        </w:rPr>
        <w:t>（</w:t>
      </w:r>
      <w:r>
        <w:rPr>
          <w:rFonts w:ascii="宋体" w:hAnsi="宋体" w:cs="Arial"/>
          <w:szCs w:val="21"/>
        </w:rPr>
        <w:t>8</w:t>
      </w:r>
      <w:r>
        <w:rPr>
          <w:rFonts w:hint="eastAsia" w:ascii="宋体" w:hAnsi="宋体" w:cs="Arial"/>
          <w:szCs w:val="21"/>
        </w:rPr>
        <w:t>）</w:t>
      </w:r>
      <w:r>
        <w:rPr>
          <w:rFonts w:hint="eastAsia"/>
        </w:rPr>
        <w:t>增加了车辆型式变更与扩展</w:t>
      </w:r>
      <w:r>
        <w:rPr>
          <w:rFonts w:hint="eastAsia" w:ascii="宋体" w:hAnsi="宋体" w:cs="Arial"/>
          <w:szCs w:val="21"/>
        </w:rPr>
        <w:t>。</w:t>
      </w:r>
    </w:p>
    <w:p>
      <w:pPr>
        <w:ind w:firstLine="420"/>
        <w:rPr>
          <w:rFonts w:ascii="宋体" w:hAnsi="宋体" w:cs="Arial"/>
          <w:szCs w:val="21"/>
        </w:rPr>
      </w:pPr>
      <w:r>
        <w:rPr>
          <w:rFonts w:hint="eastAsia" w:ascii="宋体" w:hAnsi="宋体" w:cs="Arial"/>
          <w:szCs w:val="21"/>
        </w:rPr>
        <w:t>根据汽车行业产品准入工作的特点增加了车辆型式变更与扩展方面的内容。</w:t>
      </w:r>
    </w:p>
    <w:p>
      <w:pPr>
        <w:snapToGrid w:val="0"/>
        <w:spacing w:before="312" w:beforeLines="100" w:after="312" w:afterLines="100"/>
        <w:ind w:firstLine="42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3</w:t>
      </w:r>
      <w:r>
        <w:rPr>
          <w:rFonts w:hint="eastAsia" w:ascii="黑体" w:hAnsi="黑体" w:eastAsia="黑体"/>
          <w:color w:val="000000" w:themeColor="text1"/>
          <w14:textFill>
            <w14:solidFill>
              <w14:schemeClr w14:val="tx1"/>
            </w14:solidFill>
          </w14:textFill>
        </w:rPr>
        <w:t>、主要技术要求的依据</w:t>
      </w:r>
    </w:p>
    <w:p>
      <w:pPr>
        <w:snapToGrid w:val="0"/>
        <w:ind w:firstLine="420"/>
        <w:rPr>
          <w:rFonts w:ascii="宋体" w:hAnsi="宋体" w:cs="宋体"/>
          <w:bCs/>
          <w:szCs w:val="21"/>
        </w:rPr>
      </w:pPr>
      <w:r>
        <w:rPr>
          <w:rFonts w:hint="eastAsia" w:ascii="宋体" w:hAnsi="宋体" w:cs="宋体"/>
          <w:bCs/>
          <w:szCs w:val="21"/>
        </w:rPr>
        <w:t>该文件依据UN R26法规（04系列，2020版）《关于就外部凸出物方面车辆认证的统一规定》（英文版）制定完成，在现有文件基础上新增保险杠、保险杠覆盖件定义，修改保险杠覆盖件的圆角半径及风窗刮水器的技术要求，新增发动机罩后边缘的范围说明，同时将“外后视镜”修改为“外部间接视野装置”。</w:t>
      </w:r>
    </w:p>
    <w:p>
      <w:pPr>
        <w:snapToGrid w:val="0"/>
        <w:ind w:firstLine="420"/>
        <w:rPr>
          <w:rFonts w:ascii="宋体" w:hAnsi="宋体" w:cs="宋体"/>
          <w:bCs/>
          <w:szCs w:val="21"/>
        </w:rPr>
      </w:pPr>
      <w:r>
        <w:rPr>
          <w:rFonts w:hint="eastAsia" w:ascii="宋体" w:hAnsi="宋体" w:cs="宋体"/>
          <w:bCs/>
          <w:szCs w:val="21"/>
        </w:rPr>
        <w:t>目前经过多个车型的试验验证，检测结果均完全符合新文件要求，这一结果表明我国汽车生产企业已有生产满足新文件要求的能力。</w:t>
      </w:r>
    </w:p>
    <w:p>
      <w:pPr>
        <w:pStyle w:val="19"/>
        <w:numPr>
          <w:ilvl w:val="0"/>
          <w:numId w:val="2"/>
        </w:numPr>
        <w:snapToGrid w:val="0"/>
        <w:spacing w:before="312" w:beforeLines="100" w:after="312" w:afterLines="100"/>
        <w:ind w:firstLineChars="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新增保险杠、保险杠覆盖件定义，修改保险杠覆盖件的圆角半径</w:t>
      </w:r>
    </w:p>
    <w:p>
      <w:pPr>
        <w:snapToGrid w:val="0"/>
        <w:spacing w:line="240" w:lineRule="auto"/>
        <w:ind w:firstLine="420"/>
        <w:rPr>
          <w:rFonts w:ascii="宋体" w:hAnsi="宋体" w:cs="宋体"/>
          <w:bCs/>
          <w:szCs w:val="21"/>
        </w:rPr>
      </w:pPr>
      <w:r>
        <w:rPr>
          <w:rFonts w:ascii="宋体" w:hAnsi="宋体" w:cs="宋体"/>
          <w:bCs/>
          <w:szCs w:val="21"/>
        </w:rPr>
        <w:t>目前乘用车的保险杠在结构型式上与以往传统的外置式刚性保险杠有了很大的不同</w:t>
      </w:r>
      <w:r>
        <w:rPr>
          <w:rFonts w:hint="eastAsia" w:ascii="宋体" w:hAnsi="宋体" w:cs="宋体"/>
          <w:bCs/>
          <w:szCs w:val="21"/>
        </w:rPr>
        <w:t>。</w:t>
      </w:r>
    </w:p>
    <w:p>
      <w:pPr>
        <w:snapToGrid w:val="0"/>
        <w:ind w:firstLine="420"/>
        <w:rPr>
          <w:rFonts w:ascii="Arial" w:hAnsi="Arial" w:cs="Arial"/>
          <w:color w:val="333333"/>
          <w:szCs w:val="21"/>
          <w:shd w:val="clear" w:color="auto" w:fill="FFFFFF"/>
        </w:rPr>
      </w:pPr>
      <w:r>
        <w:rPr>
          <w:rFonts w:ascii="宋体" w:hAnsi="宋体" w:cs="宋体"/>
          <w:bCs/>
          <w:szCs w:val="21"/>
        </w:rPr>
        <w:t>现有乘用车保险杠结构型式大多为</w:t>
      </w:r>
      <w:r>
        <w:rPr>
          <w:rFonts w:ascii="Arial" w:hAnsi="Arial" w:cs="Arial"/>
          <w:color w:val="333333"/>
          <w:szCs w:val="21"/>
          <w:shd w:val="clear" w:color="auto" w:fill="FFFFFF"/>
        </w:rPr>
        <w:t>由</w:t>
      </w:r>
      <w:r>
        <w:rPr>
          <w:rFonts w:hint="eastAsia" w:ascii="Arial" w:hAnsi="Arial" w:cs="Arial"/>
          <w:color w:val="333333"/>
          <w:szCs w:val="21"/>
          <w:shd w:val="clear" w:color="auto" w:fill="FFFFFF"/>
        </w:rPr>
        <w:t>覆盖件</w:t>
      </w:r>
      <w:r>
        <w:rPr>
          <w:rFonts w:ascii="Arial" w:hAnsi="Arial" w:cs="Arial"/>
          <w:color w:val="333333"/>
          <w:szCs w:val="21"/>
          <w:shd w:val="clear" w:color="auto" w:fill="FFFFFF"/>
        </w:rPr>
        <w:t>、吸能缓冲材料和横梁等三部分组成</w:t>
      </w:r>
      <w:r>
        <w:rPr>
          <w:rFonts w:hint="eastAsia" w:ascii="Arial" w:hAnsi="Arial" w:cs="Arial"/>
          <w:color w:val="333333"/>
          <w:szCs w:val="21"/>
          <w:shd w:val="clear" w:color="auto" w:fill="FFFFFF"/>
        </w:rPr>
        <w:t>，</w:t>
      </w:r>
      <w:r>
        <w:rPr>
          <w:rFonts w:ascii="Arial" w:hAnsi="Arial" w:cs="Arial"/>
          <w:color w:val="333333"/>
          <w:szCs w:val="21"/>
          <w:shd w:val="clear" w:color="auto" w:fill="FFFFFF"/>
        </w:rPr>
        <w:t>其中</w:t>
      </w:r>
      <w:r>
        <w:rPr>
          <w:rFonts w:hint="eastAsia" w:ascii="Arial" w:hAnsi="Arial" w:cs="Arial"/>
          <w:color w:val="333333"/>
          <w:szCs w:val="21"/>
          <w:shd w:val="clear" w:color="auto" w:fill="FFFFFF"/>
        </w:rPr>
        <w:t>覆盖件</w:t>
      </w:r>
      <w:r>
        <w:rPr>
          <w:rFonts w:ascii="Arial" w:hAnsi="Arial" w:cs="Arial"/>
          <w:color w:val="333333"/>
          <w:szCs w:val="21"/>
          <w:shd w:val="clear" w:color="auto" w:fill="FFFFFF"/>
        </w:rPr>
        <w:t>和吸能缓冲材料</w:t>
      </w:r>
      <w:r>
        <w:rPr>
          <w:rFonts w:hint="eastAsia" w:ascii="Arial" w:hAnsi="Arial" w:cs="Arial"/>
          <w:color w:val="333333"/>
          <w:szCs w:val="21"/>
          <w:shd w:val="clear" w:color="auto" w:fill="FFFFFF"/>
        </w:rPr>
        <w:t>大多</w:t>
      </w:r>
      <w:r>
        <w:rPr>
          <w:rFonts w:ascii="Arial" w:hAnsi="Arial" w:cs="Arial"/>
          <w:color w:val="333333"/>
          <w:szCs w:val="21"/>
          <w:shd w:val="clear" w:color="auto" w:fill="FFFFFF"/>
        </w:rPr>
        <w:t>由非刚性材料制成，横梁大多由用厚度</w:t>
      </w:r>
      <w:r>
        <w:rPr>
          <w:rFonts w:hint="eastAsia" w:ascii="Arial" w:hAnsi="Arial" w:cs="Arial"/>
          <w:color w:val="333333"/>
          <w:szCs w:val="21"/>
          <w:shd w:val="clear" w:color="auto" w:fill="FFFFFF"/>
        </w:rPr>
        <w:t>不同</w:t>
      </w:r>
      <w:r>
        <w:rPr>
          <w:rFonts w:ascii="Arial" w:hAnsi="Arial" w:cs="Arial"/>
          <w:color w:val="333333"/>
          <w:szCs w:val="21"/>
          <w:shd w:val="clear" w:color="auto" w:fill="FFFFFF"/>
        </w:rPr>
        <w:t>的刚性材料制成</w:t>
      </w:r>
      <w:r>
        <w:rPr>
          <w:rFonts w:hint="eastAsia" w:ascii="Arial" w:hAnsi="Arial" w:cs="Arial"/>
          <w:color w:val="333333"/>
          <w:szCs w:val="21"/>
          <w:shd w:val="clear" w:color="auto" w:fill="FFFFFF"/>
        </w:rPr>
        <w:t>。 覆盖件</w:t>
      </w:r>
      <w:r>
        <w:rPr>
          <w:rFonts w:ascii="Arial" w:hAnsi="Arial" w:cs="Arial"/>
          <w:color w:val="333333"/>
          <w:szCs w:val="21"/>
          <w:shd w:val="clear" w:color="auto" w:fill="FFFFFF"/>
        </w:rPr>
        <w:t>、吸能缓冲材料附着在刚性横梁上</w:t>
      </w:r>
      <w:r>
        <w:rPr>
          <w:rFonts w:hint="eastAsia" w:ascii="Arial" w:hAnsi="Arial" w:cs="Arial"/>
          <w:color w:val="333333"/>
          <w:szCs w:val="21"/>
          <w:shd w:val="clear" w:color="auto" w:fill="FFFFFF"/>
        </w:rPr>
        <w:t>。覆盖件在最外侧，构成车辆外表面。</w:t>
      </w:r>
    </w:p>
    <w:p>
      <w:pPr>
        <w:snapToGrid w:val="0"/>
        <w:ind w:firstLine="420"/>
        <w:rPr>
          <w:rFonts w:ascii="Arial" w:hAnsi="Arial" w:cs="Arial"/>
          <w:color w:val="333333"/>
          <w:szCs w:val="21"/>
          <w:shd w:val="clear" w:color="auto" w:fill="FFFFFF"/>
        </w:rPr>
      </w:pPr>
      <w:r>
        <w:rPr>
          <w:rFonts w:ascii="Arial" w:hAnsi="Arial" w:cs="Arial"/>
          <w:color w:val="333333"/>
          <w:szCs w:val="21"/>
          <w:shd w:val="clear" w:color="auto" w:fill="FFFFFF"/>
        </w:rPr>
        <w:t>同时，保险杠覆盖件大多由非刚性材料制成，相对于传统的外置式刚性保险杠，对车外人员的</w:t>
      </w:r>
      <w:r>
        <w:rPr>
          <w:rFonts w:hint="eastAsia" w:ascii="Arial" w:hAnsi="Arial" w:cs="Arial"/>
          <w:color w:val="333333"/>
          <w:szCs w:val="21"/>
          <w:shd w:val="clear" w:color="auto" w:fill="FFFFFF"/>
        </w:rPr>
        <w:t>刮伤、撞伤的危险性或加重被撞者伤势等伤害程度降低了很多。</w:t>
      </w:r>
    </w:p>
    <w:p>
      <w:pPr>
        <w:snapToGrid w:val="0"/>
        <w:ind w:firstLine="420"/>
        <w:rPr>
          <w:rFonts w:ascii="Arial" w:hAnsi="Arial" w:cs="Arial"/>
          <w:color w:val="333333"/>
          <w:szCs w:val="21"/>
          <w:shd w:val="clear" w:color="auto" w:fill="FFFFFF"/>
        </w:rPr>
      </w:pPr>
      <w:r>
        <w:rPr>
          <w:rFonts w:ascii="Arial" w:hAnsi="Arial" w:cs="Arial"/>
          <w:color w:val="333333"/>
          <w:szCs w:val="21"/>
          <w:shd w:val="clear" w:color="auto" w:fill="FFFFFF"/>
        </w:rPr>
        <w:t>因此在本次修订中将保险杠和保险杠覆盖件区分开，</w:t>
      </w:r>
      <w:r>
        <w:rPr>
          <w:rFonts w:hint="eastAsia" w:ascii="Arial" w:hAnsi="Arial" w:cs="Arial"/>
          <w:color w:val="333333"/>
          <w:szCs w:val="21"/>
          <w:shd w:val="clear" w:color="auto" w:fill="FFFFFF"/>
        </w:rPr>
        <w:t>分别</w:t>
      </w:r>
      <w:r>
        <w:rPr>
          <w:rFonts w:ascii="Arial" w:hAnsi="Arial" w:cs="Arial"/>
          <w:color w:val="333333"/>
          <w:szCs w:val="21"/>
          <w:shd w:val="clear" w:color="auto" w:fill="FFFFFF"/>
        </w:rPr>
        <w:t>定义，并修改</w:t>
      </w:r>
      <w:r>
        <w:rPr>
          <w:rFonts w:hint="eastAsia" w:ascii="Arial" w:hAnsi="Arial" w:cs="Arial"/>
          <w:color w:val="333333"/>
          <w:szCs w:val="21"/>
          <w:shd w:val="clear" w:color="auto" w:fill="FFFFFF"/>
        </w:rPr>
        <w:t>保险杠覆盖件的圆角半径要求。</w:t>
      </w:r>
    </w:p>
    <w:p>
      <w:pPr>
        <w:pStyle w:val="19"/>
        <w:numPr>
          <w:ilvl w:val="0"/>
          <w:numId w:val="2"/>
        </w:numPr>
        <w:snapToGrid w:val="0"/>
        <w:spacing w:before="312" w:beforeLines="100" w:after="312" w:afterLines="100"/>
        <w:ind w:firstLineChars="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将检测范围中的高度由“不高于地面1.8m”修改为“不高于地面2m”</w:t>
      </w:r>
    </w:p>
    <w:p>
      <w:pPr>
        <w:pStyle w:val="19"/>
      </w:pPr>
      <w:r>
        <w:rPr>
          <w:rFonts w:hint="eastAsia"/>
        </w:rPr>
        <w:t>随着中国经济的飞速提升，中国人的生活水平也随之有了很大的提高，在饮食方面获得了极大的改善，人均身高日益趋高。</w:t>
      </w:r>
    </w:p>
    <w:p>
      <w:pPr>
        <w:snapToGrid w:val="0"/>
        <w:spacing w:before="312" w:beforeLines="100" w:after="312" w:afterLines="100"/>
        <w:ind w:firstLine="420"/>
        <w:jc w:val="left"/>
        <w:rPr>
          <w:rFonts w:ascii="宋体" w:hAnsi="宋体" w:cs="宋体"/>
          <w:bCs/>
          <w:szCs w:val="21"/>
        </w:rPr>
      </w:pPr>
      <w:r>
        <w:drawing>
          <wp:inline distT="0" distB="0" distL="0" distR="0">
            <wp:extent cx="3004820" cy="3536950"/>
            <wp:effectExtent l="0" t="0" r="508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011923" cy="3544645"/>
                    </a:xfrm>
                    <a:prstGeom prst="rect">
                      <a:avLst/>
                    </a:prstGeom>
                  </pic:spPr>
                </pic:pic>
              </a:graphicData>
            </a:graphic>
          </wp:inline>
        </w:drawing>
      </w:r>
    </w:p>
    <w:p>
      <w:pPr>
        <w:snapToGrid w:val="0"/>
        <w:ind w:firstLine="420"/>
        <w:rPr>
          <w:rFonts w:ascii="Arial" w:hAnsi="Arial" w:cs="Arial"/>
          <w:color w:val="333333"/>
          <w:szCs w:val="21"/>
          <w:shd w:val="clear" w:color="auto" w:fill="FFFFFF"/>
        </w:rPr>
      </w:pPr>
      <w:r>
        <w:rPr>
          <w:rFonts w:ascii="宋体" w:hAnsi="宋体" w:cs="宋体"/>
          <w:bCs/>
          <w:szCs w:val="21"/>
        </w:rPr>
        <w:t>从上图可知，以</w:t>
      </w:r>
      <w:r>
        <w:rPr>
          <w:rFonts w:hint="eastAsia" w:ascii="宋体" w:hAnsi="宋体" w:cs="宋体"/>
          <w:bCs/>
          <w:szCs w:val="21"/>
        </w:rPr>
        <w:t>1</w:t>
      </w:r>
      <w:r>
        <w:rPr>
          <w:rFonts w:ascii="宋体" w:hAnsi="宋体" w:cs="宋体"/>
          <w:bCs/>
          <w:szCs w:val="21"/>
        </w:rPr>
        <w:t>9岁中国男性为例，其</w:t>
      </w:r>
      <w:r>
        <w:rPr>
          <w:rFonts w:hint="eastAsia" w:ascii="宋体" w:hAnsi="宋体" w:cs="宋体"/>
          <w:bCs/>
          <w:szCs w:val="21"/>
        </w:rPr>
        <w:t>平均</w:t>
      </w:r>
      <w:r>
        <w:rPr>
          <w:rFonts w:ascii="宋体" w:hAnsi="宋体" w:cs="宋体"/>
          <w:bCs/>
          <w:szCs w:val="21"/>
        </w:rPr>
        <w:t>身高已达到</w:t>
      </w:r>
      <w:r>
        <w:rPr>
          <w:rFonts w:hint="eastAsia" w:ascii="宋体" w:hAnsi="宋体" w:cs="宋体"/>
          <w:bCs/>
          <w:szCs w:val="21"/>
        </w:rPr>
        <w:t>1</w:t>
      </w:r>
      <w:r>
        <w:rPr>
          <w:rFonts w:ascii="宋体" w:hAnsi="宋体" w:cs="宋体"/>
          <w:bCs/>
          <w:szCs w:val="21"/>
        </w:rPr>
        <w:t>.751m，已经接近之前的</w:t>
      </w:r>
      <w:r>
        <w:rPr>
          <w:rFonts w:hint="eastAsia" w:ascii="宋体" w:hAnsi="宋体" w:cs="宋体"/>
          <w:bCs/>
          <w:szCs w:val="21"/>
        </w:rPr>
        <w:t>1</w:t>
      </w:r>
      <w:r>
        <w:rPr>
          <w:rFonts w:ascii="宋体" w:hAnsi="宋体" w:cs="宋体"/>
          <w:bCs/>
          <w:szCs w:val="21"/>
        </w:rPr>
        <w:t>.8m豁免范围。略高于</w:t>
      </w:r>
      <w:r>
        <w:rPr>
          <w:rFonts w:hint="eastAsia" w:ascii="宋体" w:hAnsi="宋体" w:cs="宋体"/>
          <w:bCs/>
          <w:szCs w:val="21"/>
        </w:rPr>
        <w:t>1</w:t>
      </w:r>
      <w:r>
        <w:rPr>
          <w:rFonts w:ascii="宋体" w:hAnsi="宋体" w:cs="宋体"/>
          <w:bCs/>
          <w:szCs w:val="21"/>
        </w:rPr>
        <w:t>.8m高度的车辆外部凸出物存在</w:t>
      </w:r>
      <w:r>
        <w:rPr>
          <w:rFonts w:ascii="Arial" w:hAnsi="Arial" w:cs="Arial"/>
          <w:color w:val="333333"/>
          <w:szCs w:val="21"/>
          <w:shd w:val="clear" w:color="auto" w:fill="FFFFFF"/>
        </w:rPr>
        <w:t>对车外人员的</w:t>
      </w:r>
      <w:r>
        <w:rPr>
          <w:rFonts w:hint="eastAsia" w:ascii="Arial" w:hAnsi="Arial" w:cs="Arial"/>
          <w:color w:val="333333"/>
          <w:szCs w:val="21"/>
          <w:shd w:val="clear" w:color="auto" w:fill="FFFFFF"/>
        </w:rPr>
        <w:t>刮伤、撞伤的危险性或加重被撞者伤势等风险。</w:t>
      </w:r>
    </w:p>
    <w:p>
      <w:pPr>
        <w:snapToGrid w:val="0"/>
        <w:ind w:firstLine="420"/>
        <w:rPr>
          <w:rFonts w:cs="Arial"/>
          <w:szCs w:val="21"/>
        </w:rPr>
      </w:pPr>
      <w:r>
        <w:rPr>
          <w:rFonts w:hint="eastAsia" w:ascii="Arial" w:hAnsi="Arial" w:cs="Arial"/>
          <w:color w:val="333333"/>
          <w:szCs w:val="21"/>
          <w:shd w:val="clear" w:color="auto" w:fill="FFFFFF"/>
        </w:rPr>
        <w:t>同时为了</w:t>
      </w:r>
      <w:r>
        <w:rPr>
          <w:rFonts w:hint="eastAsia" w:cs="Arial"/>
          <w:szCs w:val="21"/>
        </w:rPr>
        <w:t>更有利于与国际接轨，促进我国汽车工业的海外事业扩展，将检测范围中的高度由“不高于地面1.8m”修改为“不高于地面2m”，与UN</w:t>
      </w:r>
      <w:r>
        <w:rPr>
          <w:rFonts w:cs="Arial"/>
          <w:szCs w:val="21"/>
        </w:rPr>
        <w:t xml:space="preserve"> R26保持一致。</w:t>
      </w:r>
    </w:p>
    <w:p>
      <w:pPr>
        <w:pStyle w:val="19"/>
        <w:numPr>
          <w:ilvl w:val="0"/>
          <w:numId w:val="2"/>
        </w:numPr>
        <w:snapToGrid w:val="0"/>
        <w:spacing w:before="312" w:beforeLines="100" w:after="312" w:afterLines="100"/>
        <w:ind w:left="777" w:hanging="357" w:firstLineChars="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将“外后视镜”修改为“外部间接视野装置”</w:t>
      </w:r>
    </w:p>
    <w:p>
      <w:pPr>
        <w:pStyle w:val="19"/>
        <w:snapToGrid w:val="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近年来，随着我国汽车产业电子化智能方向飞速发展，汽车流媒体后视镜也被越来多企业所重视，随着</w:t>
      </w:r>
      <w:r>
        <w:rPr>
          <w:rFonts w:hint="eastAsia" w:cs="Arial"/>
          <w:szCs w:val="21"/>
        </w:rPr>
        <w:t>UN</w:t>
      </w:r>
      <w:r>
        <w:rPr>
          <w:rFonts w:cs="Arial"/>
          <w:szCs w:val="21"/>
        </w:rPr>
        <w:t xml:space="preserve"> R26</w:t>
      </w:r>
      <w:r>
        <w:rPr>
          <w:rFonts w:hint="eastAsia" w:cs="Arial"/>
          <w:szCs w:val="21"/>
        </w:rPr>
        <w:t>和GB15084等文件的更新，</w:t>
      </w:r>
      <w:r>
        <w:rPr>
          <w:rFonts w:hint="eastAsia" w:ascii="宋体" w:hAnsi="宋体" w:cs="宋体"/>
          <w:bCs/>
          <w:color w:val="000000" w:themeColor="text1"/>
          <w:szCs w:val="21"/>
          <w14:textFill>
            <w14:solidFill>
              <w14:schemeClr w14:val="tx1"/>
            </w14:solidFill>
          </w14:textFill>
        </w:rPr>
        <w:t>允许使用摄像机监视器来替代传统镜，本文件修订中也随之将“外后视镜”修改为“外部间接视野装置”。</w:t>
      </w:r>
    </w:p>
    <w:p>
      <w:pPr>
        <w:pStyle w:val="19"/>
        <w:numPr>
          <w:ilvl w:val="0"/>
          <w:numId w:val="2"/>
        </w:numPr>
        <w:snapToGrid w:val="0"/>
        <w:spacing w:before="312" w:beforeLines="100" w:after="312" w:afterLines="100"/>
        <w:ind w:firstLineChars="0"/>
        <w:rPr>
          <w:rFonts w:ascii="宋体" w:hAnsi="宋体" w:cs="宋体"/>
          <w:b/>
          <w:bCs/>
          <w:szCs w:val="21"/>
        </w:rPr>
      </w:pPr>
      <w:r>
        <w:rPr>
          <w:rFonts w:hint="eastAsia" w:ascii="宋体" w:hAnsi="宋体" w:cs="宋体"/>
          <w:b/>
          <w:bCs/>
          <w:szCs w:val="21"/>
        </w:rPr>
        <w:t>细化风窗刮水器各部件的技术要求，新增发动机罩后边缘的范围说明</w:t>
      </w:r>
    </w:p>
    <w:p>
      <w:pPr>
        <w:snapToGrid w:val="0"/>
        <w:spacing w:before="312" w:beforeLines="100" w:after="312" w:afterLines="100"/>
        <w:ind w:firstLine="420"/>
        <w:rPr>
          <w:bCs/>
          <w:szCs w:val="21"/>
        </w:rPr>
      </w:pPr>
      <w:r>
        <w:rPr>
          <w:bCs/>
          <w:szCs w:val="21"/>
        </w:rPr>
        <w:t>GB 11566-2009中风窗刮水器各部件的技术要求</w:t>
      </w:r>
      <w:r>
        <w:rPr>
          <w:rFonts w:hint="eastAsia"/>
          <w:bCs/>
          <w:szCs w:val="21"/>
        </w:rPr>
        <w:t>和</w:t>
      </w:r>
      <w:r>
        <w:rPr>
          <w:bCs/>
          <w:szCs w:val="21"/>
        </w:rPr>
        <w:t>发动机罩后边缘范围在文本中的条款表述较为模糊，在设计及检测阶段存在较大的分歧，因此需将相应的文件文本条款进行详细说明，同时与UN R26保持同步。</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22" w:name="_Toc64898477"/>
      <w:r>
        <w:rPr>
          <w:rFonts w:hint="eastAsia" w:ascii="黑体" w:hAnsi="黑体" w:eastAsia="黑体" w:cs="宋体"/>
          <w:bCs/>
          <w:color w:val="000000"/>
          <w:kern w:val="0"/>
          <w:sz w:val="24"/>
        </w:rPr>
        <w:t>与有关法律、行政法规和其他标准的关系</w:t>
      </w:r>
      <w:bookmarkEnd w:id="22"/>
    </w:p>
    <w:p>
      <w:pPr>
        <w:spacing w:line="400" w:lineRule="exact"/>
        <w:ind w:firstLine="420"/>
      </w:pPr>
      <w:r>
        <w:rPr>
          <w:rFonts w:hint="eastAsia"/>
        </w:rPr>
        <w:t>本文件的提出与现行相关法律、法规、规章及标准协调一致。</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23" w:name="_Toc64898478"/>
      <w:r>
        <w:rPr>
          <w:rFonts w:hint="eastAsia" w:ascii="黑体" w:hAnsi="黑体" w:eastAsia="黑体" w:cs="宋体"/>
          <w:bCs/>
          <w:color w:val="000000"/>
          <w:kern w:val="0"/>
          <w:sz w:val="24"/>
        </w:rPr>
        <w:t>与国际标准化组织、其他国家或者地区有关法律法规和标准的比对分析</w:t>
      </w:r>
      <w:bookmarkEnd w:id="23"/>
    </w:p>
    <w:p>
      <w:pPr>
        <w:pStyle w:val="21"/>
      </w:pPr>
      <w:r>
        <w:rPr>
          <w:rFonts w:hint="eastAsia"/>
        </w:rPr>
        <w:t>我国在2009年参照UN R26（03系列,2007版)发布了GB 11566－2009《乘用车外部凸出物》，但文件自2009年颁布以来一直未被修订。UN R26于2020年10月30日发布最新版的 04系列修订本。新增保险杠（bumper）、保险杠覆盖件 （bumper cover）定义，修改保险杠覆盖件的圆角半径及风窗刮水器的技术要求，新增发动机罩后边缘的范围说明，同时将“外后视镜”修改为“外部间接视野装置”。</w:t>
      </w:r>
    </w:p>
    <w:p>
      <w:pPr>
        <w:pStyle w:val="21"/>
      </w:pPr>
      <w:r>
        <w:rPr>
          <w:rFonts w:hint="eastAsia"/>
        </w:rPr>
        <w:t>此次GB11566－20XX的修订参照UN R26的最新版本，技术内容与UN</w:t>
      </w:r>
      <w:r>
        <w:t xml:space="preserve"> R26基本一致</w:t>
      </w:r>
      <w:r>
        <w:rPr>
          <w:rFonts w:hint="eastAsia"/>
        </w:rPr>
        <w:t>。</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24" w:name="_Toc64898479"/>
      <w:r>
        <w:rPr>
          <w:rFonts w:hint="eastAsia" w:ascii="黑体" w:hAnsi="黑体" w:eastAsia="黑体" w:cs="宋体"/>
          <w:bCs/>
          <w:color w:val="000000"/>
          <w:kern w:val="0"/>
          <w:sz w:val="24"/>
        </w:rPr>
        <w:t>重大分歧意见的处理过程、处理意见及其依据</w:t>
      </w:r>
      <w:bookmarkEnd w:id="24"/>
    </w:p>
    <w:p>
      <w:pPr>
        <w:pStyle w:val="21"/>
      </w:pPr>
      <w:r>
        <w:rPr>
          <w:rFonts w:hint="eastAsia"/>
        </w:rPr>
        <w:t>本文件修订过程中无重大分歧意见。</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25" w:name="_Toc64898480"/>
      <w:r>
        <w:rPr>
          <w:rFonts w:hint="eastAsia" w:ascii="黑体" w:hAnsi="黑体" w:eastAsia="黑体" w:cs="宋体"/>
          <w:bCs/>
          <w:color w:val="000000"/>
          <w:kern w:val="0"/>
          <w:sz w:val="24"/>
        </w:rPr>
        <w:t>对强制性国家标准自发布日期至实施日期之间的过渡期的建议及理由</w:t>
      </w:r>
      <w:bookmarkEnd w:id="25"/>
    </w:p>
    <w:p>
      <w:pPr>
        <w:spacing w:line="400" w:lineRule="exact"/>
        <w:ind w:firstLine="420"/>
      </w:pPr>
      <w:r>
        <w:rPr>
          <w:rFonts w:hint="eastAsia"/>
        </w:rPr>
        <w:t>文件在起草过程中广泛征求了各主要车辆制造企业、检测机构的意见，文件技术内容充分考虑了我国整车的设计、制造的技术水平，检测机构也具有相关试验的检测能力，文件实施的基础条件已具备。</w:t>
      </w:r>
    </w:p>
    <w:p>
      <w:pPr>
        <w:spacing w:line="400" w:lineRule="exact"/>
        <w:ind w:firstLine="420"/>
      </w:pPr>
      <w:r>
        <w:rPr>
          <w:rFonts w:hint="eastAsia"/>
        </w:rPr>
        <w:t>建议本文件的实施时间为：对于新申请车辆型式批准的车型，自文件实施之日起开始执行，对于已获得车辆型式批准的车型，自文件实施之日起第</w:t>
      </w:r>
      <w:r>
        <w:t>13</w:t>
      </w:r>
      <w:r>
        <w:rPr>
          <w:rFonts w:hint="eastAsia"/>
        </w:rPr>
        <w:t>个月开始执行。包括实施强制性国家文件所需要的技术改造、成本投入、老旧产品退出市场时间等。</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26" w:name="_Toc64898481"/>
      <w:r>
        <w:rPr>
          <w:rFonts w:hint="eastAsia" w:ascii="黑体" w:hAnsi="黑体" w:eastAsia="黑体" w:cs="宋体"/>
          <w:bCs/>
          <w:color w:val="000000"/>
          <w:kern w:val="0"/>
          <w:sz w:val="24"/>
        </w:rPr>
        <w:t>与实施强制性国家标准有关的政策措施</w:t>
      </w:r>
      <w:bookmarkEnd w:id="26"/>
    </w:p>
    <w:p>
      <w:pPr>
        <w:spacing w:line="400" w:lineRule="exact"/>
        <w:ind w:firstLine="420"/>
      </w:pPr>
      <w:r>
        <w:rPr>
          <w:rFonts w:hint="eastAsia"/>
        </w:rPr>
        <w:t>本标准的实施监督管理部门是中华人民共和国工业和信息化部和国家市场监督管理总局。本标准依据的法律法规及配套措施如下</w:t>
      </w:r>
    </w:p>
    <w:p>
      <w:pPr>
        <w:spacing w:line="400" w:lineRule="exact"/>
        <w:ind w:firstLine="420"/>
      </w:pPr>
      <w:r>
        <w:rPr>
          <w:rFonts w:hint="eastAsia"/>
        </w:rPr>
        <w:t>1）《中华人民共和国标准化法》第二章第十条规定，对保障人身健康和生命财产安全、国家安全、生态环境安全以及满足经济社会管理基本需要的技术要求，应当制定强制性国家标准。</w:t>
      </w:r>
    </w:p>
    <w:p>
      <w:pPr>
        <w:spacing w:line="400" w:lineRule="exact"/>
        <w:ind w:firstLine="420"/>
      </w:pPr>
      <w:r>
        <w:rPr>
          <w:rFonts w:hint="eastAsia"/>
        </w:rPr>
        <w:t>2）“工业和信息化部关于调整《道路机动车辆生产企业及产品准入许可》事项审批流程及技术规范的通知”（工信部装〔2015〕492号）的附件2“汽车产品同一型号判定技术条件（2015修订版）”中将GB 11566</w:t>
      </w:r>
      <w:r>
        <w:t>-2009</w:t>
      </w:r>
      <w:r>
        <w:rPr>
          <w:rFonts w:hint="eastAsia"/>
        </w:rPr>
        <w:t>《乘用车外部凸出物》作为《车辆生产企业及产品公告》管理所要求的强制性标准，是汽车产品准入的必要条件。</w:t>
      </w:r>
    </w:p>
    <w:p>
      <w:pPr>
        <w:spacing w:line="400" w:lineRule="exact"/>
        <w:ind w:firstLine="420"/>
      </w:pPr>
      <w:r>
        <w:rPr>
          <w:rFonts w:hint="eastAsia"/>
        </w:rPr>
        <w:t>3）《车辆生产企业及产品生产一致性监督管理办法》（工产业〔2010〕第109号）附件3《一致性监督检查实施细则》中规定，《公告》规定的强制性标准项目的检验结果均符合要求时，判定为性能符合要求。即汽车产品在一致性监督中，也应满足</w:t>
      </w:r>
      <w:r>
        <w:t>GB 11566</w:t>
      </w:r>
      <w:r>
        <w:rPr>
          <w:rFonts w:hint="eastAsia"/>
        </w:rPr>
        <w:t>的要求。</w:t>
      </w:r>
    </w:p>
    <w:p>
      <w:pPr>
        <w:spacing w:line="400" w:lineRule="exact"/>
        <w:ind w:firstLine="420"/>
      </w:pPr>
      <w:r>
        <w:rPr>
          <w:rFonts w:hint="eastAsia"/>
        </w:rPr>
        <w:t>4）《国家认监委关于发布机动车辆及安全附件强制性产品认证实施规则的公告》（国家认监委公告〔2020〕8号）的附件《</w:t>
      </w:r>
      <w:r>
        <w:t>CNCA-C11-01:2020</w:t>
      </w:r>
      <w:r>
        <w:rPr>
          <w:rFonts w:hint="eastAsia"/>
        </w:rPr>
        <w:t>汽车》，将外部凸出物纳入了汽车及安全附件的强制性产品认证管理中，执行时依据的强制性标准为GB 1</w:t>
      </w:r>
      <w:r>
        <w:t>1566</w:t>
      </w:r>
      <w:r>
        <w:rPr>
          <w:rFonts w:hint="eastAsia"/>
        </w:rPr>
        <w:t>。</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27" w:name="_Toc64898482"/>
      <w:r>
        <w:rPr>
          <w:rFonts w:hint="eastAsia" w:ascii="黑体" w:hAnsi="黑体" w:eastAsia="黑体" w:cs="宋体"/>
          <w:bCs/>
          <w:color w:val="000000"/>
          <w:kern w:val="0"/>
          <w:sz w:val="24"/>
        </w:rPr>
        <w:t>是否需要对外通报的建议及理由</w:t>
      </w:r>
      <w:bookmarkEnd w:id="27"/>
    </w:p>
    <w:p>
      <w:pPr>
        <w:pStyle w:val="21"/>
      </w:pPr>
      <w:r>
        <w:rPr>
          <w:rFonts w:hint="eastAsia"/>
        </w:rPr>
        <w:t>本文件涉及M</w:t>
      </w:r>
      <w:r>
        <w:rPr>
          <w:rFonts w:hint="eastAsia"/>
          <w:vertAlign w:val="subscript"/>
        </w:rPr>
        <w:t>1</w:t>
      </w:r>
      <w:r>
        <w:rPr>
          <w:rFonts w:hint="eastAsia"/>
        </w:rPr>
        <w:t>类车辆进出口贸易，建议对外通报。</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28" w:name="_Toc64898483"/>
      <w:r>
        <w:rPr>
          <w:rFonts w:hint="eastAsia" w:ascii="黑体" w:hAnsi="黑体" w:eastAsia="黑体" w:cs="宋体"/>
          <w:bCs/>
          <w:color w:val="000000"/>
          <w:kern w:val="0"/>
          <w:sz w:val="24"/>
        </w:rPr>
        <w:t>废止现行有关标准的建议</w:t>
      </w:r>
      <w:bookmarkEnd w:id="28"/>
    </w:p>
    <w:p>
      <w:pPr>
        <w:pStyle w:val="21"/>
      </w:pPr>
      <w:r>
        <w:rPr>
          <w:rFonts w:hint="eastAsia"/>
        </w:rPr>
        <w:t>自本文件实施之日起废止GB 11566-2009。</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29" w:name="_Toc64898484"/>
      <w:r>
        <w:rPr>
          <w:rFonts w:hint="eastAsia" w:ascii="黑体" w:hAnsi="黑体" w:eastAsia="黑体" w:cs="宋体"/>
          <w:bCs/>
          <w:color w:val="000000"/>
          <w:kern w:val="0"/>
          <w:sz w:val="24"/>
        </w:rPr>
        <w:t>涉及专利的有关说明</w:t>
      </w:r>
      <w:bookmarkEnd w:id="29"/>
    </w:p>
    <w:p>
      <w:pPr>
        <w:pStyle w:val="21"/>
      </w:pPr>
      <w:r>
        <w:rPr>
          <w:rFonts w:hint="eastAsia"/>
        </w:rPr>
        <w:t>本文件不涉及专利。</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30" w:name="_Toc64898485"/>
      <w:r>
        <w:rPr>
          <w:rFonts w:hint="eastAsia" w:ascii="黑体" w:hAnsi="黑体" w:eastAsia="黑体" w:cs="宋体"/>
          <w:bCs/>
          <w:color w:val="000000"/>
          <w:kern w:val="0"/>
          <w:sz w:val="24"/>
        </w:rPr>
        <w:t>强制性国家标准所涉及的产品、过程或者服务目录</w:t>
      </w:r>
      <w:bookmarkEnd w:id="30"/>
    </w:p>
    <w:p>
      <w:pPr>
        <w:pStyle w:val="21"/>
      </w:pPr>
      <w:r>
        <w:rPr>
          <w:rFonts w:hint="eastAsia"/>
        </w:rPr>
        <w:t>GB/T 15089中规定的M</w:t>
      </w:r>
      <w:r>
        <w:rPr>
          <w:rFonts w:hint="eastAsia"/>
          <w:vertAlign w:val="subscript"/>
        </w:rPr>
        <w:t>1</w:t>
      </w:r>
      <w:r>
        <w:rPr>
          <w:rFonts w:hint="eastAsia"/>
        </w:rPr>
        <w:t>类车辆。</w:t>
      </w:r>
    </w:p>
    <w:p>
      <w:pPr>
        <w:numPr>
          <w:ilvl w:val="0"/>
          <w:numId w:val="1"/>
        </w:numPr>
        <w:autoSpaceDE w:val="0"/>
        <w:autoSpaceDN w:val="0"/>
        <w:adjustRightInd w:val="0"/>
        <w:spacing w:before="156" w:beforeLines="50" w:after="156" w:afterLines="50" w:line="400" w:lineRule="exact"/>
        <w:ind w:left="567" w:hanging="567" w:firstLineChars="0"/>
        <w:jc w:val="left"/>
        <w:outlineLvl w:val="0"/>
        <w:rPr>
          <w:rFonts w:ascii="黑体" w:hAnsi="黑体" w:eastAsia="黑体" w:cs="宋体"/>
          <w:bCs/>
          <w:color w:val="000000"/>
          <w:kern w:val="0"/>
          <w:sz w:val="24"/>
        </w:rPr>
      </w:pPr>
      <w:bookmarkStart w:id="31" w:name="_Toc64898486"/>
      <w:r>
        <w:rPr>
          <w:rFonts w:hint="eastAsia" w:ascii="黑体" w:hAnsi="黑体" w:eastAsia="黑体" w:cs="宋体"/>
          <w:bCs/>
          <w:color w:val="000000"/>
          <w:kern w:val="0"/>
          <w:sz w:val="24"/>
        </w:rPr>
        <w:t>其他应当予以说明的事项</w:t>
      </w:r>
      <w:bookmarkEnd w:id="19"/>
      <w:bookmarkEnd w:id="31"/>
    </w:p>
    <w:p>
      <w:pPr>
        <w:pStyle w:val="21"/>
      </w:pPr>
      <w:r>
        <w:rPr>
          <w:rFonts w:hint="eastAsia"/>
        </w:rPr>
        <w:t>无。</w:t>
      </w:r>
    </w:p>
    <w:p>
      <w:pPr>
        <w:pStyle w:val="19"/>
        <w:spacing w:line="400" w:lineRule="exact"/>
        <w:ind w:left="900" w:firstLine="0" w:firstLineChars="0"/>
        <w:jc w:val="right"/>
        <w:rPr>
          <w:rFonts w:hint="eastAsia"/>
        </w:rPr>
      </w:pPr>
      <w:r>
        <w:rPr>
          <w:rFonts w:hint="eastAsia"/>
        </w:rPr>
        <w:t>《乘用车外部凸出物》标准起草组</w:t>
      </w:r>
    </w:p>
    <w:p>
      <w:pPr>
        <w:pStyle w:val="19"/>
        <w:spacing w:line="400" w:lineRule="exact"/>
        <w:ind w:left="900" w:firstLine="0" w:firstLineChars="0"/>
        <w:jc w:val="right"/>
      </w:pPr>
      <w:r>
        <w:t>2022</w:t>
      </w:r>
      <w:r>
        <w:rPr>
          <w:rFonts w:hint="eastAsia"/>
        </w:rPr>
        <w:t>年</w:t>
      </w:r>
      <w:r>
        <w:t>6</w:t>
      </w:r>
      <w:r>
        <w:rPr>
          <w:rFonts w:hint="eastAsia"/>
        </w:rPr>
        <w:t>月</w:t>
      </w:r>
      <w:r>
        <w:t>12</w:t>
      </w:r>
      <w:r>
        <w:rPr>
          <w:rFonts w:hint="eastAsia"/>
        </w:rPr>
        <w:t>日</w:t>
      </w:r>
    </w:p>
    <w:sectPr>
      <w:headerReference r:id="rId6" w:type="first"/>
      <w:footerReference r:id="rId8" w:type="first"/>
      <w:headerReference r:id="rId5" w:type="defaul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266888"/>
    </w:sdtPr>
    <w:sdtContent>
      <w:p>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4259378"/>
    </w:sdtPr>
    <w:sdtContent>
      <w:p>
        <w:pPr>
          <w:pStyle w:val="5"/>
          <w:ind w:firstLine="360"/>
          <w:jc w:val="center"/>
        </w:pPr>
        <w:r>
          <w:fldChar w:fldCharType="begin"/>
        </w:r>
        <w:r>
          <w:instrText xml:space="preserve">PAGE   \* MERGEFORMAT</w:instrText>
        </w:r>
        <w:r>
          <w:fldChar w:fldCharType="separate"/>
        </w:r>
        <w:r>
          <w:rPr>
            <w:lang w:val="zh-CN"/>
          </w:rPr>
          <w:t>1</w:t>
        </w:r>
        <w:r>
          <w:fldChar w:fldCharType="end"/>
        </w:r>
      </w:p>
    </w:sdtContent>
  </w:sdt>
  <w:p>
    <w:pPr>
      <w:pStyle w:val="5"/>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w:t>《乘用车外部凸出物》（征求意见稿）编制说明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rFonts w:hint="eastAsia"/>
      </w:rPr>
      <w:t>《乘用车外部凸出物》（征求意见稿）编制说明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957A9"/>
    <w:multiLevelType w:val="multilevel"/>
    <w:tmpl w:val="28C957A9"/>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D6557A"/>
    <w:multiLevelType w:val="multilevel"/>
    <w:tmpl w:val="6AD6557A"/>
    <w:lvl w:ilvl="0" w:tentative="0">
      <w:start w:val="1"/>
      <w:numFmt w:val="decimal"/>
      <w:lvlText w:val="%1）"/>
      <w:lvlJc w:val="left"/>
      <w:pPr>
        <w:ind w:left="780" w:hanging="360"/>
      </w:pPr>
      <w:rPr>
        <w:rFonts w:hint="default"/>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45"/>
    <w:rsid w:val="0000456B"/>
    <w:rsid w:val="00012234"/>
    <w:rsid w:val="0001748E"/>
    <w:rsid w:val="00037775"/>
    <w:rsid w:val="00041048"/>
    <w:rsid w:val="0007093B"/>
    <w:rsid w:val="000B7CF5"/>
    <w:rsid w:val="000D0D05"/>
    <w:rsid w:val="000D4F96"/>
    <w:rsid w:val="0010026B"/>
    <w:rsid w:val="00114B25"/>
    <w:rsid w:val="001235B5"/>
    <w:rsid w:val="001270C8"/>
    <w:rsid w:val="0013239D"/>
    <w:rsid w:val="00135AA7"/>
    <w:rsid w:val="0014551E"/>
    <w:rsid w:val="00167B0A"/>
    <w:rsid w:val="0017659A"/>
    <w:rsid w:val="001927EC"/>
    <w:rsid w:val="001A3352"/>
    <w:rsid w:val="001B378A"/>
    <w:rsid w:val="001F04BC"/>
    <w:rsid w:val="00201133"/>
    <w:rsid w:val="0021799F"/>
    <w:rsid w:val="00242421"/>
    <w:rsid w:val="00255B31"/>
    <w:rsid w:val="00260138"/>
    <w:rsid w:val="0027006A"/>
    <w:rsid w:val="00280CC2"/>
    <w:rsid w:val="002A65E3"/>
    <w:rsid w:val="002D0B81"/>
    <w:rsid w:val="002D48CC"/>
    <w:rsid w:val="002F2D31"/>
    <w:rsid w:val="00317B39"/>
    <w:rsid w:val="00350E31"/>
    <w:rsid w:val="003533E3"/>
    <w:rsid w:val="00356D6B"/>
    <w:rsid w:val="00374A8E"/>
    <w:rsid w:val="0038380F"/>
    <w:rsid w:val="00384974"/>
    <w:rsid w:val="003A219D"/>
    <w:rsid w:val="003C42E2"/>
    <w:rsid w:val="003E63B2"/>
    <w:rsid w:val="003E71C1"/>
    <w:rsid w:val="00402F5C"/>
    <w:rsid w:val="004603C7"/>
    <w:rsid w:val="004653DA"/>
    <w:rsid w:val="00466FB1"/>
    <w:rsid w:val="00472021"/>
    <w:rsid w:val="00491213"/>
    <w:rsid w:val="004D5976"/>
    <w:rsid w:val="005158F2"/>
    <w:rsid w:val="00552A94"/>
    <w:rsid w:val="00567EBD"/>
    <w:rsid w:val="005963B0"/>
    <w:rsid w:val="005B0B83"/>
    <w:rsid w:val="005B19DC"/>
    <w:rsid w:val="005B2BD0"/>
    <w:rsid w:val="005C430C"/>
    <w:rsid w:val="005E5508"/>
    <w:rsid w:val="00630869"/>
    <w:rsid w:val="00661A99"/>
    <w:rsid w:val="0067120B"/>
    <w:rsid w:val="0068575E"/>
    <w:rsid w:val="00687D73"/>
    <w:rsid w:val="006A34E1"/>
    <w:rsid w:val="006C15C3"/>
    <w:rsid w:val="006D5502"/>
    <w:rsid w:val="00705B04"/>
    <w:rsid w:val="007144A4"/>
    <w:rsid w:val="00752B84"/>
    <w:rsid w:val="00776C0C"/>
    <w:rsid w:val="00794922"/>
    <w:rsid w:val="007A3B08"/>
    <w:rsid w:val="007C129F"/>
    <w:rsid w:val="007C1F78"/>
    <w:rsid w:val="007E16F0"/>
    <w:rsid w:val="008045A0"/>
    <w:rsid w:val="00806F3F"/>
    <w:rsid w:val="00814265"/>
    <w:rsid w:val="00820218"/>
    <w:rsid w:val="00841A6D"/>
    <w:rsid w:val="008777DE"/>
    <w:rsid w:val="0088577E"/>
    <w:rsid w:val="00892845"/>
    <w:rsid w:val="008C09FD"/>
    <w:rsid w:val="008E68DA"/>
    <w:rsid w:val="00915140"/>
    <w:rsid w:val="009273A8"/>
    <w:rsid w:val="00945B03"/>
    <w:rsid w:val="00950EA6"/>
    <w:rsid w:val="009522EB"/>
    <w:rsid w:val="009535F8"/>
    <w:rsid w:val="0095555A"/>
    <w:rsid w:val="009656D2"/>
    <w:rsid w:val="00980D98"/>
    <w:rsid w:val="0098755F"/>
    <w:rsid w:val="00992AC6"/>
    <w:rsid w:val="009D4CD2"/>
    <w:rsid w:val="009F2029"/>
    <w:rsid w:val="00A02022"/>
    <w:rsid w:val="00A109CA"/>
    <w:rsid w:val="00A16F92"/>
    <w:rsid w:val="00A20171"/>
    <w:rsid w:val="00A2748A"/>
    <w:rsid w:val="00A30338"/>
    <w:rsid w:val="00A44FDB"/>
    <w:rsid w:val="00A62E87"/>
    <w:rsid w:val="00A9754E"/>
    <w:rsid w:val="00AA035A"/>
    <w:rsid w:val="00AB5C5B"/>
    <w:rsid w:val="00AC4639"/>
    <w:rsid w:val="00B1292A"/>
    <w:rsid w:val="00B12F76"/>
    <w:rsid w:val="00B139B0"/>
    <w:rsid w:val="00B86B04"/>
    <w:rsid w:val="00B93B16"/>
    <w:rsid w:val="00B93CF6"/>
    <w:rsid w:val="00BB32B5"/>
    <w:rsid w:val="00BB727F"/>
    <w:rsid w:val="00BC6326"/>
    <w:rsid w:val="00C130E9"/>
    <w:rsid w:val="00C13BDE"/>
    <w:rsid w:val="00C6454C"/>
    <w:rsid w:val="00C75369"/>
    <w:rsid w:val="00C90A23"/>
    <w:rsid w:val="00C91560"/>
    <w:rsid w:val="00CD16C2"/>
    <w:rsid w:val="00CD4583"/>
    <w:rsid w:val="00D20184"/>
    <w:rsid w:val="00D2752D"/>
    <w:rsid w:val="00D317E0"/>
    <w:rsid w:val="00D36D22"/>
    <w:rsid w:val="00D46AAC"/>
    <w:rsid w:val="00D6116E"/>
    <w:rsid w:val="00D80376"/>
    <w:rsid w:val="00DB333D"/>
    <w:rsid w:val="00DB7620"/>
    <w:rsid w:val="00DE1CC7"/>
    <w:rsid w:val="00DF0F71"/>
    <w:rsid w:val="00E01A33"/>
    <w:rsid w:val="00E2146E"/>
    <w:rsid w:val="00E42B97"/>
    <w:rsid w:val="00E45F30"/>
    <w:rsid w:val="00E544A7"/>
    <w:rsid w:val="00E62A41"/>
    <w:rsid w:val="00E67739"/>
    <w:rsid w:val="00EB3970"/>
    <w:rsid w:val="00EB70F3"/>
    <w:rsid w:val="00EE1065"/>
    <w:rsid w:val="00EF600F"/>
    <w:rsid w:val="00F07AA1"/>
    <w:rsid w:val="00F32838"/>
    <w:rsid w:val="00F33B7C"/>
    <w:rsid w:val="00F57216"/>
    <w:rsid w:val="00F6014B"/>
    <w:rsid w:val="00F67663"/>
    <w:rsid w:val="00F75BCB"/>
    <w:rsid w:val="00FB180E"/>
    <w:rsid w:val="00FC15D0"/>
    <w:rsid w:val="00FC54DC"/>
    <w:rsid w:val="00FF0F7A"/>
    <w:rsid w:val="0AE734A5"/>
    <w:rsid w:val="19EC6E8E"/>
    <w:rsid w:val="2748063B"/>
    <w:rsid w:val="2C5607B3"/>
    <w:rsid w:val="318B6924"/>
    <w:rsid w:val="79BF7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semiHidden/>
    <w:unhideWhenUsed/>
    <w:uiPriority w:val="99"/>
    <w:pPr>
      <w:jc w:val="left"/>
    </w:pPr>
  </w:style>
  <w:style w:type="paragraph" w:styleId="4">
    <w:name w:val="Balloon Text"/>
    <w:basedOn w:val="1"/>
    <w:link w:val="23"/>
    <w:semiHidden/>
    <w:unhideWhenUsed/>
    <w:qFormat/>
    <w:uiPriority w:val="99"/>
    <w:pPr>
      <w:spacing w:line="240" w:lineRule="auto"/>
    </w:pPr>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annotation subject"/>
    <w:basedOn w:val="3"/>
    <w:next w:val="3"/>
    <w:link w:val="25"/>
    <w:semiHidden/>
    <w:unhideWhenUsed/>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uiPriority w:val="99"/>
    <w:rPr>
      <w:sz w:val="21"/>
      <w:szCs w:val="21"/>
    </w:rPr>
  </w:style>
  <w:style w:type="character" w:customStyle="1" w:styleId="14">
    <w:name w:val="页眉 Char"/>
    <w:basedOn w:val="11"/>
    <w:link w:val="6"/>
    <w:qFormat/>
    <w:uiPriority w:val="99"/>
    <w:rPr>
      <w:sz w:val="18"/>
      <w:szCs w:val="18"/>
    </w:rPr>
  </w:style>
  <w:style w:type="character" w:customStyle="1" w:styleId="15">
    <w:name w:val="页脚 Char"/>
    <w:basedOn w:val="11"/>
    <w:link w:val="5"/>
    <w:uiPriority w:val="99"/>
    <w:rPr>
      <w:sz w:val="18"/>
      <w:szCs w:val="18"/>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标题 1 Char"/>
    <w:basedOn w:val="11"/>
    <w:link w:val="2"/>
    <w:qFormat/>
    <w:uiPriority w:val="9"/>
    <w:rPr>
      <w:rFonts w:ascii="Times New Roman" w:hAnsi="Times New Roman" w:eastAsia="宋体" w:cs="Times New Roman"/>
      <w:b/>
      <w:bCs/>
      <w:kern w:val="44"/>
      <w:sz w:val="44"/>
      <w:szCs w:val="44"/>
    </w:rPr>
  </w:style>
  <w:style w:type="paragraph" w:customStyle="1" w:styleId="18">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19">
    <w:name w:val="List Paragraph"/>
    <w:basedOn w:val="1"/>
    <w:qFormat/>
    <w:uiPriority w:val="34"/>
    <w:pPr>
      <w:ind w:firstLine="420"/>
    </w:pPr>
  </w:style>
  <w:style w:type="paragraph" w:customStyle="1" w:styleId="20">
    <w:name w:val="标准文件_文件名称"/>
    <w:basedOn w:val="1"/>
    <w:next w:val="1"/>
    <w:qFormat/>
    <w:uiPriority w:val="0"/>
    <w:pPr>
      <w:framePr w:w="9639" w:h="6976" w:hRule="exact" w:wrap="auto" w:vAnchor="page" w:hAnchor="page" w:y="6408"/>
      <w:widowControl/>
      <w:spacing w:line="700" w:lineRule="exact"/>
      <w:ind w:firstLine="0" w:firstLineChars="0"/>
      <w:jc w:val="center"/>
    </w:pPr>
    <w:rPr>
      <w:rFonts w:ascii="黑体" w:hAnsi="黑体" w:eastAsia="黑体"/>
      <w:bCs/>
      <w:kern w:val="0"/>
      <w:sz w:val="52"/>
      <w:szCs w:val="20"/>
    </w:rPr>
  </w:style>
  <w:style w:type="paragraph" w:customStyle="1" w:styleId="21">
    <w:name w:val="编制说明正文"/>
    <w:basedOn w:val="1"/>
    <w:link w:val="22"/>
    <w:qFormat/>
    <w:uiPriority w:val="0"/>
    <w:pPr>
      <w:shd w:val="clear" w:color="auto" w:fill="FFFFFF"/>
      <w:spacing w:line="400" w:lineRule="exact"/>
      <w:ind w:firstLine="420"/>
    </w:pPr>
    <w:rPr>
      <w:rFonts w:cs="Arial"/>
      <w:szCs w:val="21"/>
    </w:rPr>
  </w:style>
  <w:style w:type="character" w:customStyle="1" w:styleId="22">
    <w:name w:val="编制说明正文 字符"/>
    <w:basedOn w:val="11"/>
    <w:link w:val="21"/>
    <w:uiPriority w:val="0"/>
    <w:rPr>
      <w:rFonts w:ascii="Times New Roman" w:hAnsi="Times New Roman" w:eastAsia="宋体" w:cs="Arial"/>
      <w:szCs w:val="21"/>
      <w:shd w:val="clear" w:color="auto" w:fill="FFFFFF"/>
    </w:rPr>
  </w:style>
  <w:style w:type="character" w:customStyle="1" w:styleId="23">
    <w:name w:val="批注框文本 Char"/>
    <w:basedOn w:val="11"/>
    <w:link w:val="4"/>
    <w:semiHidden/>
    <w:qFormat/>
    <w:uiPriority w:val="99"/>
    <w:rPr>
      <w:rFonts w:ascii="Times New Roman" w:hAnsi="Times New Roman" w:eastAsia="宋体" w:cs="Times New Roman"/>
      <w:sz w:val="18"/>
      <w:szCs w:val="18"/>
    </w:rPr>
  </w:style>
  <w:style w:type="character" w:customStyle="1" w:styleId="24">
    <w:name w:val="批注文字 Char"/>
    <w:basedOn w:val="11"/>
    <w:link w:val="3"/>
    <w:semiHidden/>
    <w:qFormat/>
    <w:uiPriority w:val="99"/>
    <w:rPr>
      <w:rFonts w:ascii="Times New Roman" w:hAnsi="Times New Roman" w:eastAsia="宋体" w:cs="Times New Roman"/>
      <w:kern w:val="2"/>
      <w:sz w:val="21"/>
      <w:szCs w:val="24"/>
    </w:rPr>
  </w:style>
  <w:style w:type="character" w:customStyle="1" w:styleId="25">
    <w:name w:val="批注主题 Char"/>
    <w:basedOn w:val="24"/>
    <w:link w:val="8"/>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7A52B-32AE-43B3-9542-A4B585431D24}">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1189</Words>
  <Characters>6783</Characters>
  <Lines>56</Lines>
  <Paragraphs>15</Paragraphs>
  <TotalTime>56</TotalTime>
  <ScaleCrop>false</ScaleCrop>
  <LinksUpToDate>false</LinksUpToDate>
  <CharactersWithSpaces>7957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2022-05-30T06:09:00Z</dcterms:created>
  <dc:creator>李云伟</dc:creator>
  <cp:lastModifiedBy>hujian</cp:lastModifiedBy>
  <cp:lastPrinted>2022-07-27T01:44:00Z</cp:lastPrinted>
  <dcterms:modified xsi:type="dcterms:W3CDTF">2023-05-05T09:11:56Z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A2A3940778AD430EAB9B1FB5F271199F</vt:lpwstr>
  </property>
</Properties>
</file>