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黑体" w:cs="Times New Roman"/>
          <w:bCs/>
          <w:color w:val="auto"/>
          <w:sz w:val="32"/>
          <w:szCs w:val="32"/>
          <w:highlight w:val="none"/>
          <w:lang w:val="en-US" w:eastAsia="zh-CN"/>
        </w:rPr>
      </w:pPr>
      <w:r>
        <w:rPr>
          <w:rFonts w:hint="default" w:ascii="Times New Roman" w:hAnsi="Times New Roman" w:eastAsia="黑体" w:cs="Times New Roman"/>
          <w:bCs/>
          <w:color w:val="auto"/>
          <w:sz w:val="32"/>
          <w:szCs w:val="32"/>
          <w:highlight w:val="none"/>
        </w:rPr>
        <w:t>附件</w:t>
      </w:r>
      <w:r>
        <w:rPr>
          <w:rFonts w:hint="default" w:ascii="Times New Roman" w:hAnsi="Times New Roman" w:eastAsia="黑体" w:cs="Times New Roman"/>
          <w:bCs/>
          <w:color w:val="auto"/>
          <w:sz w:val="32"/>
          <w:szCs w:val="32"/>
          <w:highlight w:val="none"/>
          <w:lang w:val="en-US" w:eastAsia="zh-CN"/>
        </w:rPr>
        <w:t>4</w:t>
      </w: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黑体" w:cs="Times New Roman"/>
          <w:bCs/>
          <w:color w:val="auto"/>
          <w:sz w:val="32"/>
          <w:szCs w:val="32"/>
          <w:highlight w:val="none"/>
          <w:lang w:val="en-US" w:eastAsia="zh-CN"/>
        </w:rPr>
      </w:pP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方正小标宋简体" w:cs="Times New Roman"/>
          <w:b w:val="0"/>
          <w:bCs/>
          <w:color w:val="auto"/>
          <w:sz w:val="44"/>
          <w:szCs w:val="44"/>
          <w:highlight w:val="none"/>
        </w:rPr>
      </w:pPr>
      <w:r>
        <w:rPr>
          <w:rFonts w:hint="default" w:ascii="Times New Roman" w:hAnsi="Times New Roman" w:eastAsia="方正小标宋简体" w:cs="Times New Roman"/>
          <w:b w:val="0"/>
          <w:bCs/>
          <w:color w:val="auto"/>
          <w:sz w:val="44"/>
          <w:szCs w:val="44"/>
          <w:highlight w:val="none"/>
        </w:rPr>
        <w:t>印染企业规范公告申请书填报指南</w:t>
      </w:r>
    </w:p>
    <w:p>
      <w:pPr>
        <w:pStyle w:val="2"/>
        <w:rPr>
          <w:rFonts w:hint="default"/>
        </w:rPr>
      </w:pP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    一、《印染企业规范公告申请书》填报内容</w:t>
      </w:r>
      <w:r>
        <w:rPr>
          <w:rFonts w:hint="default" w:ascii="Times New Roman" w:hAnsi="Times New Roman" w:eastAsia="黑体" w:cs="Times New Roman"/>
          <w:color w:val="auto"/>
          <w:sz w:val="32"/>
          <w:szCs w:val="32"/>
          <w:highlight w:val="none"/>
          <w:lang w:eastAsia="zh-CN"/>
        </w:rPr>
        <w:t>说明</w:t>
      </w:r>
    </w:p>
    <w:p>
      <w:pPr>
        <w:keepNext w:val="0"/>
        <w:keepLines w:val="0"/>
        <w:pageBreakBefore w:val="0"/>
        <w:kinsoku/>
        <w:wordWrap/>
        <w:overflowPunct/>
        <w:topLinePunct w:val="0"/>
        <w:autoSpaceDE/>
        <w:autoSpaceDN/>
        <w:bidi w:val="0"/>
        <w:spacing w:line="600" w:lineRule="exact"/>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1.除有特别说明外，涉及环保的情况提供上年度至申报时的相关数据及证明材料，其它部分情况提供上年度相关数据及证明材料。</w:t>
      </w:r>
    </w:p>
    <w:p>
      <w:pPr>
        <w:keepNext w:val="0"/>
        <w:keepLines w:val="0"/>
        <w:pageBreakBefore w:val="0"/>
        <w:kinsoku/>
        <w:wordWrap/>
        <w:overflowPunct/>
        <w:topLinePunct w:val="0"/>
        <w:autoSpaceDE/>
        <w:autoSpaceDN/>
        <w:bidi w:val="0"/>
        <w:spacing w:line="600" w:lineRule="exact"/>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2.“企业设计生产能力”指企业生产设备在单位时间内可能生产的印染产品数量。计量单位：机织产品为万米/年，针织产品、纱线等产品为吨/年。</w:t>
      </w:r>
    </w:p>
    <w:p>
      <w:pPr>
        <w:keepNext w:val="0"/>
        <w:keepLines w:val="0"/>
        <w:pageBreakBefore w:val="0"/>
        <w:kinsoku/>
        <w:wordWrap/>
        <w:overflowPunct/>
        <w:topLinePunct w:val="0"/>
        <w:autoSpaceDE/>
        <w:autoSpaceDN/>
        <w:bidi w:val="0"/>
        <w:spacing w:line="600" w:lineRule="exact"/>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3.“上年度实际产量”指企业在上年度主要印染产品的实际生产量，填表时填直接统计的产量。</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4.“上年度折标产量”指企业上年度实际产量的折标准品产量。换算标准品时可参考《印染企业综合能耗计算办法及基本定额》（FZ/T01002</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2010）、《机织印染产品取水计算办法及单耗基本定》（FZ/T01104</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2010）、《针织印染产品取水计算办法及单耗基本定额》（FZ/T01105</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2010）、《针织印染面料单位产品能源消耗限额》（FZ/T07019</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2021）。</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5.“销售收入”“利润总</w:t>
      </w:r>
      <w:bookmarkStart w:id="0" w:name="_GoBack"/>
      <w:bookmarkEnd w:id="0"/>
      <w:r>
        <w:rPr>
          <w:rFonts w:hint="default" w:ascii="Times New Roman" w:hAnsi="Times New Roman" w:eastAsia="仿宋_GB2312" w:cs="Times New Roman"/>
          <w:color w:val="auto"/>
          <w:sz w:val="32"/>
          <w:szCs w:val="32"/>
          <w:highlight w:val="none"/>
        </w:rPr>
        <w:t>额”“利税总额”“增加值”均仅涉及上年度的印染生产环节。</w:t>
      </w: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6.“主要设备”包括前处理、染色、后整理、印花等工序的主要设备。“主要设备”类目中的“设备名称”“生产商”“型号”“制造日期（出厂日期）”“数量”等信息应完整、准确填写，无法填报的，应书面说明情况。“主要性能参数”包括但不限于设备铭牌上标注的性能参数。设备主体已改造，达到节能环保标准并满足产品质量要求的应进行相关情况说明。</w:t>
      </w:r>
    </w:p>
    <w:p>
      <w:pPr>
        <w:keepNext w:val="0"/>
        <w:keepLines w:val="0"/>
        <w:pageBreakBefore w:val="0"/>
        <w:kinsoku/>
        <w:wordWrap/>
        <w:overflowPunct/>
        <w:topLinePunct w:val="0"/>
        <w:autoSpaceDE/>
        <w:autoSpaceDN/>
        <w:bidi w:val="0"/>
        <w:spacing w:line="600" w:lineRule="exact"/>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7.年总能耗指上年度企业实际消耗在印染生产、辅助生产和附属生产中作为燃料、动力、原料、辅助材料使用的能源。</w:t>
      </w:r>
    </w:p>
    <w:p>
      <w:pPr>
        <w:keepNext w:val="0"/>
        <w:keepLines w:val="0"/>
        <w:pageBreakBefore w:val="0"/>
        <w:kinsoku/>
        <w:wordWrap/>
        <w:overflowPunct/>
        <w:topLinePunct w:val="0"/>
        <w:autoSpaceDE/>
        <w:autoSpaceDN/>
        <w:bidi w:val="0"/>
        <w:spacing w:line="600" w:lineRule="exact"/>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8.年新鲜水取水量指上年度企业从各种水源提取的并用于印染生产、辅助生产和附属生产的水量总和，包括城市自来水用量、地表水、地下水用量和企业从市场购得的其他水或水的产品（如蒸汽、热水等）。</w:t>
      </w:r>
    </w:p>
    <w:p>
      <w:pPr>
        <w:keepNext w:val="0"/>
        <w:keepLines w:val="0"/>
        <w:pageBreakBefore w:val="0"/>
        <w:kinsoku/>
        <w:wordWrap/>
        <w:overflowPunct/>
        <w:topLinePunct w:val="0"/>
        <w:autoSpaceDE/>
        <w:autoSpaceDN/>
        <w:bidi w:val="0"/>
        <w:spacing w:line="600" w:lineRule="exact"/>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9.“水重复利用率”指上年度企业直接利用和经处理后回收再利用的水量占印染生产用水总量的比值。</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10.“年废水排放量”指生产设施或企业向企业法定边界以外排放的废水的量，包括与生产有直接或间接关系的各种外排废水（含厂区生活污水、冷却废水、厂区锅炉和电站排水等）。</w:t>
      </w:r>
    </w:p>
    <w:p>
      <w:pPr>
        <w:keepNext w:val="0"/>
        <w:keepLines w:val="0"/>
        <w:pageBreakBefore w:val="0"/>
        <w:kinsoku/>
        <w:wordWrap/>
        <w:overflowPunct/>
        <w:topLinePunct w:val="0"/>
        <w:autoSpaceDE/>
        <w:autoSpaceDN/>
        <w:bidi w:val="0"/>
        <w:spacing w:line="600" w:lineRule="exact"/>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11.企业至少有一套用于生产的染化料自动配液输送系统，即可认为有染化料自动配液输送系统。</w:t>
      </w:r>
    </w:p>
    <w:p>
      <w:pPr>
        <w:keepNext w:val="0"/>
        <w:keepLines w:val="0"/>
        <w:pageBreakBefore w:val="0"/>
        <w:kinsoku/>
        <w:wordWrap/>
        <w:overflowPunct/>
        <w:topLinePunct w:val="0"/>
        <w:autoSpaceDE/>
        <w:autoSpaceDN/>
        <w:bidi w:val="0"/>
        <w:spacing w:line="600" w:lineRule="exact"/>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12.附件1附表三中的“无搬迁计划”，指截止到申报时，企业没有自主搬迁计划，也没有列入政府搬迁计划。</w:t>
      </w:r>
    </w:p>
    <w:p>
      <w:pPr>
        <w:keepNext w:val="0"/>
        <w:keepLines w:val="0"/>
        <w:pageBreakBefore w:val="0"/>
        <w:kinsoku/>
        <w:wordWrap/>
        <w:overflowPunct/>
        <w:topLinePunct w:val="0"/>
        <w:autoSpaceDE/>
        <w:autoSpaceDN/>
        <w:bidi w:val="0"/>
        <w:spacing w:line="600" w:lineRule="exact"/>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    二、申请公告企业需提交的证明材料</w:t>
      </w:r>
    </w:p>
    <w:p>
      <w:pPr>
        <w:keepNext w:val="0"/>
        <w:keepLines w:val="0"/>
        <w:pageBreakBefore w:val="0"/>
        <w:kinsoku/>
        <w:wordWrap/>
        <w:overflowPunct/>
        <w:topLinePunct w:val="0"/>
        <w:autoSpaceDE/>
        <w:autoSpaceDN/>
        <w:bidi w:val="0"/>
        <w:spacing w:line="600" w:lineRule="exact"/>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证明材料应分类整理、加注编号、编制目录，同一类别的证明材料应按时间顺序排列。</w:t>
      </w:r>
    </w:p>
    <w:p>
      <w:pPr>
        <w:keepNext w:val="0"/>
        <w:keepLines w:val="0"/>
        <w:pageBreakBefore w:val="0"/>
        <w:kinsoku/>
        <w:wordWrap/>
        <w:overflowPunct/>
        <w:topLinePunct w:val="0"/>
        <w:autoSpaceDE/>
        <w:autoSpaceDN/>
        <w:bidi w:val="0"/>
        <w:spacing w:line="600" w:lineRule="exact"/>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1.营业执照、质量管理体系认证、环保体系认证等复印件。</w:t>
      </w:r>
    </w:p>
    <w:p>
      <w:pPr>
        <w:keepNext w:val="0"/>
        <w:keepLines w:val="0"/>
        <w:pageBreakBefore w:val="0"/>
        <w:kinsoku/>
        <w:wordWrap/>
        <w:overflowPunct/>
        <w:topLinePunct w:val="0"/>
        <w:autoSpaceDE/>
        <w:autoSpaceDN/>
        <w:bidi w:val="0"/>
        <w:spacing w:line="600" w:lineRule="exact"/>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2.水重复利用设施及其效果的说明，水重复利用率数据的详细计算过程。</w:t>
      </w:r>
    </w:p>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 xml:space="preserve">    3.</w:t>
      </w:r>
      <w:r>
        <w:rPr>
          <w:rFonts w:hint="default" w:ascii="Times New Roman" w:hAnsi="Times New Roman" w:eastAsia="仿宋_GB2312" w:cs="Times New Roman"/>
          <w:color w:val="auto"/>
          <w:kern w:val="0"/>
          <w:sz w:val="32"/>
          <w:szCs w:val="32"/>
          <w:highlight w:val="none"/>
        </w:rPr>
        <w:t>环境影响评价审批和验收审查相关文件。</w:t>
      </w:r>
    </w:p>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 xml:space="preserve">    4.排污许可证复印件和副本设备清单。设备清单与环评不一致，但符合《纺织印染建设项目重大变动清单》规定的应提供相关情况说明。</w:t>
      </w:r>
    </w:p>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 xml:space="preserve">    5.固体废弃物综合利用和处置合同，处置单位资质，危险废物转移联单，危险废物转移许可文件，危废处置合同等。</w:t>
      </w:r>
    </w:p>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 xml:space="preserve">    6.三级用能用水计量管理的考核制度文件，三级能源、水资源台账。</w:t>
      </w:r>
    </w:p>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 xml:space="preserve">    7.</w:t>
      </w:r>
      <w:r>
        <w:rPr>
          <w:rFonts w:hint="default" w:ascii="Times New Roman" w:hAnsi="Times New Roman" w:eastAsia="仿宋_GB2312" w:cs="Times New Roman"/>
          <w:color w:val="auto"/>
          <w:sz w:val="32"/>
          <w:szCs w:val="32"/>
          <w:highlight w:val="none"/>
        </w:rPr>
        <w:t>环境管理制度及应急体系建设文件、安全生产管理制度文件</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 xml:space="preserve">    8.清洁生产审核相关材料。</w:t>
      </w:r>
    </w:p>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 xml:space="preserve">    9.能证明《企业符合规范条件情况自查表》所填情况属实的其他材料。</w:t>
      </w:r>
    </w:p>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 xml:space="preserve">    10.其他相关证明材料。</w:t>
      </w: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cs="Times New Roman"/>
          <w:color w:val="auto"/>
          <w:highlight w:val="none"/>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Bdr>
        <w:between w:val="none" w:color="auto" w:sz="0" w:space="0"/>
      </w:pBdr>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7A8F"/>
    <w:rsid w:val="0001494B"/>
    <w:rsid w:val="001027CE"/>
    <w:rsid w:val="00296E57"/>
    <w:rsid w:val="003D1A93"/>
    <w:rsid w:val="00435823"/>
    <w:rsid w:val="00441C8C"/>
    <w:rsid w:val="005265D6"/>
    <w:rsid w:val="005355BA"/>
    <w:rsid w:val="005C72FF"/>
    <w:rsid w:val="005E7702"/>
    <w:rsid w:val="007678DD"/>
    <w:rsid w:val="007E257A"/>
    <w:rsid w:val="00837F74"/>
    <w:rsid w:val="008602D9"/>
    <w:rsid w:val="009A7A8F"/>
    <w:rsid w:val="00A443F9"/>
    <w:rsid w:val="00AC5509"/>
    <w:rsid w:val="00B5158D"/>
    <w:rsid w:val="00BB0853"/>
    <w:rsid w:val="00C60537"/>
    <w:rsid w:val="00E27D14"/>
    <w:rsid w:val="00EB6A81"/>
    <w:rsid w:val="563BA90E"/>
    <w:rsid w:val="5F67A310"/>
    <w:rsid w:val="5FFFFE39"/>
    <w:rsid w:val="6FF76484"/>
    <w:rsid w:val="7DDEE628"/>
    <w:rsid w:val="BDB99762"/>
    <w:rsid w:val="D46B3836"/>
    <w:rsid w:val="DFDE62B4"/>
    <w:rsid w:val="F9FFF87D"/>
    <w:rsid w:val="FBA5D12A"/>
    <w:rsid w:val="FD7761F4"/>
    <w:rsid w:val="FEBB5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semiHidden/>
    <w:unhideWhenUsed/>
    <w:uiPriority w:val="99"/>
    <w:pPr>
      <w:spacing w:after="120" w:afterLines="0" w:afterAutospacing="0"/>
    </w:p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paragraph" w:customStyle="1" w:styleId="9">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215</Words>
  <Characters>1230</Characters>
  <Lines>10</Lines>
  <Paragraphs>2</Paragraphs>
  <TotalTime>4</TotalTime>
  <ScaleCrop>false</ScaleCrop>
  <LinksUpToDate>false</LinksUpToDate>
  <CharactersWithSpaces>1443</CharactersWithSpaces>
  <Application>WPS Office_10.1.0.7411_F1E327BC-269C-435d-A152-05C5408002CA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2024-01-27T08:32:00Z</dcterms:created>
  <dc:creator>NTKO</dc:creator>
  <cp:lastModifiedBy>陈轩</cp:lastModifiedBy>
  <cp:lastPrinted>2024-02-01T01:56:00Z</cp:lastPrinted>
  <dcterms:modified xsi:type="dcterms:W3CDTF">2024-02-23T09:01:38Z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2052-10.1.0.7411</vt:lpwstr>
  </property>
</Properties>
</file>