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1" w:hanging="1"/>
        <w:jc w:val="left"/>
        <w:rPr>
          <w:rFonts w:hint="default" w:ascii="黑体" w:hAnsi="黑体" w:eastAsia="黑体" w:cs="黑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出口防疫物资知识产权参考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为支持全球抗击疫情，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防范知识产权风险，本参考指南就常见的专利和商标的风险点进行梳理，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</w:t>
      </w:r>
      <w:r>
        <w:rPr>
          <w:rFonts w:ascii="Times New Roman" w:hAnsi="Times New Roman" w:eastAsia="仿宋_GB2312" w:cs="Times New Roman"/>
          <w:sz w:val="32"/>
          <w:szCs w:val="32"/>
        </w:rPr>
        <w:t>仅作为信息资料供参考，不作为法律依据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numPr>
          <w:ilvl w:val="0"/>
          <w:numId w:val="1"/>
        </w:numPr>
        <w:ind w:firstLineChars="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出口产品的专利风险防范</w:t>
      </w:r>
    </w:p>
    <w:p>
      <w:pPr>
        <w:ind w:left="-67" w:leftChars="-32"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医用口罩、防护服、护目镜、呼吸机、红外测温仪等产品布局有大量的国内外专利。由于知识产权具有可追溯性，产品一旦出口销售，会有潜在的专利侵权风险，因此建议企业通过以下操作妥善应对。</w:t>
      </w:r>
    </w:p>
    <w:p>
      <w:pPr>
        <w:pStyle w:val="10"/>
        <w:spacing w:before="0" w:beforeAutospacing="0" w:after="0" w:afterAutospacing="0"/>
        <w:ind w:firstLine="482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（一）构建知识产权风险防范方案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可对照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2018年颁布的《企业境外经营合规管理指引》的要求，构建知识产权风险管理组织架构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、知识产权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等，做好知识产权风险防御应对预案，预案中应对出口目标国所在的知识产权环境、权利人的布局和维权状况做好知识产权侵权预警分析，进行规避设计或及时获得权利人的专利许可,避免诉讼风险。</w:t>
      </w:r>
    </w:p>
    <w:p>
      <w:pPr>
        <w:pStyle w:val="10"/>
        <w:spacing w:before="0" w:beforeAutospacing="0" w:after="0" w:afterAutospacing="0"/>
        <w:ind w:firstLine="482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（二）及时申请专利或进行规避设计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产品研制或试生产过程中，可通过查询新冠肺炎防疫专利信息共享平台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（http://ncp.patentstar.com.cn）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委托第三方机构进行专利检索。对创新技术或规避设计技术进行专利申请的，可借助国家知识产权局新冠疫情专利申请的“绿色通道”，加快专利审查进度。同时，需要注意的是，疫情期间，各国知识产权局陆续针对专利商标事务发布了临时性调整政策，要紧密跟踪相关工作动态调整申请流程，以免贻误专利申请。</w:t>
      </w:r>
    </w:p>
    <w:p>
      <w:pPr>
        <w:pStyle w:val="10"/>
        <w:spacing w:before="0" w:beforeAutospacing="0" w:after="0" w:afterAutospacing="0"/>
        <w:ind w:firstLine="482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（三）积极获得专利权人的专利许可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出口产品是代工产品，需要遵守与委托方的约定，不在出口范围的，要重新签署协议，避免在国外遭受知识产权侵权纠纷。有生产资质的企业还未获得专利权人许可的，或超出许可约定的地域范围进行销售的，应与相关专利权人进行协商获得相关许可，或与委托方达成新的销售协议。</w:t>
      </w:r>
    </w:p>
    <w:p>
      <w:pPr>
        <w:pStyle w:val="10"/>
        <w:spacing w:before="0" w:beforeAutospacing="0" w:after="0" w:afterAutospacing="0"/>
        <w:ind w:firstLine="482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（四）梳理专利风险点并做好应对</w:t>
      </w:r>
    </w:p>
    <w:p>
      <w:pPr>
        <w:autoSpaceDE w:val="0"/>
        <w:autoSpaceDN w:val="0"/>
        <w:adjustRightInd w:val="0"/>
        <w:ind w:firstLine="480" w:firstLineChars="1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起专利诉讼的原告主体有三类，一是既有技术也做制造的企业，二是只研发并通过收取专利许可使用费而获得回报的研究机构，三是既不研发也不制造，但通过收购专利并采取诉讼等形式收取许可费或者和解金的原告。针对不同的诉讼主体要依托第三方法律机构做好应对方案，特别是要对专利的有效性进行评估，针对第一类可考虑进行交叉许可，后两类可考虑通过谈判来达成和解。需要特别注意的是，根据不同国家的法律规定，企业主要负责人也可能需要承担相关责任，所以要做好积极应对。</w:t>
      </w:r>
    </w:p>
    <w:p>
      <w:pPr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二、出口产品的商标风险规避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（一）不得恶意注册相关商标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国家知识产权局商标局制定的《疫情防控相关商标审查指导意见》，不得申请与疫情相关人员姓名、含疫情病毒名或疾病名的相关标志、疫情相关药品标志、防护产品相关标志及其他疫情相关标志等易产生不良影响的商标。同时在对外出口中，也要遵从出口目标国的商标注册要求，以及与疫情相关的政策意见，不要借助疫情恶意注册相关商标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（二）不得生产销售假冒混淆产品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在生产经营中，不得生产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无生产日期、厂名厂址、产品质量合格证明等“三无”产品以及冒用认证标志产品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480" w:firstLineChars="15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在产品销售中，不能仿冒混淆、侵犯已有产品的商标权，如是国外品牌的代工方，不得超过合同范围将其商标进行更换销售，如有超范围销售需重新签订合同。</w:t>
      </w:r>
    </w:p>
    <w:p>
      <w:pPr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三、其他注意事项</w:t>
      </w:r>
    </w:p>
    <w:p>
      <w:pPr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1.知识产权问题复杂，本指南并不能预见实践中的所有风险点，遇到相应纠纷应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及时向知识产权管理部门、行业协会、知识产权专业机构反映问题、寻求帮助。</w:t>
      </w:r>
    </w:p>
    <w:p>
      <w:pPr>
        <w:widowControl/>
        <w:shd w:val="clear" w:color="auto" w:fill="FFFFFF"/>
        <w:ind w:firstLine="482" w:firstLineChars="1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国外政府允许中国相关标准产品进入，但并未承诺对知识产权相关权利进行豁免，因此产品出口仍要根据此指南进行风险梳理，并加强应对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信息来源：中国信息通信研究院  联系电话：010—62304212</w:t>
      </w:r>
    </w:p>
    <w:p>
      <w:pPr>
        <w:widowControl/>
        <w:shd w:val="clear" w:color="auto" w:fill="FFFFFF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风险点防控表</w:t>
      </w:r>
    </w:p>
    <w:tbl>
      <w:tblPr>
        <w:tblStyle w:val="17"/>
        <w:tblW w:w="9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74"/>
        <w:gridCol w:w="979"/>
        <w:gridCol w:w="2448"/>
        <w:gridCol w:w="2115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风险类别</w:t>
            </w:r>
          </w:p>
        </w:tc>
        <w:tc>
          <w:tcPr>
            <w:tcW w:w="97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风险点</w:t>
            </w:r>
          </w:p>
        </w:tc>
        <w:tc>
          <w:tcPr>
            <w:tcW w:w="244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风险描述</w:t>
            </w:r>
          </w:p>
        </w:tc>
        <w:tc>
          <w:tcPr>
            <w:tcW w:w="211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规避建议</w:t>
            </w:r>
          </w:p>
        </w:tc>
        <w:tc>
          <w:tcPr>
            <w:tcW w:w="296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" w:type="dxa"/>
            <w:vMerge w:val="restart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979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恶意诋毁商业信誉风险</w:t>
            </w:r>
          </w:p>
        </w:tc>
        <w:tc>
          <w:tcPr>
            <w:tcW w:w="244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恶意指责中国企业生产的产品没有得到专利权人授权。</w:t>
            </w:r>
          </w:p>
        </w:tc>
        <w:tc>
          <w:tcPr>
            <w:tcW w:w="2115" w:type="dxa"/>
          </w:tcPr>
          <w:p>
            <w:pPr>
              <w:pStyle w:val="1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 w:firstLine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构建知识产权风险防范预案；</w:t>
            </w:r>
          </w:p>
          <w:p>
            <w:pPr>
              <w:pStyle w:val="1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收集证据。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</w:tcPr>
          <w:p>
            <w:pPr>
              <w:pStyle w:val="18"/>
              <w:widowControl/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1.美国：《统一商业秘密法》、《反垄断法》、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《药品价格竞争和专利期限恢复法案》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（又称《哈奇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-维克斯曼法案》（Hatch-Waxman Act）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（针对仿制药）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8"/>
              <w:widowControl/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2.欧盟：《欧盟欧洲专利公约》、《欧盟欧洲专利审查指南》等。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" w:type="dxa"/>
            <w:vMerge w:val="continue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法院诉讼风险</w:t>
            </w:r>
          </w:p>
        </w:tc>
        <w:tc>
          <w:tcPr>
            <w:tcW w:w="244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在海外，对中国产品提起专利诉讼。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企业的主要负责人有可能会面临刑事处罚。</w:t>
            </w:r>
          </w:p>
        </w:tc>
        <w:tc>
          <w:tcPr>
            <w:tcW w:w="2115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建立自有专利数据库，关注同行业同领域相关专利申请授权情况，积极申请专利；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2.针对不同原告构建不同的应对方案；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3.充分利用各种渠道和资源提供抵抗专利风险的能力。</w:t>
            </w:r>
          </w:p>
        </w:tc>
        <w:tc>
          <w:tcPr>
            <w:tcW w:w="2965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1.美国：《美国专利法》、《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美国专利实施细则》、《专利审查程序手册》、《美国外观设计申请指南》、《美国计算机相关发明的审查指南》等；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2.欧盟：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《欧盟欧洲专利公约》、《欧盟欧洲专利审查指南》等；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3.法国：《民法典》、《知识产权法典》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4.英国：《英国专利法》、《英国专利规则2007》、《英国专利实践指南》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460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4" w:type="dxa"/>
            <w:vMerge w:val="continue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美国行政调查（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）风险</w:t>
            </w:r>
          </w:p>
        </w:tc>
        <w:tc>
          <w:tcPr>
            <w:tcW w:w="244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向美国出口的产品及设计侵犯美国的专利和商标，其所有人就可依据该条，向美国国际贸易委员会（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ITC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）申请保护自己的权利。</w:t>
            </w:r>
          </w:p>
        </w:tc>
        <w:tc>
          <w:tcPr>
            <w:tcW w:w="2115" w:type="dxa"/>
          </w:tcPr>
          <w:p>
            <w:pPr>
              <w:pStyle w:val="18"/>
              <w:widowControl/>
              <w:numPr>
                <w:ilvl w:val="0"/>
                <w:numId w:val="3"/>
              </w:numPr>
              <w:ind w:firstLine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积极应诉；</w:t>
            </w:r>
          </w:p>
          <w:p>
            <w:pPr>
              <w:pStyle w:val="18"/>
              <w:widowControl/>
              <w:numPr>
                <w:ilvl w:val="0"/>
                <w:numId w:val="3"/>
              </w:numPr>
              <w:ind w:firstLine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争取和解。</w:t>
            </w:r>
          </w:p>
        </w:tc>
        <w:tc>
          <w:tcPr>
            <w:tcW w:w="2965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1.美国：《1930年关税法》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、《美国专利法》、《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美国专利实施细则》、《专利审查程序手册》、《美国外观设计申请指南》、《美国计算机相关发明的审查指南》等。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460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979" w:type="dxa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商标假冒风险</w:t>
            </w:r>
          </w:p>
        </w:tc>
        <w:tc>
          <w:tcPr>
            <w:tcW w:w="2448" w:type="dxa"/>
          </w:tcPr>
          <w:p>
            <w:pPr>
              <w:widowControl/>
              <w:shd w:val="clear" w:color="auto" w:fill="FFFFFF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1.代工产品没有按照合同约定进行超范围销售；</w:t>
            </w:r>
          </w:p>
          <w:p>
            <w:pPr>
              <w:widowControl/>
              <w:shd w:val="clear" w:color="auto" w:fill="FFFFFF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2.仿冒混淆、侵犯已有产品的商标权。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widowControl/>
              <w:shd w:val="clear" w:color="auto" w:fill="FFFFFF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不得仿冒混淆、侵犯已有产品的商标权，如是国外品牌的代工方，不得超过合同范围将其商标进行更换销售。</w:t>
            </w:r>
          </w:p>
        </w:tc>
        <w:tc>
          <w:tcPr>
            <w:tcW w:w="2965" w:type="dxa"/>
          </w:tcPr>
          <w:p>
            <w:pPr>
              <w:pStyle w:val="18"/>
              <w:widowControl/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1.美国：《美国商标法》、《反垄断法》等；</w:t>
            </w:r>
          </w:p>
          <w:p>
            <w:pPr>
              <w:pStyle w:val="18"/>
              <w:widowControl/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2.《欧盟商标法》、《欧盟欧共体外国设计法》等；</w:t>
            </w:r>
          </w:p>
          <w:p>
            <w:pPr>
              <w:pStyle w:val="18"/>
              <w:widowControl/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3.法国：《关于打击假冒的第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2007-1544号法》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</w:tbl>
    <w:p>
      <w:pPr>
        <w:widowControl/>
        <w:shd w:val="clear" w:color="auto" w:fill="FFFFFF"/>
        <w:jc w:val="left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注：各国法律法规情况可参考国家知识产权局智南针网站：</w:t>
      </w:r>
      <w:r>
        <w:fldChar w:fldCharType="begin"/>
      </w:r>
      <w:r>
        <w:instrText xml:space="preserve"> HYPERLINK "https://www.worldip.cn" </w:instrText>
      </w:r>
      <w:r>
        <w:fldChar w:fldCharType="separate"/>
      </w:r>
      <w:r>
        <w:rPr>
          <w:rStyle w:val="14"/>
          <w:rFonts w:ascii="仿宋_GB2312" w:hAnsi="仿宋_GB2312" w:eastAsia="仿宋_GB2312" w:cs="仿宋_GB2312"/>
          <w:sz w:val="24"/>
          <w:szCs w:val="24"/>
        </w:rPr>
        <w:t>https://www.worldip.cn</w:t>
      </w:r>
      <w:r>
        <w:rPr>
          <w:rStyle w:val="14"/>
          <w:rFonts w:ascii="仿宋_GB2312" w:hAnsi="仿宋_GB2312" w:eastAsia="仿宋_GB2312" w:cs="仿宋_GB2312"/>
          <w:sz w:val="24"/>
          <w:szCs w:val="24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993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FF"/>
    <w:rsid w:val="0029209A"/>
    <w:rsid w:val="00C84256"/>
    <w:rsid w:val="00FB3EFF"/>
    <w:rsid w:val="0D072DFD"/>
    <w:rsid w:val="183D0C5E"/>
    <w:rsid w:val="1C8453DB"/>
    <w:rsid w:val="2A406C93"/>
    <w:rsid w:val="2A67697A"/>
    <w:rsid w:val="2BB27896"/>
    <w:rsid w:val="31B347FC"/>
    <w:rsid w:val="323C620B"/>
    <w:rsid w:val="379B3E20"/>
    <w:rsid w:val="3BBD5DC2"/>
    <w:rsid w:val="4C4365F7"/>
    <w:rsid w:val="53380969"/>
    <w:rsid w:val="57DF7F4A"/>
    <w:rsid w:val="671B4746"/>
    <w:rsid w:val="693A4C24"/>
    <w:rsid w:val="6D436468"/>
    <w:rsid w:val="73533129"/>
    <w:rsid w:val="761D7AE4"/>
    <w:rsid w:val="787F3757"/>
    <w:rsid w:val="7B036427"/>
    <w:rsid w:val="7B395539"/>
    <w:rsid w:val="7E224C91"/>
    <w:rsid w:val="7F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5">
    <w:name w:val="annotation subject"/>
    <w:basedOn w:val="6"/>
    <w:next w:val="6"/>
    <w:link w:val="24"/>
    <w:qFormat/>
    <w:uiPriority w:val="99"/>
    <w:rPr>
      <w:b/>
      <w:bCs/>
    </w:rPr>
  </w:style>
  <w:style w:type="paragraph" w:styleId="6">
    <w:name w:val="annotation text"/>
    <w:basedOn w:val="1"/>
    <w:link w:val="23"/>
    <w:qFormat/>
    <w:uiPriority w:val="99"/>
    <w:rPr>
      <w:sz w:val="20"/>
      <w:szCs w:val="20"/>
    </w:rPr>
  </w:style>
  <w:style w:type="paragraph" w:styleId="7">
    <w:name w:val="Balloon Text"/>
    <w:basedOn w:val="1"/>
    <w:link w:val="22"/>
    <w:qFormat/>
    <w:uiPriority w:val="99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99"/>
    <w:rPr>
      <w:sz w:val="16"/>
      <w:szCs w:val="1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22">
    <w:name w:val="批注框文本 Char"/>
    <w:basedOn w:val="11"/>
    <w:link w:val="7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3">
    <w:name w:val="批注文字 Char"/>
    <w:basedOn w:val="11"/>
    <w:link w:val="6"/>
    <w:qFormat/>
    <w:uiPriority w:val="99"/>
    <w:rPr>
      <w:kern w:val="2"/>
    </w:rPr>
  </w:style>
  <w:style w:type="character" w:customStyle="1" w:styleId="24">
    <w:name w:val="批注主题 Char"/>
    <w:basedOn w:val="23"/>
    <w:link w:val="5"/>
    <w:qFormat/>
    <w:uiPriority w:val="99"/>
    <w:rPr>
      <w:b/>
      <w:bCs/>
      <w:kern w:val="2"/>
    </w:rPr>
  </w:style>
  <w:style w:type="character" w:customStyle="1" w:styleId="25">
    <w:name w:val="标题 2 Char"/>
    <w:basedOn w:val="11"/>
    <w:link w:val="3"/>
    <w:qFormat/>
    <w:uiPriority w:val="9"/>
    <w:rPr>
      <w:rFonts w:ascii="Calibri Light" w:hAnsi="Calibri Light" w:eastAsia="宋体" w:cs="宋体"/>
      <w:b/>
      <w:bCs/>
      <w:kern w:val="2"/>
      <w:sz w:val="32"/>
      <w:szCs w:val="32"/>
    </w:rPr>
  </w:style>
  <w:style w:type="character" w:customStyle="1" w:styleId="2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3E343-0BAD-43D5-960A-7C7A445A7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2347</Characters>
  <Lines>19</Lines>
  <Paragraphs>5</Paragraphs>
  <TotalTime>1</TotalTime>
  <ScaleCrop>false</ScaleCrop>
  <LinksUpToDate>false</LinksUpToDate>
  <CharactersWithSpaces>2753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2020-04-21T13:45:00Z</dcterms:created>
  <dc:creator>毕春丽</dc:creator>
  <cp:lastModifiedBy>Admin</cp:lastModifiedBy>
  <cp:lastPrinted>2020-04-26T02:09:00Z</cp:lastPrinted>
  <dcterms:modified xsi:type="dcterms:W3CDTF">2020-04-27T06:49:01Z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