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 w:leftChars="-1" w:hanging="1"/>
        <w:jc w:val="left"/>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附件3</w:t>
      </w:r>
    </w:p>
    <w:p>
      <w:pPr>
        <w:jc w:val="both"/>
        <w:rPr>
          <w:rFonts w:hint="eastAsia" w:ascii="黑体" w:hAnsi="黑体" w:eastAsia="黑体" w:cs="黑体"/>
          <w:bCs/>
          <w:color w:val="000000"/>
          <w:sz w:val="36"/>
          <w:szCs w:val="36"/>
        </w:rPr>
      </w:pPr>
    </w:p>
    <w:p>
      <w:pPr>
        <w:jc w:val="center"/>
        <w:rPr>
          <w:rFonts w:ascii="楷体_GB2312" w:hAnsi="楷体_GB2312" w:eastAsia="楷体_GB2312" w:cs="楷体_GB2312"/>
          <w:color w:val="000000"/>
          <w:sz w:val="32"/>
          <w:szCs w:val="32"/>
        </w:rPr>
      </w:pPr>
      <w:r>
        <w:rPr>
          <w:rFonts w:hint="eastAsia" w:ascii="黑体" w:hAnsi="黑体" w:eastAsia="黑体" w:cs="黑体"/>
          <w:bCs/>
          <w:color w:val="000000"/>
          <w:sz w:val="36"/>
          <w:szCs w:val="36"/>
        </w:rPr>
        <w:t>出口防疫物资</w:t>
      </w:r>
      <w:r>
        <w:rPr>
          <w:rFonts w:hint="eastAsia" w:ascii="黑体" w:hAnsi="黑体" w:eastAsia="黑体" w:cs="黑体"/>
          <w:bCs/>
          <w:color w:val="000000"/>
          <w:sz w:val="36"/>
          <w:szCs w:val="36"/>
          <w:lang w:eastAsia="zh-CN"/>
        </w:rPr>
        <w:t>产品责任</w:t>
      </w:r>
      <w:r>
        <w:rPr>
          <w:rFonts w:hint="eastAsia" w:ascii="黑体" w:hAnsi="黑体" w:eastAsia="黑体" w:cs="黑体"/>
          <w:bCs/>
          <w:color w:val="000000"/>
          <w:sz w:val="36"/>
          <w:szCs w:val="36"/>
        </w:rPr>
        <w:t>法律</w:t>
      </w:r>
      <w:r>
        <w:rPr>
          <w:rFonts w:hint="eastAsia" w:ascii="黑体" w:hAnsi="黑体" w:eastAsia="黑体" w:cs="黑体"/>
          <w:bCs/>
          <w:color w:val="000000"/>
          <w:sz w:val="36"/>
          <w:szCs w:val="36"/>
          <w:lang w:eastAsia="zh-CN"/>
        </w:rPr>
        <w:t>参考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本指南梳理了部分国家及地区产品责任相关法律及规定，重点对美国产品责任类型及法律风险进行了提示。本指南仅作为参考信息，不作为法律依据。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ascii="黑体" w:hAnsi="黑体" w:eastAsia="黑体"/>
          <w:sz w:val="32"/>
          <w:szCs w:val="32"/>
        </w:rPr>
      </w:pPr>
      <w:r>
        <w:rPr>
          <w:rFonts w:hint="eastAsia" w:ascii="黑体" w:hAnsi="黑体" w:eastAsia="黑体"/>
          <w:sz w:val="32"/>
          <w:szCs w:val="32"/>
        </w:rPr>
        <w:t>一、国内相关法律及规定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根据我国法律，我国企业应遵守《</w:t>
      </w:r>
      <w:r>
        <w:rPr>
          <w:rFonts w:hint="eastAsia" w:ascii="仿宋" w:hAnsi="仿宋" w:eastAsia="仿宋"/>
          <w:sz w:val="32"/>
          <w:szCs w:val="32"/>
          <w:lang w:eastAsia="zh-CN"/>
        </w:rPr>
        <w:t>标准化</w:t>
      </w:r>
      <w:r>
        <w:rPr>
          <w:rFonts w:hint="eastAsia" w:ascii="仿宋" w:hAnsi="仿宋" w:eastAsia="仿宋"/>
          <w:sz w:val="32"/>
          <w:szCs w:val="32"/>
        </w:rPr>
        <w:t>法》《产品质量法》《合同法》《侵权责任法》等法律规定，依法依规按照质量标准生产经营,</w:t>
      </w:r>
      <w:r>
        <w:rPr>
          <w:rFonts w:hint="eastAsia" w:ascii="仿宋" w:hAnsi="仿宋" w:eastAsia="仿宋"/>
          <w:sz w:val="32"/>
          <w:szCs w:val="32"/>
          <w:lang w:eastAsia="zh-CN"/>
        </w:rPr>
        <w:t>不符合强制性标准的产品不得生产、销售或提供，</w:t>
      </w:r>
      <w:r>
        <w:rPr>
          <w:rFonts w:hint="eastAsia" w:ascii="仿宋" w:hAnsi="仿宋" w:eastAsia="仿宋"/>
          <w:sz w:val="32"/>
          <w:szCs w:val="32"/>
        </w:rPr>
        <w:t>因产品存在缺陷造成人身、财产损害的需承担赔偿责任。防疫物资生产企业，应按照《医疗器械监督管理条例》《医疗器械生产监督管理办法》等相关规定，具备生产资质，取得《医疗器械生产许可证》或办理医疗器械生产备案。用于出口的防疫医疗产品应符合进口国（地区）的要求</w:t>
      </w:r>
      <w:r>
        <w:rPr>
          <w:rFonts w:hint="eastAsia" w:ascii="仿宋" w:hAnsi="仿宋" w:eastAsia="仿宋"/>
          <w:sz w:val="32"/>
          <w:szCs w:val="32"/>
          <w:lang w:eastAsia="zh-CN"/>
        </w:rPr>
        <w:t>。</w:t>
      </w:r>
      <w:r>
        <w:rPr>
          <w:rFonts w:hint="eastAsia" w:ascii="仿宋" w:hAnsi="仿宋" w:eastAsia="仿宋"/>
          <w:sz w:val="32"/>
          <w:szCs w:val="32"/>
        </w:rPr>
        <w:t>出口新型冠状病毒检测试剂、医用口罩、医用防护服、呼吸机、红外体温计5类产品，应</w:t>
      </w:r>
      <w:r>
        <w:rPr>
          <w:rFonts w:hint="eastAsia" w:ascii="仿宋" w:hAnsi="仿宋" w:eastAsia="仿宋"/>
          <w:sz w:val="32"/>
          <w:szCs w:val="32"/>
          <w:lang w:eastAsia="zh-CN"/>
        </w:rPr>
        <w:t>遵守商务部、海关总署等部门</w:t>
      </w:r>
      <w:r>
        <w:rPr>
          <w:rFonts w:hint="eastAsia" w:ascii="仿宋" w:hAnsi="仿宋" w:eastAsia="仿宋"/>
          <w:sz w:val="32"/>
          <w:szCs w:val="32"/>
        </w:rPr>
        <w:t>《关于有序开展医疗物资出口的公告》（2020年第5号）</w:t>
      </w:r>
      <w:r>
        <w:rPr>
          <w:rFonts w:hint="eastAsia" w:ascii="仿宋" w:hAnsi="仿宋" w:eastAsia="仿宋"/>
          <w:sz w:val="32"/>
          <w:szCs w:val="32"/>
          <w:lang w:eastAsia="zh-CN"/>
        </w:rPr>
        <w:t>、《关于进一步</w:t>
      </w:r>
      <w:r>
        <w:rPr>
          <w:rFonts w:hint="eastAsia" w:ascii="仿宋" w:hAnsi="仿宋" w:eastAsia="仿宋"/>
          <w:sz w:val="32"/>
          <w:szCs w:val="32"/>
        </w:rPr>
        <w:t>加强防疫物资出口质量监管的公告</w:t>
      </w:r>
      <w:r>
        <w:rPr>
          <w:rFonts w:hint="eastAsia" w:ascii="仿宋" w:hAnsi="仿宋" w:eastAsia="仿宋"/>
          <w:sz w:val="32"/>
          <w:szCs w:val="32"/>
          <w:lang w:eastAsia="zh-CN"/>
        </w:rPr>
        <w:t>》（</w:t>
      </w:r>
      <w:r>
        <w:rPr>
          <w:rFonts w:hint="eastAsia" w:ascii="仿宋" w:hAnsi="仿宋" w:eastAsia="仿宋"/>
          <w:sz w:val="32"/>
          <w:szCs w:val="32"/>
          <w:lang w:val="en-US" w:eastAsia="zh-CN"/>
        </w:rPr>
        <w:t>2020年第12号</w:t>
      </w:r>
      <w:r>
        <w:rPr>
          <w:rFonts w:hint="eastAsia" w:ascii="仿宋" w:hAnsi="仿宋" w:eastAsia="仿宋"/>
          <w:sz w:val="32"/>
          <w:szCs w:val="32"/>
          <w:lang w:eastAsia="zh-CN"/>
        </w:rPr>
        <w:t>）等相关规定</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ascii="黑体" w:hAnsi="黑体" w:eastAsia="黑体"/>
          <w:sz w:val="32"/>
          <w:szCs w:val="32"/>
        </w:rPr>
      </w:pPr>
      <w:r>
        <w:rPr>
          <w:rFonts w:hint="eastAsia" w:ascii="黑体" w:hAnsi="黑体" w:eastAsia="黑体"/>
          <w:sz w:val="32"/>
          <w:szCs w:val="32"/>
        </w:rPr>
        <w:t>二、美欧相关法律及规定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多数国家和地区对进口口罩等医疗器械有认证或者注册要求，国内生产商需按国外客户所在国家的相关要求提前进行</w:t>
      </w:r>
      <w:r>
        <w:rPr>
          <w:rFonts w:hint="eastAsia" w:ascii="仿宋" w:hAnsi="仿宋" w:eastAsia="仿宋"/>
          <w:sz w:val="32"/>
          <w:szCs w:val="32"/>
          <w:lang w:eastAsia="zh-CN"/>
        </w:rPr>
        <w:t>注册、</w:t>
      </w:r>
      <w:r>
        <w:rPr>
          <w:rFonts w:hint="eastAsia" w:ascii="仿宋" w:hAnsi="仿宋" w:eastAsia="仿宋"/>
          <w:sz w:val="32"/>
          <w:szCs w:val="32"/>
        </w:rPr>
        <w:t>认证</w:t>
      </w:r>
      <w:r>
        <w:rPr>
          <w:rFonts w:hint="eastAsia" w:ascii="仿宋" w:hAnsi="仿宋" w:eastAsia="仿宋"/>
          <w:sz w:val="32"/>
          <w:szCs w:val="32"/>
          <w:lang w:eastAsia="zh-CN"/>
        </w:rPr>
        <w:t>及加贴标识</w:t>
      </w:r>
      <w:r>
        <w:rPr>
          <w:rFonts w:hint="eastAsia" w:ascii="仿宋" w:hAnsi="仿宋" w:eastAsia="仿宋"/>
          <w:sz w:val="32"/>
          <w:szCs w:val="32"/>
        </w:rPr>
        <w:t>。如没有相关认证或发证机构非授权认证公告机构，可能作为假货或劣质品被海关扣押。具体规定可参考国家认监委网站《口罩等防疫用品出口欧盟及美国市场认证信息指南》等内容。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美国、欧盟产品责任法律通常适用严格责任原则，如我国企业出口或捐赠的医疗物资存在缺陷并造成损害，消费者可通过集</w:t>
      </w:r>
      <w:r>
        <w:rPr>
          <w:rFonts w:hint="eastAsia" w:ascii="仿宋" w:hAnsi="仿宋" w:eastAsia="仿宋"/>
          <w:sz w:val="32"/>
          <w:szCs w:val="32"/>
          <w:lang w:eastAsia="zh-CN"/>
        </w:rPr>
        <w:t>体</w:t>
      </w:r>
      <w:r>
        <w:rPr>
          <w:rFonts w:hint="eastAsia" w:ascii="仿宋" w:hAnsi="仿宋" w:eastAsia="仿宋"/>
          <w:sz w:val="32"/>
          <w:szCs w:val="32"/>
        </w:rPr>
        <w:t>诉讼对我国生产商提出索赔。美国是判例法国家，不存在统一的“美国产品责任法”，各州通过各自的判例确定个案中生产商的责任。美国产品责任通常分为严格责任、疏忽的责任、违反保证的责任三类。</w:t>
      </w:r>
      <w:r>
        <w:rPr>
          <w:rFonts w:hint="eastAsia" w:ascii="仿宋" w:hAnsi="仿宋" w:eastAsia="仿宋"/>
          <w:b/>
          <w:bCs/>
          <w:sz w:val="32"/>
          <w:szCs w:val="32"/>
        </w:rPr>
        <w:t>严格责任</w:t>
      </w:r>
      <w:r>
        <w:rPr>
          <w:rFonts w:hint="eastAsia" w:ascii="仿宋" w:hAnsi="仿宋" w:eastAsia="仿宋"/>
          <w:sz w:val="32"/>
          <w:szCs w:val="32"/>
        </w:rPr>
        <w:t>指生产商或供应商对使用者、消费者或其财产造成不合理危险的缺陷产品造成的伤害负责；</w:t>
      </w:r>
      <w:r>
        <w:rPr>
          <w:rFonts w:hint="eastAsia" w:ascii="仿宋" w:hAnsi="仿宋" w:eastAsia="仿宋"/>
          <w:b/>
          <w:bCs/>
          <w:sz w:val="32"/>
          <w:szCs w:val="32"/>
        </w:rPr>
        <w:t>疏忽的责任</w:t>
      </w:r>
      <w:r>
        <w:rPr>
          <w:rFonts w:hint="eastAsia" w:ascii="仿宋" w:hAnsi="仿宋" w:eastAsia="仿宋"/>
          <w:sz w:val="32"/>
          <w:szCs w:val="32"/>
        </w:rPr>
        <w:t>指生产商未尽注意义务来确保产品设计和制造的安全；</w:t>
      </w:r>
      <w:r>
        <w:rPr>
          <w:rFonts w:hint="eastAsia" w:ascii="仿宋" w:hAnsi="仿宋" w:eastAsia="仿宋"/>
          <w:b/>
          <w:bCs/>
          <w:sz w:val="32"/>
          <w:szCs w:val="32"/>
        </w:rPr>
        <w:t>违反保证的责任</w:t>
      </w:r>
      <w:r>
        <w:rPr>
          <w:rFonts w:hint="eastAsia" w:ascii="仿宋" w:hAnsi="仿宋" w:eastAsia="仿宋"/>
          <w:sz w:val="32"/>
          <w:szCs w:val="32"/>
        </w:rPr>
        <w:t>指违反保证条款或法律默示保证而造成伤害。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ascii="仿宋" w:hAnsi="仿宋" w:eastAsia="仿宋"/>
          <w:sz w:val="32"/>
          <w:szCs w:val="32"/>
        </w:rPr>
      </w:pPr>
      <w:r>
        <w:rPr>
          <w:rFonts w:hint="eastAsia" w:ascii="黑体" w:hAnsi="黑体" w:eastAsia="黑体"/>
          <w:sz w:val="32"/>
          <w:szCs w:val="32"/>
        </w:rPr>
        <w:t>三、签订国际贸易合同注意事项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sz w:val="32"/>
          <w:szCs w:val="32"/>
        </w:rPr>
      </w:pPr>
      <w:r>
        <w:rPr>
          <w:rFonts w:hint="eastAsia" w:ascii="仿宋" w:hAnsi="仿宋" w:eastAsia="仿宋"/>
          <w:b/>
          <w:bCs/>
          <w:sz w:val="32"/>
          <w:szCs w:val="32"/>
          <w:lang w:val="en-US" w:eastAsia="zh-CN"/>
        </w:rPr>
        <w:t>1.总体要求。</w:t>
      </w:r>
      <w:r>
        <w:rPr>
          <w:rFonts w:hint="eastAsia" w:ascii="仿宋" w:hAnsi="仿宋" w:eastAsia="仿宋"/>
          <w:sz w:val="32"/>
          <w:szCs w:val="32"/>
        </w:rPr>
        <w:t>向国外出口防疫医疗物资签订国际贸易合同时，应注意对出口方和进口方的权利、义务、责任进行详细约定。如没有约定或约定不清，可能面临极大的法律风险。</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sz w:val="32"/>
          <w:szCs w:val="32"/>
        </w:rPr>
      </w:pPr>
      <w:r>
        <w:rPr>
          <w:rFonts w:hint="eastAsia" w:ascii="仿宋" w:hAnsi="仿宋" w:eastAsia="仿宋"/>
          <w:b/>
          <w:bCs/>
          <w:sz w:val="32"/>
          <w:szCs w:val="32"/>
          <w:lang w:val="en-US" w:eastAsia="zh-CN"/>
        </w:rPr>
        <w:t>2.</w:t>
      </w:r>
      <w:r>
        <w:rPr>
          <w:rFonts w:hint="eastAsia" w:ascii="仿宋" w:hAnsi="仿宋" w:eastAsia="仿宋"/>
          <w:b/>
          <w:bCs/>
          <w:sz w:val="32"/>
          <w:szCs w:val="32"/>
        </w:rPr>
        <w:t>产品质量条款。</w:t>
      </w:r>
      <w:r>
        <w:rPr>
          <w:rFonts w:hint="eastAsia" w:ascii="仿宋" w:hAnsi="仿宋" w:eastAsia="仿宋"/>
          <w:sz w:val="32"/>
          <w:szCs w:val="32"/>
        </w:rPr>
        <w:t>出口方应确保出口的产品符合进口国家／地区的产品质量和认证要求。双方可在合同中明确产品适用的技术法规与标准名称、产品注册认证信息、因产品质量认证标准等问题产生的赔偿责任，以免产生争议。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sz w:val="32"/>
          <w:szCs w:val="32"/>
        </w:rPr>
      </w:pPr>
      <w:r>
        <w:rPr>
          <w:rFonts w:hint="eastAsia" w:ascii="仿宋" w:hAnsi="仿宋" w:eastAsia="仿宋"/>
          <w:b/>
          <w:bCs/>
          <w:sz w:val="32"/>
          <w:szCs w:val="32"/>
          <w:lang w:val="en-US" w:eastAsia="zh-CN"/>
        </w:rPr>
        <w:t>3.</w:t>
      </w:r>
      <w:r>
        <w:rPr>
          <w:rFonts w:hint="eastAsia" w:ascii="仿宋" w:hAnsi="仿宋" w:eastAsia="仿宋"/>
          <w:b/>
          <w:bCs/>
          <w:sz w:val="32"/>
          <w:szCs w:val="32"/>
        </w:rPr>
        <w:t>标明产品使用条款。</w:t>
      </w:r>
      <w:r>
        <w:rPr>
          <w:rFonts w:hint="eastAsia" w:ascii="仿宋" w:hAnsi="仿宋" w:eastAsia="仿宋"/>
          <w:sz w:val="32"/>
          <w:szCs w:val="32"/>
        </w:rPr>
        <w:t>合同中可对医疗用品的适用范围、正确的使用规范做出进行详细说明，或在产品外包装上书写清晰、详尽，避免使用不当致使产品使用效果减弱或达不到规定标准。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sz w:val="32"/>
          <w:szCs w:val="32"/>
        </w:rPr>
      </w:pPr>
      <w:r>
        <w:rPr>
          <w:rFonts w:hint="eastAsia" w:ascii="仿宋" w:hAnsi="仿宋" w:eastAsia="仿宋"/>
          <w:b/>
          <w:bCs/>
          <w:sz w:val="32"/>
          <w:szCs w:val="32"/>
          <w:lang w:val="en-US" w:eastAsia="zh-CN"/>
        </w:rPr>
        <w:t>4.</w:t>
      </w:r>
      <w:r>
        <w:rPr>
          <w:rFonts w:hint="eastAsia" w:ascii="仿宋" w:hAnsi="仿宋" w:eastAsia="仿宋"/>
          <w:b/>
          <w:bCs/>
          <w:sz w:val="32"/>
          <w:szCs w:val="32"/>
        </w:rPr>
        <w:t>运输和交付条款。</w:t>
      </w:r>
      <w:r>
        <w:rPr>
          <w:rFonts w:hint="eastAsia" w:ascii="仿宋" w:hAnsi="仿宋" w:eastAsia="仿宋"/>
          <w:sz w:val="32"/>
          <w:szCs w:val="32"/>
        </w:rPr>
        <w:t>受新冠疫情影响，各国减少或取消航班、加强出入境管制等措施，承担物流运输、清关等环节义务的合同一方将面临较大风险。</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sz w:val="32"/>
          <w:szCs w:val="32"/>
        </w:rPr>
      </w:pPr>
      <w:r>
        <w:rPr>
          <w:rFonts w:hint="eastAsia" w:ascii="仿宋" w:hAnsi="仿宋" w:eastAsia="仿宋"/>
          <w:b/>
          <w:bCs/>
          <w:sz w:val="32"/>
          <w:szCs w:val="32"/>
          <w:lang w:val="en-US" w:eastAsia="zh-CN"/>
        </w:rPr>
        <w:t>5.</w:t>
      </w:r>
      <w:r>
        <w:rPr>
          <w:rFonts w:hint="eastAsia" w:ascii="仿宋" w:hAnsi="仿宋" w:eastAsia="仿宋"/>
          <w:b/>
          <w:bCs/>
          <w:sz w:val="32"/>
          <w:szCs w:val="32"/>
        </w:rPr>
        <w:t>不可抗力条款。</w:t>
      </w:r>
      <w:r>
        <w:rPr>
          <w:rFonts w:hint="eastAsia" w:ascii="仿宋" w:hAnsi="仿宋" w:eastAsia="仿宋"/>
          <w:sz w:val="32"/>
          <w:szCs w:val="32"/>
        </w:rPr>
        <w:t>在合同中注意明确约定不可抗力条款，包括新冠疫情可否援引不可抗力条款。</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sz w:val="32"/>
          <w:szCs w:val="32"/>
        </w:rPr>
      </w:pPr>
      <w:r>
        <w:rPr>
          <w:rFonts w:hint="eastAsia" w:ascii="仿宋" w:hAnsi="仿宋" w:eastAsia="仿宋"/>
          <w:b/>
          <w:bCs/>
          <w:sz w:val="32"/>
          <w:szCs w:val="32"/>
          <w:lang w:val="en-US" w:eastAsia="zh-CN"/>
        </w:rPr>
        <w:t>6.</w:t>
      </w:r>
      <w:r>
        <w:rPr>
          <w:rFonts w:hint="eastAsia" w:ascii="仿宋" w:hAnsi="仿宋" w:eastAsia="仿宋"/>
          <w:b/>
          <w:bCs/>
          <w:sz w:val="32"/>
          <w:szCs w:val="32"/>
        </w:rPr>
        <w:t>法律适用条款</w:t>
      </w:r>
      <w:r>
        <w:rPr>
          <w:rFonts w:hint="eastAsia" w:ascii="仿宋" w:hAnsi="仿宋" w:eastAsia="仿宋"/>
          <w:b/>
          <w:bCs/>
          <w:sz w:val="32"/>
          <w:szCs w:val="32"/>
        </w:rPr>
        <w:tab/>
      </w:r>
      <w:r>
        <w:rPr>
          <w:rFonts w:hint="eastAsia" w:ascii="仿宋" w:hAnsi="仿宋" w:eastAsia="仿宋"/>
          <w:b/>
          <w:bCs/>
          <w:sz w:val="32"/>
          <w:szCs w:val="32"/>
        </w:rPr>
        <w:t>。</w:t>
      </w:r>
      <w:r>
        <w:rPr>
          <w:rFonts w:hint="eastAsia" w:ascii="仿宋" w:hAnsi="仿宋" w:eastAsia="仿宋"/>
          <w:sz w:val="32"/>
          <w:szCs w:val="32"/>
        </w:rPr>
        <w:t>合同签订时注意适用法律的选择；如未明确合同适用法律，按《中华人民共和国涉外民事关系法律适用法》,产品责任一般适用被侵权人经常居所地法律。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sz w:val="32"/>
          <w:szCs w:val="32"/>
        </w:rPr>
      </w:pPr>
      <w:r>
        <w:rPr>
          <w:rFonts w:hint="eastAsia" w:ascii="仿宋" w:hAnsi="仿宋" w:eastAsia="仿宋"/>
          <w:b/>
          <w:bCs/>
          <w:sz w:val="32"/>
          <w:szCs w:val="32"/>
          <w:lang w:val="en-US" w:eastAsia="zh-CN"/>
        </w:rPr>
        <w:t>7.</w:t>
      </w:r>
      <w:r>
        <w:rPr>
          <w:rFonts w:hint="eastAsia" w:ascii="仿宋" w:hAnsi="仿宋" w:eastAsia="仿宋"/>
          <w:b/>
          <w:bCs/>
          <w:sz w:val="32"/>
          <w:szCs w:val="32"/>
        </w:rPr>
        <w:t>争议解决条款</w:t>
      </w:r>
      <w:r>
        <w:rPr>
          <w:rFonts w:hint="eastAsia" w:ascii="仿宋" w:hAnsi="仿宋" w:eastAsia="仿宋"/>
          <w:b/>
          <w:bCs/>
          <w:sz w:val="32"/>
          <w:szCs w:val="32"/>
        </w:rPr>
        <w:tab/>
      </w:r>
      <w:r>
        <w:rPr>
          <w:rFonts w:hint="eastAsia" w:ascii="仿宋" w:hAnsi="仿宋" w:eastAsia="仿宋"/>
          <w:b/>
          <w:bCs/>
          <w:sz w:val="32"/>
          <w:szCs w:val="32"/>
        </w:rPr>
        <w:t>。</w:t>
      </w:r>
      <w:r>
        <w:rPr>
          <w:rFonts w:hint="eastAsia" w:ascii="仿宋" w:hAnsi="仿宋" w:eastAsia="仿宋"/>
          <w:sz w:val="32"/>
          <w:szCs w:val="32"/>
        </w:rPr>
        <w:t>在合同中事先约定明确的争议解决方式。如约定仲裁条款，宜明确仲裁语言、仲裁员人数、仲裁地点等。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ascii="黑体" w:hAnsi="黑体" w:eastAsia="黑体" w:cs="黑体"/>
          <w:bCs/>
          <w:color w:val="000000"/>
          <w:sz w:val="32"/>
          <w:szCs w:val="32"/>
        </w:rPr>
      </w:pPr>
      <w:r>
        <w:rPr>
          <w:rFonts w:hint="eastAsia" w:ascii="黑体" w:hAnsi="黑体" w:eastAsia="黑体" w:cs="黑体"/>
          <w:bCs/>
          <w:color w:val="000000"/>
          <w:sz w:val="32"/>
          <w:szCs w:val="32"/>
        </w:rPr>
        <w:t>四、其他注意事项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涉外法律</w:t>
      </w:r>
      <w:r>
        <w:rPr>
          <w:rFonts w:ascii="仿宋_GB2312" w:hAnsi="仿宋_GB2312" w:eastAsia="仿宋_GB2312" w:cs="仿宋_GB2312"/>
          <w:color w:val="000000"/>
          <w:sz w:val="32"/>
          <w:szCs w:val="32"/>
        </w:rPr>
        <w:t>问题复杂，</w:t>
      </w:r>
      <w:r>
        <w:rPr>
          <w:rFonts w:hint="eastAsia" w:ascii="仿宋_GB2312" w:hAnsi="仿宋_GB2312" w:eastAsia="仿宋_GB2312" w:cs="仿宋_GB2312"/>
          <w:color w:val="000000"/>
          <w:sz w:val="32"/>
          <w:szCs w:val="32"/>
        </w:rPr>
        <w:t>各国法律体系不同，出口、捐赠医疗</w:t>
      </w:r>
      <w:r>
        <w:rPr>
          <w:rFonts w:hint="eastAsia" w:ascii="仿宋_GB2312" w:hAnsi="仿宋_GB2312" w:eastAsia="仿宋_GB2312" w:cs="仿宋_GB2312"/>
          <w:color w:val="000000"/>
          <w:sz w:val="32"/>
          <w:szCs w:val="32"/>
          <w:lang w:eastAsia="zh-CN"/>
        </w:rPr>
        <w:t>产品等防疫</w:t>
      </w:r>
      <w:r>
        <w:rPr>
          <w:rFonts w:hint="eastAsia" w:ascii="仿宋_GB2312" w:hAnsi="仿宋_GB2312" w:eastAsia="仿宋_GB2312" w:cs="仿宋_GB2312"/>
          <w:color w:val="000000"/>
          <w:sz w:val="32"/>
          <w:szCs w:val="32"/>
        </w:rPr>
        <w:t>物资的企业需及时跟踪国外法律最新动向，增加法律风险防范意识，提前规避风险，以免承担不必要的违约责任。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2.本指南</w:t>
      </w:r>
      <w:r>
        <w:rPr>
          <w:rFonts w:ascii="仿宋_GB2312" w:hAnsi="仿宋_GB2312" w:eastAsia="仿宋_GB2312" w:cs="仿宋_GB2312"/>
          <w:color w:val="000000"/>
          <w:sz w:val="32"/>
          <w:szCs w:val="32"/>
        </w:rPr>
        <w:t>并不能预见实践中的所有风险点，遇到相应纠纷</w:t>
      </w:r>
      <w:r>
        <w:rPr>
          <w:rFonts w:hint="eastAsia" w:ascii="仿宋_GB2312" w:hAnsi="仿宋_GB2312" w:eastAsia="仿宋_GB2312" w:cs="仿宋_GB2312"/>
          <w:color w:val="000000"/>
          <w:sz w:val="32"/>
          <w:szCs w:val="32"/>
          <w:lang w:eastAsia="zh-CN"/>
        </w:rPr>
        <w:t>建议</w:t>
      </w:r>
      <w:r>
        <w:rPr>
          <w:rFonts w:hint="eastAsia" w:ascii="仿宋_GB2312" w:hAnsi="仿宋_GB2312" w:eastAsia="仿宋_GB2312" w:cs="仿宋_GB2312"/>
          <w:color w:val="000000"/>
          <w:sz w:val="32"/>
          <w:szCs w:val="32"/>
        </w:rPr>
        <w:t>及时向行业协会、律师事务所等专业机构反映问题、寻求帮助。</w:t>
      </w:r>
    </w:p>
    <w:p>
      <w:pPr>
        <w:pStyle w:val="2"/>
        <w:ind w:firstLine="600" w:firstLineChars="200"/>
        <w:rPr>
          <w:rFonts w:hint="eastAsia" w:ascii="楷体_GB2312" w:hAnsi="楷体_GB2312" w:eastAsia="楷体_GB2312" w:cs="楷体_GB2312"/>
          <w:color w:val="000000"/>
          <w:sz w:val="30"/>
          <w:szCs w:val="30"/>
        </w:rPr>
      </w:pPr>
      <w:r>
        <w:rPr>
          <w:rFonts w:hint="eastAsia" w:ascii="楷体_GB2312" w:hAnsi="楷体_GB2312" w:eastAsia="楷体_GB2312" w:cs="楷体_GB2312"/>
          <w:color w:val="000000"/>
          <w:sz w:val="30"/>
          <w:szCs w:val="30"/>
        </w:rPr>
        <w:t>信息来源：工业和信息化部国际经济技术合作中心</w:t>
      </w:r>
    </w:p>
    <w:p>
      <w:pPr>
        <w:pStyle w:val="2"/>
        <w:rPr>
          <w:rFonts w:hint="eastAsia" w:ascii="楷体_GB2312" w:hAnsi="楷体_GB2312" w:eastAsia="楷体_GB2312" w:cs="楷体_GB2312"/>
          <w:color w:val="000000"/>
          <w:sz w:val="30"/>
          <w:szCs w:val="30"/>
        </w:rPr>
        <w:sectPr>
          <w:footerReference r:id="rId3" w:type="default"/>
          <w:pgSz w:w="11906" w:h="16838"/>
          <w:pgMar w:top="1440" w:right="1800" w:bottom="1440" w:left="1800" w:header="851" w:footer="992" w:gutter="0"/>
          <w:cols w:space="425" w:num="1"/>
          <w:docGrid w:type="lines" w:linePitch="312" w:charSpace="0"/>
        </w:sectPr>
      </w:pPr>
      <w:r>
        <w:rPr>
          <w:rFonts w:hint="eastAsia" w:ascii="楷体_GB2312" w:hAnsi="楷体_GB2312" w:eastAsia="楷体_GB2312" w:cs="楷体_GB2312"/>
          <w:color w:val="000000"/>
          <w:sz w:val="30"/>
          <w:szCs w:val="30"/>
        </w:rPr>
        <w:t xml:space="preserve">    联系电话</w:t>
      </w:r>
      <w:r>
        <w:rPr>
          <w:rFonts w:hint="eastAsia" w:ascii="楷体_GB2312" w:hAnsi="楷体_GB2312" w:eastAsia="楷体_GB2312" w:cs="楷体_GB2312"/>
          <w:color w:val="000000"/>
          <w:sz w:val="30"/>
          <w:szCs w:val="30"/>
          <w:lang w:eastAsia="zh-CN"/>
        </w:rPr>
        <w:t>：</w:t>
      </w:r>
      <w:bookmarkStart w:id="1" w:name="_GoBack"/>
      <w:bookmarkEnd w:id="1"/>
      <w:r>
        <w:rPr>
          <w:rFonts w:hint="eastAsia" w:ascii="楷体_GB2312" w:hAnsi="楷体_GB2312" w:eastAsia="楷体_GB2312" w:cs="楷体_GB2312"/>
          <w:color w:val="000000"/>
          <w:sz w:val="30"/>
          <w:szCs w:val="30"/>
        </w:rPr>
        <w:t>010-68207969</w:t>
      </w:r>
    </w:p>
    <w:p>
      <w:pPr>
        <w:spacing w:after="312" w:afterLines="100"/>
        <w:jc w:val="center"/>
        <w:rPr>
          <w:rFonts w:hint="eastAsia" w:ascii="黑体" w:hAnsi="黑体" w:eastAsia="黑体"/>
          <w:sz w:val="32"/>
          <w:szCs w:val="32"/>
        </w:rPr>
      </w:pPr>
      <w:r>
        <w:rPr>
          <w:rFonts w:hint="eastAsia" w:ascii="黑体" w:hAnsi="黑体" w:eastAsia="黑体"/>
          <w:sz w:val="32"/>
          <w:szCs w:val="32"/>
          <w:lang w:eastAsia="zh-CN"/>
        </w:rPr>
        <w:t>部分国家及地区</w:t>
      </w:r>
      <w:r>
        <w:rPr>
          <w:rFonts w:hint="eastAsia" w:ascii="黑体" w:hAnsi="黑体" w:eastAsia="黑体"/>
          <w:sz w:val="32"/>
          <w:szCs w:val="32"/>
        </w:rPr>
        <w:t>产品责任相关法律规定</w:t>
      </w:r>
    </w:p>
    <w:tbl>
      <w:tblPr>
        <w:tblStyle w:val="8"/>
        <w:tblW w:w="14318" w:type="dxa"/>
        <w:jc w:val="center"/>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1"/>
        <w:gridCol w:w="1985"/>
        <w:gridCol w:w="1559"/>
        <w:gridCol w:w="2300"/>
        <w:gridCol w:w="1701"/>
        <w:gridCol w:w="1984"/>
        <w:gridCol w:w="1583"/>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jc w:val="center"/>
        </w:trPr>
        <w:tc>
          <w:tcPr>
            <w:tcW w:w="1401" w:type="dxa"/>
            <w:shd w:val="clear" w:color="auto" w:fill="auto"/>
            <w:vAlign w:val="center"/>
          </w:tcPr>
          <w:p>
            <w:pPr>
              <w:widowControl/>
              <w:jc w:val="center"/>
              <w:rPr>
                <w:rFonts w:ascii="仿宋" w:hAnsi="仿宋" w:eastAsia="仿宋" w:cs="宋体"/>
                <w:b/>
                <w:bCs/>
                <w:color w:val="000000"/>
                <w:sz w:val="24"/>
                <w:szCs w:val="24"/>
              </w:rPr>
            </w:pPr>
            <w:r>
              <w:rPr>
                <w:rFonts w:hint="eastAsia" w:ascii="仿宋" w:hAnsi="仿宋" w:eastAsia="仿宋" w:cs="宋体"/>
                <w:b/>
                <w:bCs/>
                <w:color w:val="000000"/>
                <w:sz w:val="24"/>
                <w:szCs w:val="24"/>
              </w:rPr>
              <w:t>国别</w:t>
            </w:r>
          </w:p>
        </w:tc>
        <w:tc>
          <w:tcPr>
            <w:tcW w:w="3544" w:type="dxa"/>
            <w:gridSpan w:val="2"/>
            <w:shd w:val="clear" w:color="auto" w:fill="auto"/>
            <w:vAlign w:val="center"/>
          </w:tcPr>
          <w:p>
            <w:pPr>
              <w:widowControl/>
              <w:jc w:val="center"/>
              <w:rPr>
                <w:rFonts w:ascii="仿宋" w:hAnsi="仿宋" w:eastAsia="仿宋" w:cs="宋体"/>
                <w:b/>
                <w:color w:val="000000"/>
                <w:sz w:val="24"/>
                <w:szCs w:val="24"/>
              </w:rPr>
            </w:pPr>
            <w:r>
              <w:rPr>
                <w:rFonts w:hint="eastAsia" w:ascii="仿宋" w:hAnsi="仿宋" w:eastAsia="仿宋" w:cs="宋体"/>
                <w:b/>
                <w:color w:val="000000"/>
                <w:sz w:val="24"/>
                <w:szCs w:val="24"/>
              </w:rPr>
              <w:t>中国</w:t>
            </w:r>
          </w:p>
        </w:tc>
        <w:tc>
          <w:tcPr>
            <w:tcW w:w="2300" w:type="dxa"/>
            <w:shd w:val="clear" w:color="auto" w:fill="auto"/>
            <w:vAlign w:val="center"/>
          </w:tcPr>
          <w:p>
            <w:pPr>
              <w:widowControl/>
              <w:jc w:val="center"/>
              <w:rPr>
                <w:rFonts w:ascii="仿宋" w:hAnsi="仿宋" w:eastAsia="仿宋" w:cs="宋体"/>
                <w:b/>
                <w:color w:val="000000"/>
                <w:sz w:val="24"/>
                <w:szCs w:val="24"/>
              </w:rPr>
            </w:pPr>
            <w:r>
              <w:rPr>
                <w:rFonts w:hint="eastAsia" w:ascii="仿宋" w:hAnsi="仿宋" w:eastAsia="仿宋" w:cs="宋体"/>
                <w:b/>
                <w:color w:val="000000"/>
                <w:sz w:val="24"/>
                <w:szCs w:val="24"/>
              </w:rPr>
              <w:t>美国</w:t>
            </w:r>
          </w:p>
        </w:tc>
        <w:tc>
          <w:tcPr>
            <w:tcW w:w="1701" w:type="dxa"/>
            <w:shd w:val="clear" w:color="auto" w:fill="auto"/>
            <w:vAlign w:val="center"/>
          </w:tcPr>
          <w:p>
            <w:pPr>
              <w:widowControl/>
              <w:jc w:val="center"/>
              <w:rPr>
                <w:rFonts w:ascii="仿宋" w:hAnsi="仿宋" w:eastAsia="仿宋" w:cs="宋体"/>
                <w:b/>
                <w:color w:val="000000"/>
                <w:sz w:val="24"/>
                <w:szCs w:val="24"/>
              </w:rPr>
            </w:pPr>
            <w:r>
              <w:rPr>
                <w:rFonts w:hint="eastAsia" w:ascii="仿宋" w:hAnsi="仿宋" w:eastAsia="仿宋" w:cs="宋体"/>
                <w:b/>
                <w:color w:val="000000"/>
                <w:sz w:val="24"/>
                <w:szCs w:val="24"/>
              </w:rPr>
              <w:t>欧盟</w:t>
            </w:r>
          </w:p>
        </w:tc>
        <w:tc>
          <w:tcPr>
            <w:tcW w:w="1984" w:type="dxa"/>
            <w:shd w:val="clear" w:color="auto" w:fill="auto"/>
            <w:vAlign w:val="center"/>
          </w:tcPr>
          <w:p>
            <w:pPr>
              <w:widowControl/>
              <w:jc w:val="center"/>
              <w:rPr>
                <w:rFonts w:ascii="仿宋" w:hAnsi="仿宋" w:eastAsia="仿宋" w:cs="宋体"/>
                <w:b/>
                <w:color w:val="000000"/>
                <w:sz w:val="24"/>
                <w:szCs w:val="24"/>
              </w:rPr>
            </w:pPr>
            <w:r>
              <w:rPr>
                <w:rFonts w:hint="eastAsia" w:ascii="仿宋" w:hAnsi="仿宋" w:eastAsia="仿宋" w:cs="宋体"/>
                <w:b/>
                <w:color w:val="000000"/>
                <w:sz w:val="24"/>
                <w:szCs w:val="24"/>
              </w:rPr>
              <w:t>德国</w:t>
            </w:r>
          </w:p>
        </w:tc>
        <w:tc>
          <w:tcPr>
            <w:tcW w:w="1583" w:type="dxa"/>
            <w:shd w:val="clear" w:color="auto" w:fill="auto"/>
            <w:vAlign w:val="center"/>
          </w:tcPr>
          <w:p>
            <w:pPr>
              <w:widowControl/>
              <w:jc w:val="center"/>
              <w:rPr>
                <w:rFonts w:ascii="仿宋" w:hAnsi="仿宋" w:eastAsia="仿宋" w:cs="宋体"/>
                <w:b/>
                <w:color w:val="000000"/>
                <w:sz w:val="24"/>
                <w:szCs w:val="24"/>
              </w:rPr>
            </w:pPr>
            <w:r>
              <w:rPr>
                <w:rFonts w:hint="eastAsia" w:ascii="仿宋" w:hAnsi="仿宋" w:eastAsia="仿宋" w:cs="宋体"/>
                <w:b/>
                <w:color w:val="000000"/>
                <w:sz w:val="24"/>
                <w:szCs w:val="24"/>
              </w:rPr>
              <w:t>西班牙</w:t>
            </w:r>
          </w:p>
        </w:tc>
        <w:tc>
          <w:tcPr>
            <w:tcW w:w="1805" w:type="dxa"/>
            <w:shd w:val="clear" w:color="auto" w:fill="auto"/>
            <w:vAlign w:val="center"/>
          </w:tcPr>
          <w:p>
            <w:pPr>
              <w:widowControl/>
              <w:jc w:val="center"/>
              <w:rPr>
                <w:rFonts w:ascii="仿宋" w:hAnsi="仿宋" w:eastAsia="仿宋" w:cs="宋体"/>
                <w:b/>
                <w:color w:val="000000"/>
                <w:sz w:val="24"/>
                <w:szCs w:val="24"/>
              </w:rPr>
            </w:pPr>
            <w:r>
              <w:rPr>
                <w:rFonts w:hint="eastAsia" w:ascii="仿宋" w:hAnsi="仿宋" w:eastAsia="仿宋" w:cs="宋体"/>
                <w:b/>
                <w:color w:val="000000"/>
                <w:sz w:val="24"/>
                <w:szCs w:val="24"/>
              </w:rPr>
              <w:t>意大利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3" w:hRule="atLeast"/>
          <w:jc w:val="center"/>
        </w:trPr>
        <w:tc>
          <w:tcPr>
            <w:tcW w:w="1401" w:type="dxa"/>
            <w:shd w:val="clear" w:color="auto" w:fill="auto"/>
            <w:vAlign w:val="center"/>
          </w:tcPr>
          <w:p>
            <w:pPr>
              <w:widowControl/>
              <w:jc w:val="center"/>
              <w:rPr>
                <w:rFonts w:ascii="仿宋" w:hAnsi="仿宋" w:eastAsia="仿宋" w:cs="宋体"/>
                <w:bCs/>
                <w:color w:val="000000"/>
                <w:sz w:val="24"/>
                <w:szCs w:val="24"/>
              </w:rPr>
            </w:pPr>
            <w:r>
              <w:rPr>
                <w:rFonts w:hint="eastAsia" w:ascii="仿宋" w:hAnsi="仿宋" w:eastAsia="仿宋" w:cs="宋体"/>
                <w:bCs/>
                <w:color w:val="000000"/>
                <w:sz w:val="24"/>
                <w:szCs w:val="24"/>
              </w:rPr>
              <w:t>相关法律</w:t>
            </w:r>
          </w:p>
        </w:tc>
        <w:tc>
          <w:tcPr>
            <w:tcW w:w="1985" w:type="dxa"/>
            <w:shd w:val="clear" w:color="auto" w:fill="auto"/>
          </w:tcPr>
          <w:p>
            <w:pPr>
              <w:widowControl/>
              <w:rPr>
                <w:rFonts w:ascii="仿宋" w:hAnsi="仿宋" w:eastAsia="仿宋" w:cs="宋体"/>
                <w:color w:val="000000"/>
                <w:sz w:val="24"/>
                <w:szCs w:val="24"/>
              </w:rPr>
            </w:pPr>
            <w:r>
              <w:rPr>
                <w:rFonts w:hint="eastAsia" w:ascii="仿宋" w:hAnsi="仿宋" w:eastAsia="仿宋" w:cs="宋体"/>
                <w:color w:val="000000"/>
                <w:sz w:val="24"/>
                <w:szCs w:val="24"/>
              </w:rPr>
              <w:t>《产品质量法》（2018年），《侵权责任法》（2010年）</w:t>
            </w:r>
          </w:p>
        </w:tc>
        <w:tc>
          <w:tcPr>
            <w:tcW w:w="1559" w:type="dxa"/>
            <w:shd w:val="clear" w:color="auto" w:fill="auto"/>
          </w:tcPr>
          <w:p>
            <w:pPr>
              <w:widowControl/>
              <w:rPr>
                <w:rFonts w:ascii="仿宋" w:hAnsi="仿宋" w:eastAsia="仿宋" w:cs="宋体"/>
                <w:color w:val="000000"/>
                <w:sz w:val="24"/>
                <w:szCs w:val="24"/>
              </w:rPr>
            </w:pPr>
            <w:r>
              <w:rPr>
                <w:rFonts w:hint="eastAsia" w:ascii="仿宋" w:hAnsi="仿宋" w:eastAsia="仿宋" w:cs="宋体"/>
                <w:color w:val="000000"/>
                <w:sz w:val="24"/>
                <w:szCs w:val="24"/>
              </w:rPr>
              <w:t>《侵权责任法》（2010年）</w:t>
            </w:r>
          </w:p>
        </w:tc>
        <w:tc>
          <w:tcPr>
            <w:tcW w:w="2300" w:type="dxa"/>
            <w:shd w:val="clear" w:color="auto" w:fill="auto"/>
          </w:tcPr>
          <w:p>
            <w:pPr>
              <w:widowControl/>
              <w:rPr>
                <w:rFonts w:ascii="仿宋" w:hAnsi="仿宋" w:eastAsia="仿宋" w:cs="宋体"/>
                <w:color w:val="000000"/>
                <w:sz w:val="24"/>
                <w:szCs w:val="24"/>
              </w:rPr>
            </w:pPr>
            <w:r>
              <w:rPr>
                <w:rFonts w:hint="eastAsia" w:ascii="仿宋" w:hAnsi="仿宋" w:eastAsia="仿宋" w:cs="宋体"/>
                <w:color w:val="000000"/>
                <w:sz w:val="24"/>
                <w:szCs w:val="24"/>
              </w:rPr>
              <w:t>《第三次侵权法重述：产品责任》(1997年）</w:t>
            </w:r>
          </w:p>
        </w:tc>
        <w:tc>
          <w:tcPr>
            <w:tcW w:w="1701" w:type="dxa"/>
            <w:shd w:val="clear" w:color="auto" w:fill="auto"/>
          </w:tcPr>
          <w:p>
            <w:pPr>
              <w:widowControl/>
              <w:rPr>
                <w:rFonts w:ascii="仿宋" w:hAnsi="仿宋" w:eastAsia="仿宋" w:cs="宋体"/>
                <w:color w:val="000000"/>
                <w:sz w:val="24"/>
                <w:szCs w:val="24"/>
              </w:rPr>
            </w:pPr>
            <w:r>
              <w:rPr>
                <w:rFonts w:hint="eastAsia" w:ascii="仿宋" w:hAnsi="仿宋" w:eastAsia="仿宋" w:cs="宋体"/>
                <w:color w:val="000000"/>
                <w:sz w:val="24"/>
                <w:szCs w:val="24"/>
              </w:rPr>
              <w:t>《关于对有缺陷产品责任的指令》（1985年）</w:t>
            </w:r>
          </w:p>
        </w:tc>
        <w:tc>
          <w:tcPr>
            <w:tcW w:w="1984" w:type="dxa"/>
            <w:shd w:val="clear" w:color="auto" w:fill="auto"/>
          </w:tcPr>
          <w:p>
            <w:pPr>
              <w:widowControl/>
              <w:rPr>
                <w:rFonts w:ascii="仿宋" w:hAnsi="仿宋" w:eastAsia="仿宋" w:cs="宋体"/>
                <w:color w:val="000000"/>
                <w:sz w:val="24"/>
                <w:szCs w:val="24"/>
              </w:rPr>
            </w:pPr>
            <w:r>
              <w:rPr>
                <w:rFonts w:hint="eastAsia" w:ascii="仿宋" w:hAnsi="仿宋" w:eastAsia="仿宋" w:cs="宋体"/>
                <w:color w:val="000000"/>
                <w:sz w:val="24"/>
                <w:szCs w:val="24"/>
              </w:rPr>
              <w:t>《产品责任法》(1989年）</w:t>
            </w:r>
          </w:p>
        </w:tc>
        <w:tc>
          <w:tcPr>
            <w:tcW w:w="1583" w:type="dxa"/>
            <w:shd w:val="clear" w:color="auto" w:fill="auto"/>
          </w:tcPr>
          <w:p>
            <w:pPr>
              <w:widowControl/>
              <w:rPr>
                <w:rFonts w:ascii="仿宋" w:hAnsi="仿宋" w:eastAsia="仿宋" w:cs="宋体"/>
                <w:color w:val="000000"/>
                <w:sz w:val="24"/>
                <w:szCs w:val="24"/>
              </w:rPr>
            </w:pPr>
            <w:r>
              <w:rPr>
                <w:rFonts w:hint="eastAsia" w:ascii="仿宋" w:hAnsi="仿宋" w:eastAsia="仿宋" w:cs="宋体"/>
                <w:color w:val="000000"/>
                <w:sz w:val="24"/>
                <w:szCs w:val="24"/>
              </w:rPr>
              <w:t>《消费者和用户保护通则》（2007年）</w:t>
            </w:r>
          </w:p>
        </w:tc>
        <w:tc>
          <w:tcPr>
            <w:tcW w:w="1805" w:type="dxa"/>
            <w:shd w:val="clear" w:color="auto" w:fill="auto"/>
          </w:tcPr>
          <w:p>
            <w:pPr>
              <w:widowControl/>
              <w:rPr>
                <w:rFonts w:ascii="仿宋" w:hAnsi="仿宋" w:eastAsia="仿宋" w:cs="宋体"/>
                <w:color w:val="000000"/>
                <w:sz w:val="24"/>
                <w:szCs w:val="24"/>
              </w:rPr>
            </w:pPr>
            <w:r>
              <w:rPr>
                <w:rFonts w:hint="eastAsia" w:ascii="仿宋" w:hAnsi="仿宋" w:eastAsia="仿宋" w:cs="宋体"/>
                <w:color w:val="000000"/>
                <w:sz w:val="24"/>
                <w:szCs w:val="24"/>
              </w:rPr>
              <w:t>《消费者法令》（2005年）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6" w:hRule="atLeast"/>
          <w:jc w:val="center"/>
        </w:trPr>
        <w:tc>
          <w:tcPr>
            <w:tcW w:w="1401" w:type="dxa"/>
            <w:shd w:val="clear" w:color="auto" w:fill="auto"/>
            <w:vAlign w:val="center"/>
          </w:tcPr>
          <w:p>
            <w:pPr>
              <w:widowControl/>
              <w:jc w:val="center"/>
              <w:rPr>
                <w:rFonts w:ascii="仿宋" w:hAnsi="仿宋" w:eastAsia="仿宋" w:cs="宋体"/>
                <w:bCs/>
                <w:color w:val="000000"/>
                <w:sz w:val="24"/>
                <w:szCs w:val="24"/>
              </w:rPr>
            </w:pPr>
            <w:r>
              <w:rPr>
                <w:rFonts w:hint="eastAsia" w:ascii="仿宋" w:hAnsi="仿宋" w:eastAsia="仿宋" w:cs="宋体"/>
                <w:bCs/>
                <w:color w:val="000000"/>
                <w:sz w:val="24"/>
                <w:szCs w:val="24"/>
              </w:rPr>
              <w:t>主要规定</w:t>
            </w:r>
          </w:p>
        </w:tc>
        <w:tc>
          <w:tcPr>
            <w:tcW w:w="1985" w:type="dxa"/>
            <w:shd w:val="clear" w:color="auto" w:fill="auto"/>
          </w:tcPr>
          <w:p>
            <w:pPr>
              <w:widowControl/>
              <w:rPr>
                <w:rFonts w:ascii="仿宋" w:hAnsi="仿宋" w:eastAsia="仿宋" w:cs="宋体"/>
                <w:color w:val="000000"/>
                <w:sz w:val="24"/>
                <w:szCs w:val="24"/>
              </w:rPr>
            </w:pPr>
            <w:r>
              <w:rPr>
                <w:rFonts w:hint="eastAsia" w:ascii="仿宋" w:hAnsi="仿宋" w:eastAsia="仿宋" w:cs="宋体"/>
                <w:color w:val="000000"/>
                <w:sz w:val="24"/>
                <w:szCs w:val="24"/>
              </w:rPr>
              <w:t>因产品存在缺陷造成人身、缺陷产品以外的其他财产损害的，生产者应当承担赔偿责任。因产品存在缺陷造成人身、他人财产损害的，受害人可向产品的生产者要求赔偿，也可向产品的销售者要求赔偿。</w:t>
            </w:r>
          </w:p>
        </w:tc>
        <w:tc>
          <w:tcPr>
            <w:tcW w:w="1559" w:type="dxa"/>
            <w:shd w:val="clear" w:color="auto" w:fill="auto"/>
          </w:tcPr>
          <w:p>
            <w:pPr>
              <w:widowControl/>
              <w:rPr>
                <w:rFonts w:ascii="仿宋" w:hAnsi="仿宋" w:eastAsia="仿宋" w:cs="宋体"/>
                <w:color w:val="000000"/>
                <w:sz w:val="24"/>
                <w:szCs w:val="24"/>
              </w:rPr>
            </w:pPr>
            <w:r>
              <w:rPr>
                <w:rFonts w:hint="eastAsia" w:ascii="仿宋" w:hAnsi="仿宋" w:eastAsia="仿宋" w:cs="宋体"/>
                <w:color w:val="000000"/>
                <w:sz w:val="24"/>
                <w:szCs w:val="24"/>
              </w:rPr>
              <w:t>因药品、消毒药剂、医疗器械的缺陷造成患者损害的，患者可以向生产者或者血液提供机构请求赔偿，也可以向医疗机构请求赔偿。</w:t>
            </w:r>
          </w:p>
        </w:tc>
        <w:tc>
          <w:tcPr>
            <w:tcW w:w="2300" w:type="dxa"/>
            <w:shd w:val="clear" w:color="auto" w:fill="auto"/>
          </w:tcPr>
          <w:p>
            <w:pPr>
              <w:widowControl/>
              <w:rPr>
                <w:rFonts w:ascii="仿宋" w:hAnsi="仿宋" w:eastAsia="仿宋" w:cs="宋体"/>
                <w:color w:val="000000"/>
                <w:sz w:val="24"/>
                <w:szCs w:val="24"/>
              </w:rPr>
            </w:pPr>
            <w:r>
              <w:rPr>
                <w:rFonts w:hint="eastAsia" w:ascii="仿宋" w:hAnsi="仿宋" w:eastAsia="仿宋" w:cs="宋体"/>
                <w:color w:val="000000"/>
                <w:sz w:val="24"/>
                <w:szCs w:val="24"/>
              </w:rPr>
              <w:t>处方药或医疗设备的制造商出售或者以其他方式分发有缺陷的处方药或医疗设备，应对该缺陷对人身造成的伤害承担责任。此类缺陷包括：制造缺陷、由于设计缺陷而不具有合理的安全性、由于说明或警示不充分而不具有合理的安全性。</w:t>
            </w:r>
          </w:p>
        </w:tc>
        <w:tc>
          <w:tcPr>
            <w:tcW w:w="1701" w:type="dxa"/>
            <w:shd w:val="clear" w:color="auto" w:fill="auto"/>
          </w:tcPr>
          <w:p>
            <w:pPr>
              <w:widowControl/>
              <w:rPr>
                <w:rFonts w:ascii="仿宋" w:hAnsi="仿宋" w:eastAsia="仿宋" w:cs="宋体"/>
                <w:color w:val="000000"/>
                <w:sz w:val="24"/>
                <w:szCs w:val="24"/>
              </w:rPr>
            </w:pPr>
            <w:r>
              <w:rPr>
                <w:rFonts w:hint="eastAsia" w:ascii="仿宋" w:hAnsi="仿宋" w:eastAsia="仿宋" w:cs="宋体"/>
                <w:color w:val="000000"/>
                <w:sz w:val="24"/>
                <w:szCs w:val="24"/>
              </w:rPr>
              <w:t>确定了缺陷产品致害的严格责任原则。欧洲的进口商对其投放的产品也负有一定责任，但进口商通常会将责任及投诉转交给出口商（生产商）。</w:t>
            </w:r>
          </w:p>
        </w:tc>
        <w:tc>
          <w:tcPr>
            <w:tcW w:w="1984" w:type="dxa"/>
            <w:shd w:val="clear" w:color="auto" w:fill="auto"/>
          </w:tcPr>
          <w:p>
            <w:pPr>
              <w:widowControl/>
              <w:rPr>
                <w:rFonts w:ascii="仿宋" w:hAnsi="仿宋" w:eastAsia="仿宋" w:cs="宋体"/>
                <w:color w:val="000000"/>
                <w:sz w:val="24"/>
                <w:szCs w:val="24"/>
              </w:rPr>
            </w:pPr>
            <w:r>
              <w:rPr>
                <w:rFonts w:hint="eastAsia" w:ascii="仿宋" w:hAnsi="仿宋" w:eastAsia="仿宋" w:cs="宋体"/>
                <w:color w:val="000000"/>
                <w:sz w:val="24"/>
                <w:szCs w:val="24"/>
              </w:rPr>
              <w:t>生产商是主要责任方；但将有缺陷的产品进口到欧洲经济区的进口商，或者供应有缺陷的零部件／原材料的供应商，可能承担与产品生产商同样的责任。如缺陷产品对人身造成伤害或因侵权造成死亡，可能引发刑事责任。</w:t>
            </w:r>
          </w:p>
        </w:tc>
        <w:tc>
          <w:tcPr>
            <w:tcW w:w="1583" w:type="dxa"/>
            <w:shd w:val="clear" w:color="auto" w:fill="auto"/>
          </w:tcPr>
          <w:p>
            <w:pPr>
              <w:widowControl/>
              <w:rPr>
                <w:rFonts w:ascii="仿宋" w:hAnsi="仿宋" w:eastAsia="仿宋" w:cs="宋体"/>
                <w:color w:val="000000"/>
                <w:sz w:val="24"/>
                <w:szCs w:val="24"/>
              </w:rPr>
            </w:pPr>
            <w:r>
              <w:rPr>
                <w:rFonts w:hint="eastAsia" w:ascii="仿宋" w:hAnsi="仿宋" w:eastAsia="仿宋" w:cs="宋体"/>
                <w:color w:val="000000"/>
                <w:sz w:val="24"/>
                <w:szCs w:val="24"/>
              </w:rPr>
              <w:t>“生产者”包含产品的制造商和产品的进口商。医药产品不得援引《产品责任指令》下的科学技术知识豁免。</w:t>
            </w:r>
          </w:p>
        </w:tc>
        <w:tc>
          <w:tcPr>
            <w:tcW w:w="1805" w:type="dxa"/>
            <w:shd w:val="clear" w:color="auto" w:fill="auto"/>
          </w:tcPr>
          <w:p>
            <w:pPr>
              <w:widowControl/>
              <w:rPr>
                <w:rFonts w:ascii="仿宋" w:hAnsi="仿宋" w:eastAsia="仿宋" w:cs="宋体"/>
                <w:color w:val="000000"/>
                <w:sz w:val="24"/>
                <w:szCs w:val="24"/>
              </w:rPr>
            </w:pPr>
            <w:r>
              <w:rPr>
                <w:rFonts w:hint="eastAsia" w:ascii="仿宋" w:hAnsi="仿宋" w:eastAsia="仿宋" w:cs="宋体"/>
                <w:color w:val="000000"/>
                <w:sz w:val="24"/>
                <w:szCs w:val="24"/>
              </w:rPr>
              <w:t>消费者可以根据产品特性，对产品的安全水平有合理预期，如达不到合理预期，可认为是瑕疵产品。如产品存在缺陷，制造商是主要责任对象。</w:t>
            </w:r>
          </w:p>
        </w:tc>
      </w:tr>
    </w:tbl>
    <w:p>
      <w:pPr>
        <w:rPr>
          <w:rFonts w:ascii="仿宋" w:hAnsi="仿宋" w:eastAsia="仿宋"/>
          <w:sz w:val="32"/>
          <w:szCs w:val="32"/>
        </w:rPr>
      </w:pPr>
    </w:p>
    <w:p>
      <w:pPr>
        <w:widowControl/>
        <w:shd w:val="clear" w:color="auto" w:fill="FFFFFF"/>
        <w:jc w:val="center"/>
        <w:rPr>
          <w:rFonts w:ascii="黑体" w:hAnsi="黑体" w:eastAsia="黑体" w:cs="黑体"/>
          <w:bCs/>
          <w:color w:val="000000"/>
          <w:sz w:val="32"/>
          <w:szCs w:val="32"/>
        </w:rPr>
      </w:pPr>
      <w:r>
        <w:rPr>
          <w:rFonts w:hint="eastAsia" w:ascii="黑体" w:hAnsi="黑体" w:eastAsia="黑体" w:cs="黑体"/>
          <w:bCs/>
          <w:color w:val="000000"/>
          <w:sz w:val="32"/>
          <w:szCs w:val="32"/>
        </w:rPr>
        <w:t>美国产品责任</w:t>
      </w:r>
      <w:r>
        <w:rPr>
          <w:rFonts w:hint="eastAsia" w:ascii="黑体" w:hAnsi="黑体" w:eastAsia="黑体" w:cs="黑体"/>
          <w:bCs/>
          <w:color w:val="000000"/>
          <w:sz w:val="32"/>
          <w:szCs w:val="32"/>
          <w:lang w:eastAsia="zh-CN"/>
        </w:rPr>
        <w:t>类型及</w:t>
      </w:r>
      <w:r>
        <w:rPr>
          <w:rFonts w:hint="eastAsia" w:ascii="黑体" w:hAnsi="黑体" w:eastAsia="黑体" w:cs="黑体"/>
          <w:bCs/>
          <w:color w:val="000000"/>
          <w:sz w:val="32"/>
          <w:szCs w:val="32"/>
        </w:rPr>
        <w:t>法律风险表</w:t>
      </w:r>
    </w:p>
    <w:tbl>
      <w:tblPr>
        <w:tblStyle w:val="8"/>
        <w:tblW w:w="14510" w:type="dxa"/>
        <w:jc w:val="center"/>
        <w:tblInd w:w="-34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9"/>
        <w:gridCol w:w="1275"/>
        <w:gridCol w:w="1276"/>
        <w:gridCol w:w="2552"/>
        <w:gridCol w:w="2976"/>
        <w:gridCol w:w="51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1" w:hRule="atLeast"/>
          <w:jc w:val="center"/>
        </w:trPr>
        <w:tc>
          <w:tcPr>
            <w:tcW w:w="1269" w:type="dxa"/>
          </w:tcPr>
          <w:p>
            <w:pPr>
              <w:widowControl/>
              <w:snapToGrid w:val="0"/>
              <w:spacing w:line="280" w:lineRule="exact"/>
              <w:jc w:val="center"/>
              <w:rPr>
                <w:rFonts w:ascii="仿宋" w:hAnsi="仿宋" w:eastAsia="仿宋" w:cs="仿宋_GB2312"/>
                <w:color w:val="000000"/>
                <w:sz w:val="24"/>
                <w:szCs w:val="24"/>
              </w:rPr>
            </w:pPr>
            <w:r>
              <w:rPr>
                <w:rFonts w:hint="eastAsia" w:ascii="仿宋" w:hAnsi="仿宋" w:eastAsia="仿宋" w:cs="仿宋_GB2312"/>
                <w:color w:val="000000"/>
                <w:sz w:val="24"/>
                <w:szCs w:val="24"/>
              </w:rPr>
              <w:t>责任类型</w:t>
            </w:r>
          </w:p>
        </w:tc>
        <w:tc>
          <w:tcPr>
            <w:tcW w:w="1275" w:type="dxa"/>
          </w:tcPr>
          <w:p>
            <w:pPr>
              <w:widowControl/>
              <w:snapToGrid w:val="0"/>
              <w:spacing w:line="280" w:lineRule="exact"/>
              <w:jc w:val="center"/>
              <w:rPr>
                <w:rFonts w:ascii="仿宋" w:hAnsi="仿宋" w:eastAsia="仿宋" w:cs="仿宋_GB2312"/>
                <w:color w:val="000000"/>
                <w:sz w:val="24"/>
                <w:szCs w:val="24"/>
              </w:rPr>
            </w:pPr>
            <w:r>
              <w:rPr>
                <w:rFonts w:hint="eastAsia" w:ascii="仿宋" w:hAnsi="仿宋" w:eastAsia="仿宋" w:cs="仿宋_GB2312"/>
                <w:color w:val="000000"/>
                <w:sz w:val="24"/>
                <w:szCs w:val="24"/>
              </w:rPr>
              <w:t>索赔类型</w:t>
            </w:r>
          </w:p>
        </w:tc>
        <w:tc>
          <w:tcPr>
            <w:tcW w:w="1276" w:type="dxa"/>
          </w:tcPr>
          <w:p>
            <w:pPr>
              <w:widowControl/>
              <w:snapToGrid w:val="0"/>
              <w:spacing w:line="280" w:lineRule="exact"/>
              <w:jc w:val="center"/>
              <w:rPr>
                <w:rFonts w:ascii="仿宋" w:hAnsi="仿宋" w:eastAsia="仿宋" w:cs="仿宋_GB2312"/>
                <w:color w:val="000000"/>
                <w:sz w:val="24"/>
                <w:szCs w:val="24"/>
              </w:rPr>
            </w:pPr>
            <w:r>
              <w:rPr>
                <w:rFonts w:hint="eastAsia" w:ascii="仿宋" w:hAnsi="仿宋" w:eastAsia="仿宋" w:cs="仿宋_GB2312"/>
                <w:color w:val="000000"/>
                <w:sz w:val="24"/>
                <w:szCs w:val="24"/>
              </w:rPr>
              <w:t>诉讼理由</w:t>
            </w:r>
          </w:p>
        </w:tc>
        <w:tc>
          <w:tcPr>
            <w:tcW w:w="2552" w:type="dxa"/>
          </w:tcPr>
          <w:p>
            <w:pPr>
              <w:widowControl/>
              <w:snapToGrid w:val="0"/>
              <w:spacing w:line="280" w:lineRule="exact"/>
              <w:jc w:val="center"/>
              <w:rPr>
                <w:rFonts w:ascii="仿宋" w:hAnsi="仿宋" w:eastAsia="仿宋" w:cs="仿宋_GB2312"/>
                <w:color w:val="000000"/>
                <w:sz w:val="24"/>
                <w:szCs w:val="24"/>
              </w:rPr>
            </w:pPr>
            <w:r>
              <w:rPr>
                <w:rFonts w:hint="eastAsia" w:ascii="仿宋" w:hAnsi="仿宋" w:eastAsia="仿宋" w:cs="仿宋_GB2312"/>
                <w:color w:val="000000"/>
                <w:sz w:val="24"/>
                <w:szCs w:val="24"/>
              </w:rPr>
              <w:t>风险描述</w:t>
            </w:r>
          </w:p>
        </w:tc>
        <w:tc>
          <w:tcPr>
            <w:tcW w:w="2976" w:type="dxa"/>
          </w:tcPr>
          <w:p>
            <w:pPr>
              <w:widowControl/>
              <w:snapToGrid w:val="0"/>
              <w:spacing w:line="280" w:lineRule="exact"/>
              <w:jc w:val="center"/>
              <w:rPr>
                <w:rFonts w:ascii="仿宋" w:hAnsi="仿宋" w:eastAsia="仿宋" w:cs="仿宋_GB2312"/>
                <w:color w:val="000000"/>
                <w:sz w:val="24"/>
                <w:szCs w:val="24"/>
              </w:rPr>
            </w:pPr>
            <w:r>
              <w:rPr>
                <w:rFonts w:hint="eastAsia" w:ascii="仿宋" w:hAnsi="仿宋" w:eastAsia="仿宋" w:cs="仿宋_GB2312"/>
                <w:color w:val="000000"/>
                <w:sz w:val="24"/>
                <w:szCs w:val="24"/>
              </w:rPr>
              <w:t>防范建议</w:t>
            </w:r>
          </w:p>
        </w:tc>
        <w:tc>
          <w:tcPr>
            <w:tcW w:w="5162" w:type="dxa"/>
          </w:tcPr>
          <w:p>
            <w:pPr>
              <w:widowControl/>
              <w:snapToGrid w:val="0"/>
              <w:spacing w:line="280" w:lineRule="exact"/>
              <w:jc w:val="center"/>
              <w:rPr>
                <w:rFonts w:ascii="仿宋" w:hAnsi="仿宋" w:eastAsia="仿宋" w:cs="仿宋_GB2312"/>
                <w:color w:val="000000"/>
                <w:sz w:val="24"/>
                <w:szCs w:val="24"/>
              </w:rPr>
            </w:pPr>
            <w:r>
              <w:rPr>
                <w:rFonts w:hint="eastAsia" w:ascii="仿宋" w:hAnsi="仿宋" w:eastAsia="仿宋" w:cs="仿宋_GB2312"/>
                <w:color w:val="000000"/>
                <w:sz w:val="24"/>
                <w:szCs w:val="24"/>
              </w:rPr>
              <w:t>相关案例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1" w:hRule="atLeast"/>
          <w:jc w:val="center"/>
        </w:trPr>
        <w:tc>
          <w:tcPr>
            <w:tcW w:w="1269" w:type="dxa"/>
            <w:vMerge w:val="restart"/>
            <w:vAlign w:val="center"/>
          </w:tcPr>
          <w:p>
            <w:pPr>
              <w:keepNext w:val="0"/>
              <w:keepLines w:val="0"/>
              <w:pageBreakBefore w:val="0"/>
              <w:widowControl/>
              <w:kinsoku/>
              <w:wordWrap/>
              <w:overflowPunct/>
              <w:topLinePunct w:val="0"/>
              <w:autoSpaceDE/>
              <w:autoSpaceDN/>
              <w:bidi w:val="0"/>
              <w:adjustRightInd/>
              <w:snapToGrid w:val="0"/>
              <w:spacing w:line="260" w:lineRule="exact"/>
              <w:textAlignment w:val="auto"/>
              <w:outlineLvl w:val="9"/>
              <w:rPr>
                <w:rFonts w:ascii="仿宋" w:hAnsi="仿宋" w:eastAsia="仿宋" w:cs="仿宋_GB2312"/>
                <w:color w:val="000000"/>
                <w:sz w:val="21"/>
                <w:szCs w:val="21"/>
              </w:rPr>
            </w:pPr>
            <w:r>
              <w:rPr>
                <w:rFonts w:hint="eastAsia" w:ascii="仿宋" w:hAnsi="仿宋" w:eastAsia="仿宋" w:cs="仿宋_GB2312"/>
                <w:color w:val="000000"/>
                <w:sz w:val="21"/>
                <w:szCs w:val="21"/>
              </w:rPr>
              <w:t>严格责任</w:t>
            </w:r>
          </w:p>
        </w:tc>
        <w:tc>
          <w:tcPr>
            <w:tcW w:w="1275" w:type="dxa"/>
            <w:vMerge w:val="restart"/>
            <w:vAlign w:val="center"/>
          </w:tcPr>
          <w:p>
            <w:pPr>
              <w:keepNext w:val="0"/>
              <w:keepLines w:val="0"/>
              <w:pageBreakBefore w:val="0"/>
              <w:widowControl/>
              <w:kinsoku/>
              <w:wordWrap/>
              <w:overflowPunct/>
              <w:topLinePunct w:val="0"/>
              <w:autoSpaceDE/>
              <w:autoSpaceDN/>
              <w:bidi w:val="0"/>
              <w:adjustRightInd/>
              <w:snapToGrid w:val="0"/>
              <w:spacing w:line="260" w:lineRule="exact"/>
              <w:textAlignment w:val="auto"/>
              <w:outlineLvl w:val="9"/>
              <w:rPr>
                <w:rFonts w:ascii="仿宋" w:hAnsi="仿宋" w:eastAsia="仿宋" w:cs="仿宋_GB2312"/>
                <w:color w:val="000000"/>
                <w:sz w:val="21"/>
                <w:szCs w:val="21"/>
              </w:rPr>
            </w:pPr>
            <w:r>
              <w:rPr>
                <w:rFonts w:hint="eastAsia" w:ascii="仿宋" w:hAnsi="仿宋" w:eastAsia="仿宋" w:cs="仿宋_GB2312"/>
                <w:color w:val="000000"/>
                <w:sz w:val="21"/>
                <w:szCs w:val="21"/>
              </w:rPr>
              <w:t>因问题产品存在缺陷的索赔</w:t>
            </w:r>
          </w:p>
        </w:tc>
        <w:tc>
          <w:tcPr>
            <w:tcW w:w="1276" w:type="dxa"/>
          </w:tcPr>
          <w:p>
            <w:pPr>
              <w:keepNext w:val="0"/>
              <w:keepLines w:val="0"/>
              <w:pageBreakBefore w:val="0"/>
              <w:widowControl/>
              <w:kinsoku/>
              <w:wordWrap/>
              <w:overflowPunct/>
              <w:topLinePunct w:val="0"/>
              <w:autoSpaceDE/>
              <w:autoSpaceDN/>
              <w:bidi w:val="0"/>
              <w:adjustRightInd/>
              <w:snapToGrid w:val="0"/>
              <w:spacing w:line="260" w:lineRule="exact"/>
              <w:textAlignment w:val="auto"/>
              <w:outlineLvl w:val="9"/>
              <w:rPr>
                <w:rFonts w:ascii="仿宋" w:hAnsi="仿宋" w:eastAsia="仿宋" w:cs="仿宋_GB2312"/>
                <w:color w:val="000000"/>
                <w:sz w:val="21"/>
                <w:szCs w:val="21"/>
              </w:rPr>
            </w:pPr>
            <w:r>
              <w:rPr>
                <w:rFonts w:hint="eastAsia" w:ascii="仿宋" w:hAnsi="仿宋" w:eastAsia="仿宋" w:cs="仿宋_GB2312"/>
                <w:color w:val="000000"/>
                <w:sz w:val="21"/>
                <w:szCs w:val="21"/>
              </w:rPr>
              <w:t>制造缺陷</w:t>
            </w:r>
          </w:p>
        </w:tc>
        <w:tc>
          <w:tcPr>
            <w:tcW w:w="2552" w:type="dxa"/>
          </w:tcPr>
          <w:p>
            <w:pPr>
              <w:keepNext w:val="0"/>
              <w:keepLines w:val="0"/>
              <w:pageBreakBefore w:val="0"/>
              <w:widowControl/>
              <w:kinsoku/>
              <w:wordWrap/>
              <w:overflowPunct/>
              <w:topLinePunct w:val="0"/>
              <w:autoSpaceDE/>
              <w:autoSpaceDN/>
              <w:bidi w:val="0"/>
              <w:adjustRightInd/>
              <w:snapToGrid w:val="0"/>
              <w:spacing w:line="260" w:lineRule="exact"/>
              <w:textAlignment w:val="auto"/>
              <w:outlineLvl w:val="9"/>
              <w:rPr>
                <w:rFonts w:ascii="仿宋" w:hAnsi="仿宋" w:eastAsia="仿宋" w:cs="仿宋_GB2312"/>
                <w:b/>
                <w:color w:val="000000"/>
                <w:sz w:val="21"/>
                <w:szCs w:val="21"/>
              </w:rPr>
            </w:pPr>
            <w:r>
              <w:rPr>
                <w:rFonts w:hint="eastAsia" w:ascii="仿宋" w:hAnsi="仿宋" w:eastAsia="仿宋" w:cs="仿宋_GB2312"/>
                <w:color w:val="000000"/>
                <w:sz w:val="21"/>
                <w:szCs w:val="21"/>
              </w:rPr>
              <w:t>产品出厂时与制造商预期的结果不符或与该制造商生产的相同产品明显存在不同</w:t>
            </w:r>
          </w:p>
        </w:tc>
        <w:tc>
          <w:tcPr>
            <w:tcW w:w="2976" w:type="dxa"/>
          </w:tcPr>
          <w:p>
            <w:pPr>
              <w:keepNext w:val="0"/>
              <w:keepLines w:val="0"/>
              <w:pageBreakBefore w:val="0"/>
              <w:widowControl/>
              <w:kinsoku/>
              <w:wordWrap/>
              <w:overflowPunct/>
              <w:topLinePunct w:val="0"/>
              <w:autoSpaceDE/>
              <w:autoSpaceDN/>
              <w:bidi w:val="0"/>
              <w:adjustRightInd/>
              <w:snapToGrid w:val="0"/>
              <w:spacing w:line="260" w:lineRule="exact"/>
              <w:textAlignment w:val="auto"/>
              <w:outlineLvl w:val="9"/>
              <w:rPr>
                <w:rFonts w:ascii="仿宋" w:hAnsi="仿宋" w:eastAsia="仿宋" w:cs="仿宋_GB2312"/>
                <w:color w:val="000000"/>
                <w:sz w:val="21"/>
                <w:szCs w:val="21"/>
              </w:rPr>
            </w:pPr>
            <w:r>
              <w:rPr>
                <w:rFonts w:ascii="仿宋" w:hAnsi="仿宋" w:eastAsia="仿宋" w:cs="仿宋_GB2312"/>
                <w:color w:val="000000"/>
                <w:sz w:val="21"/>
                <w:szCs w:val="21"/>
              </w:rPr>
              <w:t>企业应确保产品在制造过程中符合质量标准和设计规范</w:t>
            </w:r>
          </w:p>
        </w:tc>
        <w:tc>
          <w:tcPr>
            <w:tcW w:w="5162" w:type="dxa"/>
          </w:tcPr>
          <w:p>
            <w:pPr>
              <w:pStyle w:val="12"/>
              <w:keepNext w:val="0"/>
              <w:keepLines w:val="0"/>
              <w:pageBreakBefore w:val="0"/>
              <w:widowControl/>
              <w:numPr>
                <w:ilvl w:val="255"/>
                <w:numId w:val="0"/>
              </w:numPr>
              <w:kinsoku/>
              <w:wordWrap/>
              <w:overflowPunct/>
              <w:topLinePunct w:val="0"/>
              <w:autoSpaceDE/>
              <w:autoSpaceDN/>
              <w:bidi w:val="0"/>
              <w:adjustRightInd/>
              <w:snapToGrid w:val="0"/>
              <w:spacing w:line="260" w:lineRule="exact"/>
              <w:textAlignment w:val="auto"/>
              <w:outlineLvl w:val="9"/>
              <w:rPr>
                <w:rFonts w:ascii="仿宋" w:hAnsi="仿宋" w:eastAsia="仿宋" w:cs="仿宋_GB2312"/>
                <w:color w:val="000000"/>
                <w:sz w:val="21"/>
                <w:szCs w:val="21"/>
              </w:rPr>
            </w:pPr>
            <w:r>
              <w:rPr>
                <w:rFonts w:ascii="仿宋" w:hAnsi="仿宋" w:eastAsia="仿宋" w:cs="仿宋_GB2312"/>
                <w:color w:val="000000"/>
                <w:sz w:val="21"/>
                <w:szCs w:val="21"/>
              </w:rPr>
              <w:t>杜克诉克莱斯勒汽车公司案</w:t>
            </w:r>
            <w:r>
              <w:rPr>
                <w:rFonts w:hint="eastAsia" w:ascii="仿宋" w:hAnsi="仿宋" w:eastAsia="仿宋" w:cs="仿宋_GB2312"/>
                <w:color w:val="000000"/>
                <w:sz w:val="21"/>
                <w:szCs w:val="21"/>
              </w:rPr>
              <w:t>（宾夕法尼亚州最高法院，1994年）：原告驾驶被告生产的汽车时，方向盘被锁住，刹车系统失灵，导致背部受伤。被告因该车存在制造缺陷而承担严格责任。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1" w:hRule="atLeast"/>
          <w:jc w:val="center"/>
        </w:trPr>
        <w:tc>
          <w:tcPr>
            <w:tcW w:w="1269" w:type="dxa"/>
            <w:vMerge w:val="continue"/>
          </w:tcPr>
          <w:p>
            <w:pPr>
              <w:keepNext w:val="0"/>
              <w:keepLines w:val="0"/>
              <w:pageBreakBefore w:val="0"/>
              <w:widowControl/>
              <w:kinsoku/>
              <w:wordWrap/>
              <w:overflowPunct/>
              <w:topLinePunct w:val="0"/>
              <w:autoSpaceDE/>
              <w:autoSpaceDN/>
              <w:bidi w:val="0"/>
              <w:adjustRightInd/>
              <w:snapToGrid w:val="0"/>
              <w:spacing w:line="260" w:lineRule="exact"/>
              <w:textAlignment w:val="auto"/>
              <w:outlineLvl w:val="9"/>
              <w:rPr>
                <w:rFonts w:ascii="仿宋" w:hAnsi="仿宋" w:eastAsia="仿宋" w:cs="仿宋_GB2312"/>
                <w:color w:val="000000"/>
                <w:sz w:val="21"/>
                <w:szCs w:val="21"/>
              </w:rPr>
            </w:pPr>
          </w:p>
        </w:tc>
        <w:tc>
          <w:tcPr>
            <w:tcW w:w="1275" w:type="dxa"/>
            <w:vMerge w:val="continue"/>
          </w:tcPr>
          <w:p>
            <w:pPr>
              <w:keepNext w:val="0"/>
              <w:keepLines w:val="0"/>
              <w:pageBreakBefore w:val="0"/>
              <w:widowControl/>
              <w:kinsoku/>
              <w:wordWrap/>
              <w:overflowPunct/>
              <w:topLinePunct w:val="0"/>
              <w:autoSpaceDE/>
              <w:autoSpaceDN/>
              <w:bidi w:val="0"/>
              <w:adjustRightInd/>
              <w:snapToGrid w:val="0"/>
              <w:spacing w:line="260" w:lineRule="exact"/>
              <w:textAlignment w:val="auto"/>
              <w:outlineLvl w:val="9"/>
              <w:rPr>
                <w:rFonts w:ascii="仿宋" w:hAnsi="仿宋" w:eastAsia="仿宋" w:cs="仿宋_GB2312"/>
                <w:color w:val="000000"/>
                <w:sz w:val="21"/>
                <w:szCs w:val="21"/>
              </w:rPr>
            </w:pPr>
          </w:p>
        </w:tc>
        <w:tc>
          <w:tcPr>
            <w:tcW w:w="1276" w:type="dxa"/>
          </w:tcPr>
          <w:p>
            <w:pPr>
              <w:keepNext w:val="0"/>
              <w:keepLines w:val="0"/>
              <w:pageBreakBefore w:val="0"/>
              <w:widowControl/>
              <w:kinsoku/>
              <w:wordWrap/>
              <w:overflowPunct/>
              <w:topLinePunct w:val="0"/>
              <w:autoSpaceDE/>
              <w:autoSpaceDN/>
              <w:bidi w:val="0"/>
              <w:adjustRightInd/>
              <w:snapToGrid w:val="0"/>
              <w:spacing w:line="260" w:lineRule="exact"/>
              <w:textAlignment w:val="auto"/>
              <w:outlineLvl w:val="9"/>
              <w:rPr>
                <w:rFonts w:ascii="仿宋" w:hAnsi="仿宋" w:eastAsia="仿宋" w:cs="仿宋_GB2312"/>
                <w:color w:val="000000"/>
                <w:sz w:val="21"/>
                <w:szCs w:val="21"/>
              </w:rPr>
            </w:pPr>
            <w:r>
              <w:rPr>
                <w:rFonts w:hint="eastAsia" w:ascii="仿宋" w:hAnsi="仿宋" w:eastAsia="仿宋" w:cs="仿宋_GB2312"/>
                <w:color w:val="000000"/>
                <w:sz w:val="21"/>
                <w:szCs w:val="21"/>
              </w:rPr>
              <w:t>设计缺陷</w:t>
            </w:r>
          </w:p>
        </w:tc>
        <w:tc>
          <w:tcPr>
            <w:tcW w:w="2552" w:type="dxa"/>
          </w:tcPr>
          <w:p>
            <w:pPr>
              <w:keepNext w:val="0"/>
              <w:keepLines w:val="0"/>
              <w:pageBreakBefore w:val="0"/>
              <w:widowControl/>
              <w:kinsoku/>
              <w:wordWrap/>
              <w:overflowPunct/>
              <w:topLinePunct w:val="0"/>
              <w:autoSpaceDE/>
              <w:autoSpaceDN/>
              <w:bidi w:val="0"/>
              <w:adjustRightInd/>
              <w:snapToGrid w:val="0"/>
              <w:spacing w:line="260" w:lineRule="exact"/>
              <w:textAlignment w:val="auto"/>
              <w:outlineLvl w:val="9"/>
              <w:rPr>
                <w:rFonts w:ascii="仿宋" w:hAnsi="仿宋" w:eastAsia="仿宋" w:cs="仿宋_GB2312"/>
                <w:color w:val="000000"/>
                <w:sz w:val="21"/>
                <w:szCs w:val="21"/>
              </w:rPr>
            </w:pPr>
            <w:r>
              <w:rPr>
                <w:rFonts w:hint="eastAsia" w:ascii="仿宋" w:hAnsi="仿宋" w:eastAsia="仿宋" w:cs="仿宋_GB2312"/>
                <w:color w:val="000000"/>
                <w:sz w:val="21"/>
                <w:szCs w:val="21"/>
              </w:rPr>
              <w:t>产品使用时不能合理预期地安全使用，或产品设计的内在危险大于其所带来的益处</w:t>
            </w:r>
          </w:p>
        </w:tc>
        <w:tc>
          <w:tcPr>
            <w:tcW w:w="2976" w:type="dxa"/>
          </w:tcPr>
          <w:p>
            <w:pPr>
              <w:keepNext w:val="0"/>
              <w:keepLines w:val="0"/>
              <w:pageBreakBefore w:val="0"/>
              <w:widowControl/>
              <w:kinsoku/>
              <w:wordWrap/>
              <w:overflowPunct/>
              <w:topLinePunct w:val="0"/>
              <w:autoSpaceDE/>
              <w:autoSpaceDN/>
              <w:bidi w:val="0"/>
              <w:adjustRightInd/>
              <w:snapToGrid w:val="0"/>
              <w:spacing w:line="260" w:lineRule="exact"/>
              <w:textAlignment w:val="auto"/>
              <w:outlineLvl w:val="9"/>
              <w:rPr>
                <w:rFonts w:ascii="仿宋" w:hAnsi="仿宋" w:eastAsia="仿宋" w:cs="仿宋_GB2312"/>
                <w:color w:val="000000"/>
                <w:sz w:val="21"/>
                <w:szCs w:val="21"/>
              </w:rPr>
            </w:pPr>
            <w:r>
              <w:rPr>
                <w:rFonts w:ascii="仿宋" w:hAnsi="仿宋" w:eastAsia="仿宋" w:cs="仿宋_GB2312"/>
                <w:color w:val="000000"/>
                <w:sz w:val="21"/>
                <w:szCs w:val="21"/>
              </w:rPr>
              <w:t>企业应确保产品的设计中不存在不合理的危险性</w:t>
            </w:r>
            <w:r>
              <w:rPr>
                <w:rFonts w:hint="eastAsia" w:ascii="仿宋" w:hAnsi="仿宋" w:eastAsia="仿宋" w:cs="仿宋_GB2312"/>
                <w:color w:val="000000"/>
                <w:sz w:val="21"/>
                <w:szCs w:val="21"/>
              </w:rPr>
              <w:t>，</w:t>
            </w:r>
            <w:r>
              <w:rPr>
                <w:rFonts w:ascii="仿宋" w:hAnsi="仿宋" w:eastAsia="仿宋" w:cs="仿宋_GB2312"/>
                <w:color w:val="000000"/>
                <w:sz w:val="21"/>
                <w:szCs w:val="21"/>
              </w:rPr>
              <w:t>考虑安全的替代设计并适时改进</w:t>
            </w:r>
          </w:p>
        </w:tc>
        <w:tc>
          <w:tcPr>
            <w:tcW w:w="5162" w:type="dxa"/>
          </w:tcPr>
          <w:p>
            <w:pPr>
              <w:keepNext w:val="0"/>
              <w:keepLines w:val="0"/>
              <w:pageBreakBefore w:val="0"/>
              <w:widowControl/>
              <w:kinsoku/>
              <w:wordWrap/>
              <w:overflowPunct/>
              <w:topLinePunct w:val="0"/>
              <w:autoSpaceDE/>
              <w:autoSpaceDN/>
              <w:bidi w:val="0"/>
              <w:adjustRightInd/>
              <w:snapToGrid w:val="0"/>
              <w:spacing w:line="260" w:lineRule="exact"/>
              <w:textAlignment w:val="auto"/>
              <w:outlineLvl w:val="9"/>
              <w:rPr>
                <w:rFonts w:ascii="仿宋" w:hAnsi="仿宋" w:eastAsia="仿宋" w:cs="仿宋_GB2312"/>
                <w:color w:val="000000"/>
                <w:sz w:val="21"/>
                <w:szCs w:val="21"/>
              </w:rPr>
            </w:pPr>
            <w:r>
              <w:rPr>
                <w:rFonts w:ascii="仿宋" w:hAnsi="仿宋" w:eastAsia="仿宋" w:cs="仿宋_GB2312"/>
                <w:color w:val="000000"/>
                <w:sz w:val="21"/>
                <w:szCs w:val="21"/>
              </w:rPr>
              <w:t>麦科马克诉汉克斯工艺公司案</w:t>
            </w:r>
            <w:r>
              <w:rPr>
                <w:rFonts w:hint="eastAsia" w:ascii="仿宋" w:hAnsi="仿宋" w:eastAsia="仿宋" w:cs="仿宋_GB2312"/>
                <w:color w:val="000000"/>
                <w:sz w:val="21"/>
                <w:szCs w:val="21"/>
              </w:rPr>
              <w:t>（明尼苏达州最高法院，1967年）：4岁的原告夜晚碰到被告生产的加湿器，开水溅到她身上导致三级烧伤。被告因加湿器设计不防烫伤而赔偿原告15万美元。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1" w:hRule="atLeast"/>
          <w:jc w:val="center"/>
        </w:trPr>
        <w:tc>
          <w:tcPr>
            <w:tcW w:w="1269" w:type="dxa"/>
            <w:vMerge w:val="continue"/>
          </w:tcPr>
          <w:p>
            <w:pPr>
              <w:keepNext w:val="0"/>
              <w:keepLines w:val="0"/>
              <w:pageBreakBefore w:val="0"/>
              <w:widowControl/>
              <w:kinsoku/>
              <w:wordWrap/>
              <w:overflowPunct/>
              <w:topLinePunct w:val="0"/>
              <w:autoSpaceDE/>
              <w:autoSpaceDN/>
              <w:bidi w:val="0"/>
              <w:adjustRightInd/>
              <w:snapToGrid w:val="0"/>
              <w:spacing w:line="260" w:lineRule="exact"/>
              <w:textAlignment w:val="auto"/>
              <w:outlineLvl w:val="9"/>
              <w:rPr>
                <w:rFonts w:ascii="仿宋" w:hAnsi="仿宋" w:eastAsia="仿宋" w:cs="仿宋_GB2312"/>
                <w:color w:val="000000"/>
                <w:sz w:val="21"/>
                <w:szCs w:val="21"/>
              </w:rPr>
            </w:pPr>
          </w:p>
        </w:tc>
        <w:tc>
          <w:tcPr>
            <w:tcW w:w="1275" w:type="dxa"/>
            <w:vMerge w:val="continue"/>
          </w:tcPr>
          <w:p>
            <w:pPr>
              <w:keepNext w:val="0"/>
              <w:keepLines w:val="0"/>
              <w:pageBreakBefore w:val="0"/>
              <w:widowControl/>
              <w:kinsoku/>
              <w:wordWrap/>
              <w:overflowPunct/>
              <w:topLinePunct w:val="0"/>
              <w:autoSpaceDE/>
              <w:autoSpaceDN/>
              <w:bidi w:val="0"/>
              <w:adjustRightInd/>
              <w:snapToGrid w:val="0"/>
              <w:spacing w:line="260" w:lineRule="exact"/>
              <w:textAlignment w:val="auto"/>
              <w:outlineLvl w:val="9"/>
              <w:rPr>
                <w:rFonts w:ascii="仿宋" w:hAnsi="仿宋" w:eastAsia="仿宋" w:cs="仿宋_GB2312"/>
                <w:color w:val="000000"/>
                <w:sz w:val="21"/>
                <w:szCs w:val="21"/>
              </w:rPr>
            </w:pPr>
          </w:p>
        </w:tc>
        <w:tc>
          <w:tcPr>
            <w:tcW w:w="1276" w:type="dxa"/>
          </w:tcPr>
          <w:p>
            <w:pPr>
              <w:keepNext w:val="0"/>
              <w:keepLines w:val="0"/>
              <w:pageBreakBefore w:val="0"/>
              <w:widowControl/>
              <w:kinsoku/>
              <w:wordWrap/>
              <w:overflowPunct/>
              <w:topLinePunct w:val="0"/>
              <w:autoSpaceDE/>
              <w:autoSpaceDN/>
              <w:bidi w:val="0"/>
              <w:adjustRightInd/>
              <w:snapToGrid w:val="0"/>
              <w:spacing w:line="260" w:lineRule="exact"/>
              <w:textAlignment w:val="auto"/>
              <w:outlineLvl w:val="9"/>
              <w:rPr>
                <w:rFonts w:ascii="仿宋" w:hAnsi="仿宋" w:eastAsia="仿宋" w:cs="仿宋_GB2312"/>
                <w:color w:val="000000"/>
                <w:sz w:val="21"/>
                <w:szCs w:val="21"/>
              </w:rPr>
            </w:pPr>
            <w:r>
              <w:rPr>
                <w:rFonts w:ascii="仿宋" w:hAnsi="仿宋" w:eastAsia="仿宋" w:cs="仿宋_GB2312"/>
                <w:color w:val="000000"/>
                <w:sz w:val="21"/>
                <w:szCs w:val="21"/>
              </w:rPr>
              <w:t>警示或说明缺陷</w:t>
            </w:r>
          </w:p>
        </w:tc>
        <w:tc>
          <w:tcPr>
            <w:tcW w:w="2552" w:type="dxa"/>
          </w:tcPr>
          <w:p>
            <w:pPr>
              <w:keepNext w:val="0"/>
              <w:keepLines w:val="0"/>
              <w:pageBreakBefore w:val="0"/>
              <w:widowControl/>
              <w:kinsoku/>
              <w:wordWrap/>
              <w:overflowPunct/>
              <w:topLinePunct w:val="0"/>
              <w:autoSpaceDE/>
              <w:autoSpaceDN/>
              <w:bidi w:val="0"/>
              <w:adjustRightInd/>
              <w:snapToGrid w:val="0"/>
              <w:spacing w:line="260" w:lineRule="exact"/>
              <w:textAlignment w:val="auto"/>
              <w:outlineLvl w:val="9"/>
              <w:rPr>
                <w:rFonts w:ascii="仿宋" w:hAnsi="仿宋" w:eastAsia="仿宋" w:cs="仿宋_GB2312"/>
                <w:color w:val="000000"/>
                <w:sz w:val="21"/>
                <w:szCs w:val="21"/>
              </w:rPr>
            </w:pPr>
            <w:r>
              <w:rPr>
                <w:rFonts w:ascii="仿宋" w:hAnsi="仿宋" w:eastAsia="仿宋" w:cs="仿宋_GB2312"/>
                <w:color w:val="000000"/>
                <w:sz w:val="21"/>
                <w:szCs w:val="21"/>
              </w:rPr>
              <w:t>产品存在普通消费者不易察觉的安全隐患</w:t>
            </w:r>
            <w:r>
              <w:rPr>
                <w:rFonts w:hint="eastAsia" w:ascii="仿宋" w:hAnsi="仿宋" w:eastAsia="仿宋" w:cs="仿宋_GB2312"/>
                <w:color w:val="000000"/>
                <w:sz w:val="21"/>
                <w:szCs w:val="21"/>
              </w:rPr>
              <w:t>，</w:t>
            </w:r>
            <w:r>
              <w:rPr>
                <w:rFonts w:ascii="仿宋" w:hAnsi="仿宋" w:eastAsia="仿宋" w:cs="仿宋_GB2312"/>
                <w:color w:val="000000"/>
                <w:sz w:val="21"/>
                <w:szCs w:val="21"/>
              </w:rPr>
              <w:t>生产商</w:t>
            </w:r>
            <w:r>
              <w:rPr>
                <w:rFonts w:hint="eastAsia" w:ascii="仿宋" w:hAnsi="仿宋" w:eastAsia="仿宋" w:cs="仿宋_GB2312"/>
                <w:color w:val="000000"/>
                <w:sz w:val="21"/>
                <w:szCs w:val="21"/>
              </w:rPr>
              <w:t>未</w:t>
            </w:r>
            <w:r>
              <w:rPr>
                <w:rFonts w:ascii="仿宋" w:hAnsi="仿宋" w:eastAsia="仿宋" w:cs="仿宋_GB2312"/>
                <w:color w:val="000000"/>
                <w:sz w:val="21"/>
                <w:szCs w:val="21"/>
              </w:rPr>
              <w:t>针对该危险给出足够警示</w:t>
            </w:r>
          </w:p>
        </w:tc>
        <w:tc>
          <w:tcPr>
            <w:tcW w:w="2976" w:type="dxa"/>
          </w:tcPr>
          <w:p>
            <w:pPr>
              <w:keepNext w:val="0"/>
              <w:keepLines w:val="0"/>
              <w:pageBreakBefore w:val="0"/>
              <w:widowControl/>
              <w:kinsoku/>
              <w:wordWrap/>
              <w:overflowPunct/>
              <w:topLinePunct w:val="0"/>
              <w:autoSpaceDE/>
              <w:autoSpaceDN/>
              <w:bidi w:val="0"/>
              <w:adjustRightInd/>
              <w:snapToGrid w:val="0"/>
              <w:spacing w:line="260" w:lineRule="exact"/>
              <w:textAlignment w:val="auto"/>
              <w:outlineLvl w:val="9"/>
              <w:rPr>
                <w:rFonts w:ascii="仿宋" w:hAnsi="仿宋" w:eastAsia="仿宋" w:cs="仿宋_GB2312"/>
                <w:color w:val="000000"/>
                <w:sz w:val="21"/>
                <w:szCs w:val="21"/>
              </w:rPr>
            </w:pPr>
            <w:r>
              <w:rPr>
                <w:rFonts w:hint="eastAsia" w:ascii="仿宋" w:hAnsi="仿宋" w:eastAsia="仿宋" w:cs="仿宋_GB2312"/>
                <w:color w:val="000000"/>
                <w:sz w:val="21"/>
                <w:szCs w:val="21"/>
              </w:rPr>
              <w:t>企业根据公认和普遍的最先进科学技术了解产品的安全隐患，并作出充分警示</w:t>
            </w:r>
          </w:p>
        </w:tc>
        <w:tc>
          <w:tcPr>
            <w:tcW w:w="5162" w:type="dxa"/>
          </w:tcPr>
          <w:p>
            <w:pPr>
              <w:keepNext w:val="0"/>
              <w:keepLines w:val="0"/>
              <w:pageBreakBefore w:val="0"/>
              <w:widowControl/>
              <w:kinsoku/>
              <w:wordWrap/>
              <w:overflowPunct/>
              <w:topLinePunct w:val="0"/>
              <w:autoSpaceDE/>
              <w:autoSpaceDN/>
              <w:bidi w:val="0"/>
              <w:adjustRightInd/>
              <w:snapToGrid w:val="0"/>
              <w:spacing w:line="260" w:lineRule="exact"/>
              <w:textAlignment w:val="auto"/>
              <w:outlineLvl w:val="9"/>
              <w:rPr>
                <w:rFonts w:ascii="仿宋" w:hAnsi="仿宋" w:eastAsia="仿宋" w:cs="仿宋_GB2312"/>
                <w:color w:val="000000"/>
                <w:sz w:val="21"/>
                <w:szCs w:val="21"/>
              </w:rPr>
            </w:pPr>
            <w:r>
              <w:rPr>
                <w:rFonts w:ascii="仿宋" w:hAnsi="仿宋" w:eastAsia="仿宋" w:cs="仿宋_GB2312"/>
                <w:color w:val="000000"/>
                <w:sz w:val="21"/>
                <w:szCs w:val="21"/>
              </w:rPr>
              <w:t>迈克尔诉华纳</w:t>
            </w:r>
            <w:r>
              <w:rPr>
                <w:rFonts w:hint="eastAsia" w:ascii="仿宋" w:hAnsi="仿宋" w:eastAsia="仿宋" w:cs="仿宋_GB2312"/>
                <w:color w:val="000000"/>
                <w:sz w:val="21"/>
                <w:szCs w:val="21"/>
              </w:rPr>
              <w:t>/齐沃科特案（新墨西哥州上诉法院，1978年）：原告从被告处购买了一种鼻窦炎药片，服用后造成肝脏损害。被告因对药片的警示不充分不得当而承担赔偿责任。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1" w:hRule="atLeast"/>
          <w:jc w:val="center"/>
        </w:trPr>
        <w:tc>
          <w:tcPr>
            <w:tcW w:w="1269" w:type="dxa"/>
            <w:vAlign w:val="center"/>
          </w:tcPr>
          <w:p>
            <w:pPr>
              <w:keepNext w:val="0"/>
              <w:keepLines w:val="0"/>
              <w:pageBreakBefore w:val="0"/>
              <w:widowControl/>
              <w:kinsoku/>
              <w:wordWrap/>
              <w:overflowPunct/>
              <w:topLinePunct w:val="0"/>
              <w:autoSpaceDE/>
              <w:autoSpaceDN/>
              <w:bidi w:val="0"/>
              <w:adjustRightInd/>
              <w:snapToGrid w:val="0"/>
              <w:spacing w:line="260" w:lineRule="exact"/>
              <w:textAlignment w:val="auto"/>
              <w:outlineLvl w:val="9"/>
              <w:rPr>
                <w:rFonts w:ascii="仿宋" w:hAnsi="仿宋" w:eastAsia="仿宋" w:cs="仿宋_GB2312"/>
                <w:color w:val="000000"/>
                <w:sz w:val="21"/>
                <w:szCs w:val="21"/>
              </w:rPr>
            </w:pPr>
            <w:r>
              <w:rPr>
                <w:rFonts w:hint="eastAsia" w:ascii="仿宋" w:hAnsi="仿宋" w:eastAsia="仿宋" w:cs="仿宋_GB2312"/>
                <w:color w:val="000000"/>
                <w:sz w:val="21"/>
                <w:szCs w:val="21"/>
              </w:rPr>
              <w:t>疏忽的责任</w:t>
            </w:r>
          </w:p>
        </w:tc>
        <w:tc>
          <w:tcPr>
            <w:tcW w:w="1275" w:type="dxa"/>
            <w:vAlign w:val="center"/>
          </w:tcPr>
          <w:p>
            <w:pPr>
              <w:keepNext w:val="0"/>
              <w:keepLines w:val="0"/>
              <w:pageBreakBefore w:val="0"/>
              <w:widowControl/>
              <w:kinsoku/>
              <w:wordWrap/>
              <w:overflowPunct/>
              <w:topLinePunct w:val="0"/>
              <w:autoSpaceDE/>
              <w:autoSpaceDN/>
              <w:bidi w:val="0"/>
              <w:adjustRightInd/>
              <w:snapToGrid w:val="0"/>
              <w:spacing w:line="260" w:lineRule="exact"/>
              <w:textAlignment w:val="auto"/>
              <w:outlineLvl w:val="9"/>
              <w:rPr>
                <w:rFonts w:ascii="仿宋" w:hAnsi="仿宋" w:eastAsia="仿宋" w:cs="仿宋_GB2312"/>
                <w:color w:val="000000"/>
                <w:sz w:val="21"/>
                <w:szCs w:val="21"/>
              </w:rPr>
            </w:pPr>
            <w:r>
              <w:rPr>
                <w:rFonts w:ascii="仿宋" w:hAnsi="仿宋" w:eastAsia="仿宋" w:cs="仿宋_GB2312"/>
                <w:color w:val="000000"/>
                <w:sz w:val="21"/>
                <w:szCs w:val="21"/>
              </w:rPr>
              <w:t>因问题产品制造中存在疏忽的索赔</w:t>
            </w:r>
          </w:p>
        </w:tc>
        <w:tc>
          <w:tcPr>
            <w:tcW w:w="1276" w:type="dxa"/>
          </w:tcPr>
          <w:p>
            <w:pPr>
              <w:keepNext w:val="0"/>
              <w:keepLines w:val="0"/>
              <w:pageBreakBefore w:val="0"/>
              <w:widowControl/>
              <w:kinsoku/>
              <w:wordWrap/>
              <w:overflowPunct/>
              <w:topLinePunct w:val="0"/>
              <w:autoSpaceDE/>
              <w:autoSpaceDN/>
              <w:bidi w:val="0"/>
              <w:adjustRightInd/>
              <w:snapToGrid w:val="0"/>
              <w:spacing w:line="260" w:lineRule="exact"/>
              <w:textAlignment w:val="auto"/>
              <w:outlineLvl w:val="9"/>
              <w:rPr>
                <w:rFonts w:ascii="仿宋" w:hAnsi="仿宋" w:eastAsia="仿宋" w:cs="仿宋_GB2312"/>
                <w:color w:val="000000"/>
                <w:sz w:val="21"/>
                <w:szCs w:val="21"/>
              </w:rPr>
            </w:pPr>
            <w:r>
              <w:rPr>
                <w:rFonts w:ascii="仿宋" w:hAnsi="仿宋" w:eastAsia="仿宋" w:cs="仿宋_GB2312"/>
                <w:color w:val="000000"/>
                <w:sz w:val="21"/>
                <w:szCs w:val="21"/>
              </w:rPr>
              <w:t>疏忽</w:t>
            </w:r>
          </w:p>
        </w:tc>
        <w:tc>
          <w:tcPr>
            <w:tcW w:w="2552" w:type="dxa"/>
          </w:tcPr>
          <w:p>
            <w:pPr>
              <w:keepNext w:val="0"/>
              <w:keepLines w:val="0"/>
              <w:pageBreakBefore w:val="0"/>
              <w:widowControl/>
              <w:kinsoku/>
              <w:wordWrap/>
              <w:overflowPunct/>
              <w:topLinePunct w:val="0"/>
              <w:autoSpaceDE/>
              <w:autoSpaceDN/>
              <w:bidi w:val="0"/>
              <w:adjustRightInd/>
              <w:snapToGrid w:val="0"/>
              <w:spacing w:line="260" w:lineRule="exact"/>
              <w:textAlignment w:val="auto"/>
              <w:outlineLvl w:val="9"/>
              <w:rPr>
                <w:rFonts w:ascii="仿宋" w:hAnsi="仿宋" w:eastAsia="仿宋" w:cs="仿宋_GB2312"/>
                <w:color w:val="000000"/>
                <w:sz w:val="21"/>
                <w:szCs w:val="21"/>
              </w:rPr>
            </w:pPr>
            <w:r>
              <w:rPr>
                <w:rFonts w:ascii="仿宋" w:hAnsi="仿宋" w:eastAsia="仿宋" w:cs="仿宋_GB2312"/>
                <w:color w:val="000000"/>
                <w:sz w:val="21"/>
                <w:szCs w:val="21"/>
              </w:rPr>
              <w:t>生产商在设计</w:t>
            </w:r>
            <w:r>
              <w:rPr>
                <w:rFonts w:hint="eastAsia" w:ascii="仿宋" w:hAnsi="仿宋" w:eastAsia="仿宋" w:cs="仿宋_GB2312"/>
                <w:color w:val="000000"/>
                <w:sz w:val="21"/>
                <w:szCs w:val="21"/>
              </w:rPr>
              <w:t>、</w:t>
            </w:r>
            <w:r>
              <w:rPr>
                <w:rFonts w:ascii="仿宋" w:hAnsi="仿宋" w:eastAsia="仿宋" w:cs="仿宋_GB2312"/>
                <w:color w:val="000000"/>
                <w:sz w:val="21"/>
                <w:szCs w:val="21"/>
              </w:rPr>
              <w:t>制造</w:t>
            </w:r>
            <w:r>
              <w:rPr>
                <w:rFonts w:hint="eastAsia" w:ascii="仿宋" w:hAnsi="仿宋" w:eastAsia="仿宋" w:cs="仿宋_GB2312"/>
                <w:color w:val="000000"/>
                <w:sz w:val="21"/>
                <w:szCs w:val="21"/>
              </w:rPr>
              <w:t>、</w:t>
            </w:r>
            <w:r>
              <w:rPr>
                <w:rFonts w:ascii="仿宋" w:hAnsi="仿宋" w:eastAsia="仿宋" w:cs="仿宋_GB2312"/>
                <w:color w:val="000000"/>
                <w:sz w:val="21"/>
                <w:szCs w:val="21"/>
              </w:rPr>
              <w:t>测试</w:t>
            </w:r>
            <w:r>
              <w:rPr>
                <w:rFonts w:hint="eastAsia" w:ascii="仿宋" w:hAnsi="仿宋" w:eastAsia="仿宋" w:cs="仿宋_GB2312"/>
                <w:color w:val="000000"/>
                <w:sz w:val="21"/>
                <w:szCs w:val="21"/>
              </w:rPr>
              <w:t>、</w:t>
            </w:r>
            <w:r>
              <w:rPr>
                <w:rFonts w:ascii="仿宋" w:hAnsi="仿宋" w:eastAsia="仿宋" w:cs="仿宋_GB2312"/>
                <w:color w:val="000000"/>
                <w:sz w:val="21"/>
                <w:szCs w:val="21"/>
              </w:rPr>
              <w:t>检验</w:t>
            </w:r>
            <w:r>
              <w:rPr>
                <w:rFonts w:hint="eastAsia" w:ascii="仿宋" w:hAnsi="仿宋" w:eastAsia="仿宋" w:cs="仿宋_GB2312"/>
                <w:color w:val="000000"/>
                <w:sz w:val="21"/>
                <w:szCs w:val="21"/>
              </w:rPr>
              <w:t>等环节</w:t>
            </w:r>
            <w:r>
              <w:rPr>
                <w:rFonts w:ascii="仿宋" w:hAnsi="仿宋" w:eastAsia="仿宋" w:cs="仿宋_GB2312"/>
                <w:color w:val="000000"/>
                <w:sz w:val="21"/>
                <w:szCs w:val="21"/>
              </w:rPr>
              <w:t>因疏忽</w:t>
            </w:r>
            <w:r>
              <w:rPr>
                <w:rFonts w:hint="eastAsia" w:ascii="仿宋" w:hAnsi="仿宋" w:eastAsia="仿宋" w:cs="仿宋_GB2312"/>
                <w:color w:val="000000"/>
                <w:sz w:val="21"/>
                <w:szCs w:val="21"/>
              </w:rPr>
              <w:t>生产出有危险的产品</w:t>
            </w:r>
          </w:p>
        </w:tc>
        <w:tc>
          <w:tcPr>
            <w:tcW w:w="2976" w:type="dxa"/>
          </w:tcPr>
          <w:p>
            <w:pPr>
              <w:keepNext w:val="0"/>
              <w:keepLines w:val="0"/>
              <w:pageBreakBefore w:val="0"/>
              <w:widowControl/>
              <w:shd w:val="clear" w:color="auto" w:fill="FFFFFF"/>
              <w:kinsoku/>
              <w:wordWrap/>
              <w:overflowPunct/>
              <w:topLinePunct w:val="0"/>
              <w:autoSpaceDE/>
              <w:autoSpaceDN/>
              <w:bidi w:val="0"/>
              <w:adjustRightInd/>
              <w:snapToGrid w:val="0"/>
              <w:spacing w:line="260" w:lineRule="exact"/>
              <w:textAlignment w:val="auto"/>
              <w:outlineLvl w:val="9"/>
              <w:rPr>
                <w:rFonts w:ascii="仿宋" w:hAnsi="仿宋" w:eastAsia="仿宋" w:cs="仿宋_GB2312"/>
                <w:color w:val="000000"/>
                <w:sz w:val="21"/>
                <w:szCs w:val="21"/>
              </w:rPr>
            </w:pPr>
            <w:r>
              <w:rPr>
                <w:rFonts w:ascii="仿宋" w:hAnsi="仿宋" w:eastAsia="仿宋" w:cs="仿宋_GB2312"/>
                <w:color w:val="000000"/>
                <w:sz w:val="21"/>
                <w:szCs w:val="21"/>
              </w:rPr>
              <w:t>企业</w:t>
            </w:r>
            <w:r>
              <w:rPr>
                <w:rFonts w:hint="eastAsia" w:ascii="仿宋" w:hAnsi="仿宋" w:eastAsia="仿宋" w:cs="仿宋_GB2312"/>
                <w:color w:val="000000"/>
                <w:sz w:val="21"/>
                <w:szCs w:val="21"/>
              </w:rPr>
              <w:t>对各环节尽合理注意义务，对其他供应商提供的任何零部件进行检查和检验</w:t>
            </w:r>
          </w:p>
        </w:tc>
        <w:tc>
          <w:tcPr>
            <w:tcW w:w="5162" w:type="dxa"/>
          </w:tcPr>
          <w:p>
            <w:pPr>
              <w:pStyle w:val="12"/>
              <w:keepNext w:val="0"/>
              <w:keepLines w:val="0"/>
              <w:pageBreakBefore w:val="0"/>
              <w:widowControl/>
              <w:numPr>
                <w:ilvl w:val="255"/>
                <w:numId w:val="0"/>
              </w:numPr>
              <w:kinsoku/>
              <w:wordWrap/>
              <w:overflowPunct/>
              <w:topLinePunct w:val="0"/>
              <w:autoSpaceDE/>
              <w:autoSpaceDN/>
              <w:bidi w:val="0"/>
              <w:adjustRightInd/>
              <w:snapToGrid w:val="0"/>
              <w:spacing w:line="260" w:lineRule="exact"/>
              <w:textAlignment w:val="auto"/>
              <w:outlineLvl w:val="9"/>
              <w:rPr>
                <w:rFonts w:ascii="仿宋" w:hAnsi="仿宋" w:eastAsia="仿宋" w:cs="仿宋_GB2312"/>
                <w:color w:val="000000"/>
                <w:sz w:val="21"/>
                <w:szCs w:val="21"/>
              </w:rPr>
            </w:pPr>
            <w:r>
              <w:rPr>
                <w:rFonts w:ascii="仿宋" w:hAnsi="仿宋" w:eastAsia="仿宋" w:cs="仿宋_GB2312"/>
                <w:color w:val="000000"/>
                <w:sz w:val="21"/>
                <w:szCs w:val="21"/>
              </w:rPr>
              <w:t>麦克弗森诉别克汽车公司案</w:t>
            </w:r>
            <w:r>
              <w:rPr>
                <w:rFonts w:hint="eastAsia" w:ascii="仿宋" w:hAnsi="仿宋" w:eastAsia="仿宋" w:cs="仿宋_GB2312"/>
                <w:color w:val="000000"/>
                <w:sz w:val="21"/>
                <w:szCs w:val="21"/>
              </w:rPr>
              <w:t>（纽约上诉法院，1916年）：原告驾车行驶时因车轮破裂、汽车突然翻覆而受伤，被告因未检查从其他制造商购买的车轮而存在过失。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1" w:hRule="atLeast"/>
          <w:jc w:val="center"/>
        </w:trPr>
        <w:tc>
          <w:tcPr>
            <w:tcW w:w="1269" w:type="dxa"/>
            <w:vMerge w:val="restart"/>
            <w:vAlign w:val="center"/>
          </w:tcPr>
          <w:p>
            <w:pPr>
              <w:keepNext w:val="0"/>
              <w:keepLines w:val="0"/>
              <w:pageBreakBefore w:val="0"/>
              <w:widowControl/>
              <w:kinsoku/>
              <w:wordWrap/>
              <w:overflowPunct/>
              <w:topLinePunct w:val="0"/>
              <w:autoSpaceDE/>
              <w:autoSpaceDN/>
              <w:bidi w:val="0"/>
              <w:adjustRightInd/>
              <w:snapToGrid w:val="0"/>
              <w:spacing w:line="260" w:lineRule="exact"/>
              <w:textAlignment w:val="auto"/>
              <w:outlineLvl w:val="9"/>
              <w:rPr>
                <w:rFonts w:ascii="仿宋" w:hAnsi="仿宋" w:eastAsia="仿宋" w:cs="仿宋_GB2312"/>
                <w:color w:val="000000"/>
                <w:sz w:val="21"/>
                <w:szCs w:val="21"/>
              </w:rPr>
            </w:pPr>
            <w:r>
              <w:rPr>
                <w:rFonts w:hint="eastAsia" w:ascii="仿宋" w:hAnsi="仿宋" w:eastAsia="仿宋" w:cs="仿宋_GB2312"/>
                <w:color w:val="000000"/>
                <w:sz w:val="21"/>
                <w:szCs w:val="21"/>
              </w:rPr>
              <w:t>违反保证的责任</w:t>
            </w:r>
          </w:p>
        </w:tc>
        <w:tc>
          <w:tcPr>
            <w:tcW w:w="1275" w:type="dxa"/>
            <w:vMerge w:val="restart"/>
            <w:vAlign w:val="center"/>
          </w:tcPr>
          <w:p>
            <w:pPr>
              <w:keepNext w:val="0"/>
              <w:keepLines w:val="0"/>
              <w:pageBreakBefore w:val="0"/>
              <w:widowControl/>
              <w:kinsoku/>
              <w:wordWrap/>
              <w:overflowPunct/>
              <w:topLinePunct w:val="0"/>
              <w:autoSpaceDE/>
              <w:autoSpaceDN/>
              <w:bidi w:val="0"/>
              <w:adjustRightInd/>
              <w:snapToGrid w:val="0"/>
              <w:spacing w:line="260" w:lineRule="exact"/>
              <w:textAlignment w:val="auto"/>
              <w:outlineLvl w:val="9"/>
              <w:rPr>
                <w:rFonts w:ascii="仿宋" w:hAnsi="仿宋" w:eastAsia="仿宋" w:cs="仿宋_GB2312"/>
                <w:color w:val="000000"/>
                <w:sz w:val="21"/>
                <w:szCs w:val="21"/>
              </w:rPr>
            </w:pPr>
            <w:r>
              <w:rPr>
                <w:rFonts w:ascii="仿宋" w:hAnsi="仿宋" w:eastAsia="仿宋" w:cs="仿宋_GB2312"/>
                <w:color w:val="000000"/>
                <w:sz w:val="21"/>
                <w:szCs w:val="21"/>
              </w:rPr>
              <w:t>违反有关产品质量保证的索赔</w:t>
            </w:r>
          </w:p>
        </w:tc>
        <w:tc>
          <w:tcPr>
            <w:tcW w:w="1276" w:type="dxa"/>
          </w:tcPr>
          <w:p>
            <w:pPr>
              <w:keepNext w:val="0"/>
              <w:keepLines w:val="0"/>
              <w:pageBreakBefore w:val="0"/>
              <w:widowControl/>
              <w:kinsoku/>
              <w:wordWrap/>
              <w:overflowPunct/>
              <w:topLinePunct w:val="0"/>
              <w:autoSpaceDE/>
              <w:autoSpaceDN/>
              <w:bidi w:val="0"/>
              <w:adjustRightInd/>
              <w:snapToGrid w:val="0"/>
              <w:spacing w:line="260" w:lineRule="exact"/>
              <w:textAlignment w:val="auto"/>
              <w:outlineLvl w:val="9"/>
              <w:rPr>
                <w:rFonts w:ascii="仿宋" w:hAnsi="仿宋" w:eastAsia="仿宋" w:cs="仿宋_GB2312"/>
                <w:color w:val="000000"/>
                <w:sz w:val="21"/>
                <w:szCs w:val="21"/>
              </w:rPr>
            </w:pPr>
            <w:r>
              <w:rPr>
                <w:rFonts w:ascii="仿宋" w:hAnsi="仿宋" w:eastAsia="仿宋" w:cs="仿宋_GB2312"/>
                <w:color w:val="000000"/>
                <w:sz w:val="21"/>
                <w:szCs w:val="21"/>
              </w:rPr>
              <w:t>明示质量保证</w:t>
            </w:r>
          </w:p>
        </w:tc>
        <w:tc>
          <w:tcPr>
            <w:tcW w:w="2552" w:type="dxa"/>
          </w:tcPr>
          <w:p>
            <w:pPr>
              <w:keepNext w:val="0"/>
              <w:keepLines w:val="0"/>
              <w:pageBreakBefore w:val="0"/>
              <w:widowControl/>
              <w:kinsoku/>
              <w:wordWrap/>
              <w:overflowPunct/>
              <w:topLinePunct w:val="0"/>
              <w:autoSpaceDE/>
              <w:autoSpaceDN/>
              <w:bidi w:val="0"/>
              <w:adjustRightInd/>
              <w:snapToGrid w:val="0"/>
              <w:spacing w:line="260" w:lineRule="exact"/>
              <w:textAlignment w:val="auto"/>
              <w:outlineLvl w:val="9"/>
              <w:rPr>
                <w:rFonts w:ascii="仿宋" w:hAnsi="仿宋" w:eastAsia="仿宋" w:cs="仿宋_GB2312"/>
                <w:color w:val="000000"/>
                <w:sz w:val="21"/>
                <w:szCs w:val="21"/>
              </w:rPr>
            </w:pPr>
            <w:r>
              <w:rPr>
                <w:rFonts w:ascii="仿宋" w:hAnsi="仿宋" w:eastAsia="仿宋" w:cs="仿宋_GB2312"/>
                <w:color w:val="000000"/>
                <w:sz w:val="21"/>
                <w:szCs w:val="21"/>
              </w:rPr>
              <w:t>卖方未遵守向买方就产品质量做出的</w:t>
            </w:r>
            <w:r>
              <w:rPr>
                <w:rFonts w:hint="eastAsia" w:ascii="仿宋" w:hAnsi="仿宋" w:eastAsia="仿宋" w:cs="仿宋_GB2312"/>
                <w:color w:val="000000"/>
                <w:sz w:val="21"/>
                <w:szCs w:val="21"/>
              </w:rPr>
              <w:t>、并</w:t>
            </w:r>
            <w:r>
              <w:rPr>
                <w:rFonts w:ascii="仿宋" w:hAnsi="仿宋" w:eastAsia="仿宋" w:cs="仿宋_GB2312"/>
                <w:color w:val="000000"/>
                <w:sz w:val="21"/>
                <w:szCs w:val="21"/>
              </w:rPr>
              <w:t>构成交易基础一部分的保证</w:t>
            </w:r>
          </w:p>
        </w:tc>
        <w:tc>
          <w:tcPr>
            <w:tcW w:w="2976" w:type="dxa"/>
          </w:tcPr>
          <w:p>
            <w:pPr>
              <w:keepNext w:val="0"/>
              <w:keepLines w:val="0"/>
              <w:pageBreakBefore w:val="0"/>
              <w:widowControl/>
              <w:shd w:val="clear" w:color="auto" w:fill="FFFFFF"/>
              <w:kinsoku/>
              <w:wordWrap/>
              <w:overflowPunct/>
              <w:topLinePunct w:val="0"/>
              <w:autoSpaceDE/>
              <w:autoSpaceDN/>
              <w:bidi w:val="0"/>
              <w:adjustRightInd/>
              <w:snapToGrid w:val="0"/>
              <w:spacing w:line="260" w:lineRule="exact"/>
              <w:textAlignment w:val="auto"/>
              <w:outlineLvl w:val="9"/>
              <w:rPr>
                <w:rFonts w:ascii="仿宋" w:hAnsi="仿宋" w:eastAsia="仿宋" w:cs="仿宋_GB2312"/>
                <w:color w:val="000000"/>
                <w:sz w:val="21"/>
                <w:szCs w:val="21"/>
              </w:rPr>
            </w:pPr>
            <w:r>
              <w:rPr>
                <w:rFonts w:ascii="仿宋" w:hAnsi="仿宋" w:eastAsia="仿宋" w:cs="仿宋_GB2312"/>
                <w:color w:val="000000"/>
                <w:sz w:val="21"/>
                <w:szCs w:val="21"/>
              </w:rPr>
              <w:t>企业应保证所售产品或样品</w:t>
            </w:r>
            <w:r>
              <w:rPr>
                <w:rFonts w:hint="eastAsia" w:ascii="仿宋" w:hAnsi="仿宋" w:eastAsia="仿宋" w:cs="仿宋_GB2312"/>
                <w:color w:val="000000"/>
                <w:sz w:val="21"/>
                <w:szCs w:val="21"/>
              </w:rPr>
              <w:t>、</w:t>
            </w:r>
            <w:r>
              <w:rPr>
                <w:rFonts w:ascii="仿宋" w:hAnsi="仿宋" w:eastAsia="仿宋" w:cs="仿宋_GB2312"/>
                <w:color w:val="000000"/>
                <w:sz w:val="21"/>
                <w:szCs w:val="21"/>
              </w:rPr>
              <w:t>模型合理地遵照明示保证或承诺的质量</w:t>
            </w:r>
            <w:r>
              <w:rPr>
                <w:rFonts w:hint="eastAsia" w:ascii="仿宋" w:hAnsi="仿宋" w:eastAsia="仿宋" w:cs="仿宋_GB2312"/>
                <w:color w:val="000000"/>
                <w:sz w:val="21"/>
                <w:szCs w:val="21"/>
              </w:rPr>
              <w:t>、</w:t>
            </w:r>
            <w:r>
              <w:rPr>
                <w:rFonts w:ascii="仿宋" w:hAnsi="仿宋" w:eastAsia="仿宋" w:cs="仿宋_GB2312"/>
                <w:color w:val="000000"/>
                <w:sz w:val="21"/>
                <w:szCs w:val="21"/>
              </w:rPr>
              <w:t>特征或性能</w:t>
            </w:r>
          </w:p>
        </w:tc>
        <w:tc>
          <w:tcPr>
            <w:tcW w:w="5162" w:type="dxa"/>
          </w:tcPr>
          <w:p>
            <w:pPr>
              <w:pStyle w:val="12"/>
              <w:keepNext w:val="0"/>
              <w:keepLines w:val="0"/>
              <w:pageBreakBefore w:val="0"/>
              <w:widowControl/>
              <w:numPr>
                <w:ilvl w:val="255"/>
                <w:numId w:val="0"/>
              </w:numPr>
              <w:kinsoku/>
              <w:wordWrap/>
              <w:overflowPunct/>
              <w:topLinePunct w:val="0"/>
              <w:autoSpaceDE/>
              <w:autoSpaceDN/>
              <w:bidi w:val="0"/>
              <w:adjustRightInd/>
              <w:snapToGrid w:val="0"/>
              <w:spacing w:line="260" w:lineRule="exact"/>
              <w:textAlignment w:val="auto"/>
              <w:outlineLvl w:val="9"/>
              <w:rPr>
                <w:rFonts w:ascii="仿宋" w:hAnsi="仿宋" w:eastAsia="仿宋" w:cs="仿宋_GB2312"/>
                <w:color w:val="000000"/>
                <w:sz w:val="21"/>
                <w:szCs w:val="21"/>
              </w:rPr>
            </w:pPr>
            <w:r>
              <w:rPr>
                <w:rFonts w:ascii="仿宋" w:hAnsi="仿宋" w:eastAsia="仿宋" w:cs="仿宋_GB2312"/>
                <w:color w:val="000000"/>
                <w:sz w:val="21"/>
                <w:szCs w:val="21"/>
              </w:rPr>
              <w:t>莱恩诉斯旺逊父子公司案</w:t>
            </w:r>
            <w:r>
              <w:rPr>
                <w:rFonts w:hint="eastAsia" w:ascii="仿宋" w:hAnsi="仿宋" w:eastAsia="仿宋" w:cs="仿宋_GB2312"/>
                <w:color w:val="000000"/>
                <w:sz w:val="21"/>
                <w:szCs w:val="21"/>
              </w:rPr>
              <w:t>（加利福尼亚地区上诉法院，1955年）：原告从被告处买了一盒鸡肉罐头，吃罐头过程中一根鸡骨卡住了喉咙。被告违背了罐头为无骨鸡肉罐头的明示担保义务。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5" w:hRule="atLeast"/>
          <w:jc w:val="center"/>
        </w:trPr>
        <w:tc>
          <w:tcPr>
            <w:tcW w:w="1269" w:type="dxa"/>
            <w:vMerge w:val="continue"/>
          </w:tcPr>
          <w:p>
            <w:pPr>
              <w:keepNext w:val="0"/>
              <w:keepLines w:val="0"/>
              <w:pageBreakBefore w:val="0"/>
              <w:widowControl/>
              <w:kinsoku/>
              <w:wordWrap/>
              <w:overflowPunct/>
              <w:topLinePunct w:val="0"/>
              <w:autoSpaceDE/>
              <w:autoSpaceDN/>
              <w:bidi w:val="0"/>
              <w:adjustRightInd/>
              <w:snapToGrid w:val="0"/>
              <w:spacing w:line="260" w:lineRule="exact"/>
              <w:textAlignment w:val="auto"/>
              <w:outlineLvl w:val="9"/>
              <w:rPr>
                <w:rFonts w:ascii="仿宋" w:hAnsi="仿宋" w:eastAsia="仿宋" w:cs="仿宋_GB2312"/>
                <w:color w:val="000000"/>
                <w:sz w:val="21"/>
                <w:szCs w:val="21"/>
              </w:rPr>
            </w:pPr>
          </w:p>
        </w:tc>
        <w:tc>
          <w:tcPr>
            <w:tcW w:w="1275" w:type="dxa"/>
            <w:vMerge w:val="continue"/>
          </w:tcPr>
          <w:p>
            <w:pPr>
              <w:keepNext w:val="0"/>
              <w:keepLines w:val="0"/>
              <w:pageBreakBefore w:val="0"/>
              <w:widowControl/>
              <w:kinsoku/>
              <w:wordWrap/>
              <w:overflowPunct/>
              <w:topLinePunct w:val="0"/>
              <w:autoSpaceDE/>
              <w:autoSpaceDN/>
              <w:bidi w:val="0"/>
              <w:adjustRightInd/>
              <w:snapToGrid w:val="0"/>
              <w:spacing w:line="260" w:lineRule="exact"/>
              <w:textAlignment w:val="auto"/>
              <w:outlineLvl w:val="9"/>
              <w:rPr>
                <w:rFonts w:ascii="仿宋" w:hAnsi="仿宋" w:eastAsia="仿宋" w:cs="仿宋_GB2312"/>
                <w:color w:val="000000"/>
                <w:sz w:val="21"/>
                <w:szCs w:val="21"/>
              </w:rPr>
            </w:pPr>
          </w:p>
        </w:tc>
        <w:tc>
          <w:tcPr>
            <w:tcW w:w="1276" w:type="dxa"/>
          </w:tcPr>
          <w:p>
            <w:pPr>
              <w:keepNext w:val="0"/>
              <w:keepLines w:val="0"/>
              <w:pageBreakBefore w:val="0"/>
              <w:widowControl/>
              <w:kinsoku/>
              <w:wordWrap/>
              <w:overflowPunct/>
              <w:topLinePunct w:val="0"/>
              <w:autoSpaceDE/>
              <w:autoSpaceDN/>
              <w:bidi w:val="0"/>
              <w:adjustRightInd/>
              <w:snapToGrid w:val="0"/>
              <w:spacing w:line="260" w:lineRule="exact"/>
              <w:textAlignment w:val="auto"/>
              <w:outlineLvl w:val="9"/>
              <w:rPr>
                <w:rFonts w:ascii="仿宋" w:hAnsi="仿宋" w:eastAsia="仿宋" w:cs="仿宋_GB2312"/>
                <w:color w:val="000000"/>
                <w:sz w:val="21"/>
                <w:szCs w:val="21"/>
              </w:rPr>
            </w:pPr>
            <w:r>
              <w:rPr>
                <w:rFonts w:ascii="仿宋" w:hAnsi="仿宋" w:eastAsia="仿宋" w:cs="仿宋_GB2312"/>
                <w:color w:val="000000"/>
                <w:sz w:val="21"/>
                <w:szCs w:val="21"/>
              </w:rPr>
              <w:t>默示质量保证</w:t>
            </w:r>
          </w:p>
        </w:tc>
        <w:tc>
          <w:tcPr>
            <w:tcW w:w="2552" w:type="dxa"/>
          </w:tcPr>
          <w:p>
            <w:pPr>
              <w:keepNext w:val="0"/>
              <w:keepLines w:val="0"/>
              <w:pageBreakBefore w:val="0"/>
              <w:widowControl/>
              <w:kinsoku/>
              <w:wordWrap/>
              <w:overflowPunct/>
              <w:topLinePunct w:val="0"/>
              <w:autoSpaceDE/>
              <w:autoSpaceDN/>
              <w:bidi w:val="0"/>
              <w:adjustRightInd/>
              <w:snapToGrid w:val="0"/>
              <w:spacing w:line="260" w:lineRule="exact"/>
              <w:textAlignment w:val="auto"/>
              <w:outlineLvl w:val="9"/>
              <w:rPr>
                <w:rFonts w:ascii="仿宋" w:hAnsi="仿宋" w:eastAsia="仿宋" w:cs="仿宋_GB2312"/>
                <w:color w:val="000000"/>
                <w:sz w:val="21"/>
                <w:szCs w:val="21"/>
              </w:rPr>
            </w:pPr>
            <w:r>
              <w:rPr>
                <w:rFonts w:ascii="仿宋" w:hAnsi="仿宋" w:eastAsia="仿宋" w:cs="仿宋_GB2312"/>
                <w:color w:val="000000"/>
                <w:sz w:val="21"/>
                <w:szCs w:val="21"/>
              </w:rPr>
              <w:t>卖方所售产品不能用于特定用途</w:t>
            </w:r>
            <w:r>
              <w:rPr>
                <w:rFonts w:hint="eastAsia" w:ascii="仿宋" w:hAnsi="仿宋" w:eastAsia="仿宋" w:cs="仿宋_GB2312"/>
                <w:color w:val="000000"/>
                <w:sz w:val="21"/>
                <w:szCs w:val="21"/>
              </w:rPr>
              <w:t>，</w:t>
            </w:r>
            <w:r>
              <w:rPr>
                <w:rFonts w:ascii="仿宋" w:hAnsi="仿宋" w:eastAsia="仿宋" w:cs="仿宋_GB2312"/>
                <w:color w:val="000000"/>
                <w:sz w:val="21"/>
                <w:szCs w:val="21"/>
              </w:rPr>
              <w:t>且买方依靠卖方的技能或判断为自己挑选或提供合适的产品</w:t>
            </w:r>
          </w:p>
        </w:tc>
        <w:tc>
          <w:tcPr>
            <w:tcW w:w="2976" w:type="dxa"/>
          </w:tcPr>
          <w:p>
            <w:pPr>
              <w:keepNext w:val="0"/>
              <w:keepLines w:val="0"/>
              <w:pageBreakBefore w:val="0"/>
              <w:widowControl/>
              <w:shd w:val="clear" w:color="auto" w:fill="FFFFFF"/>
              <w:kinsoku/>
              <w:wordWrap/>
              <w:overflowPunct/>
              <w:topLinePunct w:val="0"/>
              <w:autoSpaceDE/>
              <w:autoSpaceDN/>
              <w:bidi w:val="0"/>
              <w:adjustRightInd/>
              <w:snapToGrid w:val="0"/>
              <w:spacing w:line="260" w:lineRule="exact"/>
              <w:textAlignment w:val="auto"/>
              <w:outlineLvl w:val="9"/>
              <w:rPr>
                <w:rFonts w:ascii="仿宋" w:hAnsi="仿宋" w:eastAsia="仿宋" w:cs="仿宋_GB2312"/>
                <w:color w:val="000000"/>
                <w:sz w:val="21"/>
                <w:szCs w:val="21"/>
              </w:rPr>
            </w:pPr>
            <w:r>
              <w:rPr>
                <w:rFonts w:ascii="仿宋" w:hAnsi="仿宋" w:eastAsia="仿宋" w:cs="仿宋_GB2312"/>
                <w:color w:val="000000"/>
                <w:sz w:val="21"/>
                <w:szCs w:val="21"/>
              </w:rPr>
              <w:t>企业应保证所售产品适合于通常的使用目的</w:t>
            </w:r>
            <w:r>
              <w:rPr>
                <w:rFonts w:hint="eastAsia" w:ascii="仿宋" w:hAnsi="仿宋" w:eastAsia="仿宋" w:cs="仿宋_GB2312"/>
                <w:color w:val="000000"/>
                <w:sz w:val="21"/>
                <w:szCs w:val="21"/>
              </w:rPr>
              <w:t>，</w:t>
            </w:r>
            <w:r>
              <w:rPr>
                <w:rFonts w:ascii="仿宋" w:hAnsi="仿宋" w:eastAsia="仿宋" w:cs="仿宋_GB2312"/>
                <w:color w:val="000000"/>
                <w:sz w:val="21"/>
                <w:szCs w:val="21"/>
              </w:rPr>
              <w:t>产品被适当地包装</w:t>
            </w:r>
            <w:r>
              <w:rPr>
                <w:rFonts w:hint="eastAsia" w:ascii="仿宋" w:hAnsi="仿宋" w:eastAsia="仿宋" w:cs="仿宋_GB2312"/>
                <w:color w:val="000000"/>
                <w:sz w:val="21"/>
                <w:szCs w:val="21"/>
              </w:rPr>
              <w:t>、</w:t>
            </w:r>
            <w:r>
              <w:rPr>
                <w:rFonts w:ascii="仿宋" w:hAnsi="仿宋" w:eastAsia="仿宋" w:cs="仿宋_GB2312"/>
                <w:color w:val="000000"/>
                <w:sz w:val="21"/>
                <w:szCs w:val="21"/>
              </w:rPr>
              <w:t>装载并附加标签</w:t>
            </w:r>
            <w:r>
              <w:rPr>
                <w:rFonts w:hint="eastAsia" w:ascii="仿宋" w:hAnsi="仿宋" w:eastAsia="仿宋" w:cs="仿宋_GB2312"/>
                <w:color w:val="000000"/>
                <w:sz w:val="21"/>
                <w:szCs w:val="21"/>
              </w:rPr>
              <w:t>，</w:t>
            </w:r>
            <w:r>
              <w:rPr>
                <w:rFonts w:ascii="仿宋" w:hAnsi="仿宋" w:eastAsia="仿宋" w:cs="仿宋_GB2312"/>
                <w:color w:val="000000"/>
                <w:sz w:val="21"/>
                <w:szCs w:val="21"/>
              </w:rPr>
              <w:t>产品应符合容器或标签上附有的承诺或事实认定</w:t>
            </w:r>
          </w:p>
        </w:tc>
        <w:tc>
          <w:tcPr>
            <w:tcW w:w="5162" w:type="dxa"/>
          </w:tcPr>
          <w:p>
            <w:pPr>
              <w:pStyle w:val="12"/>
              <w:keepNext w:val="0"/>
              <w:keepLines w:val="0"/>
              <w:pageBreakBefore w:val="0"/>
              <w:widowControl/>
              <w:numPr>
                <w:ilvl w:val="255"/>
                <w:numId w:val="0"/>
              </w:numPr>
              <w:kinsoku/>
              <w:wordWrap/>
              <w:overflowPunct/>
              <w:topLinePunct w:val="0"/>
              <w:autoSpaceDE/>
              <w:autoSpaceDN/>
              <w:bidi w:val="0"/>
              <w:adjustRightInd/>
              <w:snapToGrid w:val="0"/>
              <w:spacing w:line="260" w:lineRule="exact"/>
              <w:textAlignment w:val="auto"/>
              <w:outlineLvl w:val="9"/>
              <w:rPr>
                <w:rFonts w:ascii="仿宋" w:hAnsi="仿宋" w:eastAsia="仿宋" w:cs="仿宋_GB2312"/>
                <w:color w:val="000000"/>
                <w:sz w:val="21"/>
                <w:szCs w:val="21"/>
              </w:rPr>
            </w:pPr>
            <w:bookmarkStart w:id="0" w:name="OLE_LINK1"/>
            <w:r>
              <w:rPr>
                <w:rFonts w:ascii="仿宋" w:hAnsi="仿宋" w:eastAsia="仿宋" w:cs="仿宋_GB2312"/>
                <w:color w:val="000000"/>
                <w:sz w:val="21"/>
                <w:szCs w:val="21"/>
              </w:rPr>
              <w:t>梅班克诉克雷斯吉公司案</w:t>
            </w:r>
            <w:r>
              <w:rPr>
                <w:rFonts w:hint="eastAsia" w:ascii="仿宋" w:hAnsi="仿宋" w:eastAsia="仿宋" w:cs="仿宋_GB2312"/>
                <w:color w:val="000000"/>
                <w:sz w:val="21"/>
                <w:szCs w:val="21"/>
              </w:rPr>
              <w:t>（北卡罗纳州上诉法院，1980年）：原告从被告K贸易中心购买</w:t>
            </w:r>
            <w:r>
              <w:rPr>
                <w:rFonts w:hint="eastAsia" w:ascii="仿宋" w:hAnsi="仿宋" w:eastAsia="仿宋" w:cs="仿宋_GB2312"/>
                <w:color w:val="000000"/>
                <w:sz w:val="21"/>
                <w:szCs w:val="21"/>
                <w:lang w:eastAsia="zh-CN"/>
              </w:rPr>
              <w:t>的</w:t>
            </w:r>
            <w:r>
              <w:rPr>
                <w:rFonts w:hint="eastAsia" w:ascii="仿宋" w:hAnsi="仿宋" w:eastAsia="仿宋" w:cs="仿宋_GB2312"/>
                <w:color w:val="000000"/>
                <w:sz w:val="21"/>
                <w:szCs w:val="21"/>
              </w:rPr>
              <w:t>一台立体闪光灯爆炸使原告脸和眼睛受伤。</w:t>
            </w:r>
            <w:r>
              <w:rPr>
                <w:rFonts w:hint="eastAsia" w:ascii="仿宋" w:hAnsi="仿宋" w:eastAsia="仿宋" w:cs="仿宋_GB2312"/>
                <w:color w:val="000000"/>
                <w:sz w:val="21"/>
                <w:szCs w:val="21"/>
                <w:lang w:eastAsia="zh-CN"/>
              </w:rPr>
              <w:t>该灯的包装盒上有关于损坏的灯管容易破裂的警告。由于没有证据证明此闪光灯在使用前已损坏，</w:t>
            </w:r>
            <w:r>
              <w:rPr>
                <w:rFonts w:hint="eastAsia" w:ascii="仿宋" w:hAnsi="仿宋" w:eastAsia="仿宋" w:cs="仿宋_GB2312"/>
                <w:color w:val="000000"/>
                <w:sz w:val="21"/>
                <w:szCs w:val="21"/>
              </w:rPr>
              <w:t>被告因出售不具适销性的闪光灯违反了默示担保责任。</w:t>
            </w:r>
            <w:bookmarkEnd w:id="0"/>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wordWrap/>
        <w:spacing w:before="0" w:beforeAutospacing="0" w:after="0" w:afterAutospacing="0"/>
        <w:ind w:left="0" w:right="0" w:firstLine="0"/>
        <w:jc w:val="both"/>
        <w:rPr>
          <w:rFonts w:hint="default" w:ascii="仿宋" w:hAnsi="仿宋" w:eastAsia="楷体_GB2312" w:cs="仿宋_GB2312"/>
          <w:color w:val="auto"/>
          <w:kern w:val="0"/>
          <w:sz w:val="21"/>
          <w:szCs w:val="21"/>
          <w:shd w:val="clear" w:color="FFFFFF" w:fill="D9D9D9"/>
          <w:lang w:val="en-US" w:eastAsia="zh-CN" w:bidi="ar-SA"/>
        </w:rPr>
      </w:pPr>
      <w:r>
        <w:rPr>
          <w:rFonts w:hint="eastAsia" w:ascii="仿宋" w:hAnsi="仿宋" w:eastAsia="仿宋" w:cs="仿宋_GB2312"/>
          <w:color w:val="auto"/>
          <w:kern w:val="0"/>
          <w:sz w:val="21"/>
          <w:szCs w:val="21"/>
          <w:shd w:val="clear" w:color="FFFFFF" w:fill="D9D9D9"/>
          <w:lang w:val="en-US" w:eastAsia="zh-CN" w:bidi="ar-SA"/>
        </w:rPr>
        <w:t>注：表中内容参考《美国产品责任法制造商指南（第三版）》（法律出版社，2013年）和《美国产品责任法案例选评》（对外经济贸易大学出版社，2007年）</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4"/>
      </w:rPr>
    </w:pPr>
    <w:r>
      <w:rPr>
        <w:sz w:val="24"/>
      </w:rPr>
      <w:fldChar w:fldCharType="begin"/>
    </w:r>
    <w:r>
      <w:rPr>
        <w:sz w:val="24"/>
      </w:rPr>
      <w:instrText xml:space="preserve"> PAGE   \* MERGEFORMAT </w:instrText>
    </w:r>
    <w:r>
      <w:rPr>
        <w:sz w:val="24"/>
      </w:rPr>
      <w:fldChar w:fldCharType="separate"/>
    </w:r>
    <w:r>
      <w:rPr>
        <w:sz w:val="24"/>
        <w:lang w:val="zh-CN"/>
      </w:rPr>
      <w:t>5</w:t>
    </w:r>
    <w:r>
      <w:rPr>
        <w:sz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B25"/>
    <w:rsid w:val="000251B8"/>
    <w:rsid w:val="00064AB8"/>
    <w:rsid w:val="00071D06"/>
    <w:rsid w:val="001545B8"/>
    <w:rsid w:val="001664D0"/>
    <w:rsid w:val="00170E79"/>
    <w:rsid w:val="001A34E7"/>
    <w:rsid w:val="001C3D44"/>
    <w:rsid w:val="002231A4"/>
    <w:rsid w:val="002442CE"/>
    <w:rsid w:val="0025619D"/>
    <w:rsid w:val="002A5835"/>
    <w:rsid w:val="002A5E7E"/>
    <w:rsid w:val="002C5272"/>
    <w:rsid w:val="00302090"/>
    <w:rsid w:val="003429CD"/>
    <w:rsid w:val="003504BF"/>
    <w:rsid w:val="00353C59"/>
    <w:rsid w:val="00381B74"/>
    <w:rsid w:val="003B0DA8"/>
    <w:rsid w:val="003B3C20"/>
    <w:rsid w:val="003C296A"/>
    <w:rsid w:val="003D075D"/>
    <w:rsid w:val="003F5751"/>
    <w:rsid w:val="0047650B"/>
    <w:rsid w:val="004A6DC1"/>
    <w:rsid w:val="004C3878"/>
    <w:rsid w:val="004C3BC7"/>
    <w:rsid w:val="004C5157"/>
    <w:rsid w:val="004E4816"/>
    <w:rsid w:val="004F276C"/>
    <w:rsid w:val="00534D61"/>
    <w:rsid w:val="00554F8A"/>
    <w:rsid w:val="0056387A"/>
    <w:rsid w:val="0058030D"/>
    <w:rsid w:val="0058031B"/>
    <w:rsid w:val="00591078"/>
    <w:rsid w:val="005B0FB1"/>
    <w:rsid w:val="005B213E"/>
    <w:rsid w:val="005F0B4A"/>
    <w:rsid w:val="00624A34"/>
    <w:rsid w:val="00660B1D"/>
    <w:rsid w:val="00663358"/>
    <w:rsid w:val="00686B25"/>
    <w:rsid w:val="006A0F33"/>
    <w:rsid w:val="006B5717"/>
    <w:rsid w:val="006C274C"/>
    <w:rsid w:val="006C4D02"/>
    <w:rsid w:val="006E366E"/>
    <w:rsid w:val="0070014A"/>
    <w:rsid w:val="00733E30"/>
    <w:rsid w:val="00742356"/>
    <w:rsid w:val="00776FE1"/>
    <w:rsid w:val="00810D5B"/>
    <w:rsid w:val="008365AC"/>
    <w:rsid w:val="0087231D"/>
    <w:rsid w:val="008C20E6"/>
    <w:rsid w:val="008D6D8A"/>
    <w:rsid w:val="008E12F2"/>
    <w:rsid w:val="00931A60"/>
    <w:rsid w:val="00955FC8"/>
    <w:rsid w:val="00966D47"/>
    <w:rsid w:val="00983C5C"/>
    <w:rsid w:val="00A1509D"/>
    <w:rsid w:val="00A25630"/>
    <w:rsid w:val="00AE28A9"/>
    <w:rsid w:val="00AE584D"/>
    <w:rsid w:val="00B0098B"/>
    <w:rsid w:val="00B23169"/>
    <w:rsid w:val="00B2457D"/>
    <w:rsid w:val="00B3245B"/>
    <w:rsid w:val="00B34F82"/>
    <w:rsid w:val="00B65510"/>
    <w:rsid w:val="00B943E1"/>
    <w:rsid w:val="00BC2FE7"/>
    <w:rsid w:val="00BD5D11"/>
    <w:rsid w:val="00BF4DE7"/>
    <w:rsid w:val="00BF7FAD"/>
    <w:rsid w:val="00C162B6"/>
    <w:rsid w:val="00C3043D"/>
    <w:rsid w:val="00C346A1"/>
    <w:rsid w:val="00C5415D"/>
    <w:rsid w:val="00C74026"/>
    <w:rsid w:val="00CB3359"/>
    <w:rsid w:val="00CD16C4"/>
    <w:rsid w:val="00CE2C03"/>
    <w:rsid w:val="00D235BF"/>
    <w:rsid w:val="00D30763"/>
    <w:rsid w:val="00D44C2C"/>
    <w:rsid w:val="00D735CA"/>
    <w:rsid w:val="00D75ED8"/>
    <w:rsid w:val="00D97431"/>
    <w:rsid w:val="00DA2AA6"/>
    <w:rsid w:val="00DA57EA"/>
    <w:rsid w:val="00DB0D12"/>
    <w:rsid w:val="00DC7B4A"/>
    <w:rsid w:val="00E4322A"/>
    <w:rsid w:val="00E45862"/>
    <w:rsid w:val="00E8380F"/>
    <w:rsid w:val="00EB545D"/>
    <w:rsid w:val="00EF19B3"/>
    <w:rsid w:val="00F023EE"/>
    <w:rsid w:val="00F11EF6"/>
    <w:rsid w:val="00F2073A"/>
    <w:rsid w:val="00F26CB9"/>
    <w:rsid w:val="00F525E6"/>
    <w:rsid w:val="00F8118B"/>
    <w:rsid w:val="00F811C6"/>
    <w:rsid w:val="00FA4851"/>
    <w:rsid w:val="00FB4C72"/>
    <w:rsid w:val="00FD50DD"/>
    <w:rsid w:val="05B57F24"/>
    <w:rsid w:val="07B2360B"/>
    <w:rsid w:val="090D2828"/>
    <w:rsid w:val="091F6AC2"/>
    <w:rsid w:val="09576025"/>
    <w:rsid w:val="0CEE5E19"/>
    <w:rsid w:val="0E2C771E"/>
    <w:rsid w:val="16F46D6E"/>
    <w:rsid w:val="18A51646"/>
    <w:rsid w:val="19B91512"/>
    <w:rsid w:val="1CB13739"/>
    <w:rsid w:val="1CE3604C"/>
    <w:rsid w:val="1D286DB0"/>
    <w:rsid w:val="213F0084"/>
    <w:rsid w:val="24D3019E"/>
    <w:rsid w:val="28A51A68"/>
    <w:rsid w:val="291A574A"/>
    <w:rsid w:val="30D05ADB"/>
    <w:rsid w:val="327B722B"/>
    <w:rsid w:val="33041F97"/>
    <w:rsid w:val="39143B90"/>
    <w:rsid w:val="394214CD"/>
    <w:rsid w:val="3B800CA1"/>
    <w:rsid w:val="3BE86933"/>
    <w:rsid w:val="3EC745AA"/>
    <w:rsid w:val="43793580"/>
    <w:rsid w:val="43852EE9"/>
    <w:rsid w:val="489C7F67"/>
    <w:rsid w:val="4A103822"/>
    <w:rsid w:val="4F817C08"/>
    <w:rsid w:val="4F8A1217"/>
    <w:rsid w:val="510B320A"/>
    <w:rsid w:val="5FF825AF"/>
    <w:rsid w:val="6209395A"/>
    <w:rsid w:val="698A2A1B"/>
    <w:rsid w:val="6AAD2090"/>
    <w:rsid w:val="739B5274"/>
    <w:rsid w:val="7E5A3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lang w:val="en-US" w:eastAsia="zh-CN" w:bidi="ar-SA"/>
    </w:rPr>
  </w:style>
  <w:style w:type="character" w:default="1" w:styleId="7">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rPr>
      <w:sz w:val="30"/>
    </w:rPr>
  </w:style>
  <w:style w:type="paragraph" w:styleId="3">
    <w:name w:val="Document Map"/>
    <w:basedOn w:val="1"/>
    <w:link w:val="13"/>
    <w:semiHidden/>
    <w:unhideWhenUsed/>
    <w:qFormat/>
    <w:uiPriority w:val="99"/>
    <w:rPr>
      <w:rFonts w:ascii="宋体"/>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9">
    <w:name w:val="Table Grid"/>
    <w:basedOn w:val="8"/>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10">
    <w:name w:val="页眉 Char"/>
    <w:link w:val="5"/>
    <w:qFormat/>
    <w:uiPriority w:val="99"/>
    <w:rPr>
      <w:sz w:val="18"/>
      <w:szCs w:val="18"/>
    </w:rPr>
  </w:style>
  <w:style w:type="character" w:customStyle="1" w:styleId="11">
    <w:name w:val="页脚 Char"/>
    <w:link w:val="4"/>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文档结构图 Char"/>
    <w:link w:val="3"/>
    <w:semiHidden/>
    <w:qFormat/>
    <w:uiPriority w:val="99"/>
    <w:rPr>
      <w:rFonts w:ascii="宋体" w:eastAsia="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C4AE9A-0324-4CCC-9A29-E23D49E4246B}">
  <ds:schemaRefs/>
</ds:datastoreItem>
</file>

<file path=docProps/app.xml><?xml version="1.0" encoding="utf-8"?>
<Properties xmlns="http://schemas.openxmlformats.org/officeDocument/2006/extended-properties" xmlns:vt="http://schemas.openxmlformats.org/officeDocument/2006/docPropsVTypes">
  <Template>Normal.dotm</Template>
  <Pages>5</Pages>
  <Words>490</Words>
  <Characters>2795</Characters>
  <Lines>23</Lines>
  <Paragraphs>6</Paragraphs>
  <TotalTime>13</TotalTime>
  <ScaleCrop>false</ScaleCrop>
  <LinksUpToDate>false</LinksUpToDate>
  <CharactersWithSpaces>3279</CharactersWithSpaces>
  <Application>WPS Office_10.8.2.7059_F1E327BC-269C-435d-A152-05C5408002CA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2020-04-23T08:57:00Z</dcterms:created>
  <dc:creator>Huang Jing</dc:creator>
  <cp:lastModifiedBy>Admin</cp:lastModifiedBy>
  <cp:lastPrinted>2020-04-30T08:26:00Z</cp:lastPrinted>
  <dcterms:modified xsi:type="dcterms:W3CDTF">2020-04-30T08:39:13Z</dcterms:modified>
  <dc:title>出口防疫物资法律风险防范参考指南</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2052-10.8.2.7059</vt:lpwstr>
  </property>
</Properties>
</file>