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jc w:val="center"/>
        <w:rPr>
          <w:rFonts w:hint="eastAsia" w:ascii="黑体" w:hAnsi="黑体" w:eastAsia="黑体" w:cs="黑体"/>
          <w:sz w:val="36"/>
          <w:szCs w:val="36"/>
          <w:lang w:eastAsia="zh-CN"/>
        </w:rPr>
      </w:pPr>
      <w:r>
        <w:rPr>
          <w:rFonts w:hint="eastAsia" w:ascii="黑体" w:hAnsi="黑体" w:eastAsia="黑体" w:cs="黑体"/>
          <w:sz w:val="36"/>
          <w:szCs w:val="36"/>
        </w:rPr>
        <w:t>网络安全技术应用试点示范项目</w:t>
      </w:r>
      <w:r>
        <w:rPr>
          <w:rFonts w:hint="eastAsia" w:ascii="黑体" w:hAnsi="黑体" w:eastAsia="黑体" w:cs="黑体"/>
          <w:sz w:val="36"/>
          <w:szCs w:val="36"/>
          <w:lang w:eastAsia="zh-CN"/>
        </w:rPr>
        <w:t>公示名单</w:t>
      </w:r>
    </w:p>
    <w:p>
      <w:pPr>
        <w:jc w:val="center"/>
        <w:rPr>
          <w:rFonts w:hint="eastAsia" w:ascii="方正小标宋简体" w:eastAsia="方正小标宋简体"/>
          <w:szCs w:val="21"/>
        </w:rPr>
      </w:pPr>
    </w:p>
    <w:tbl>
      <w:tblPr>
        <w:tblStyle w:val="4"/>
        <w:tblW w:w="15614" w:type="dxa"/>
        <w:jc w:val="center"/>
        <w:tblInd w:w="0" w:type="dxa"/>
        <w:tblLayout w:type="fixed"/>
        <w:tblCellMar>
          <w:top w:w="0" w:type="dxa"/>
          <w:left w:w="108" w:type="dxa"/>
          <w:bottom w:w="0" w:type="dxa"/>
          <w:right w:w="108" w:type="dxa"/>
        </w:tblCellMar>
      </w:tblPr>
      <w:tblGrid>
        <w:gridCol w:w="811"/>
        <w:gridCol w:w="7482"/>
        <w:gridCol w:w="7321"/>
      </w:tblGrid>
      <w:tr>
        <w:tblPrEx>
          <w:tblLayout w:type="fixed"/>
          <w:tblCellMar>
            <w:top w:w="0" w:type="dxa"/>
            <w:left w:w="108" w:type="dxa"/>
            <w:bottom w:w="0" w:type="dxa"/>
            <w:right w:w="108" w:type="dxa"/>
          </w:tblCellMar>
        </w:tblPrEx>
        <w:trPr>
          <w:trHeight w:val="452" w:hRule="atLeast"/>
          <w:tblHeader/>
          <w:jc w:val="center"/>
        </w:trPr>
        <w:tc>
          <w:tcPr>
            <w:tcW w:w="8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黑体" w:eastAsia="黑体" w:cs="黑体"/>
                <w:kern w:val="0"/>
                <w:sz w:val="24"/>
                <w:szCs w:val="24"/>
                <w:highlight w:val="none"/>
                <w:lang w:val="en-US" w:eastAsia="zh-CN"/>
              </w:rPr>
            </w:pPr>
            <w:r>
              <w:rPr>
                <w:rFonts w:hint="eastAsia" w:ascii="黑体" w:hAnsi="黑体" w:eastAsia="黑体" w:cs="黑体"/>
                <w:kern w:val="0"/>
                <w:sz w:val="24"/>
                <w:szCs w:val="24"/>
                <w:highlight w:val="none"/>
                <w:lang w:val="en-US" w:eastAsia="zh-CN"/>
              </w:rPr>
              <w:t>序号</w:t>
            </w:r>
          </w:p>
        </w:tc>
        <w:tc>
          <w:tcPr>
            <w:tcW w:w="74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黑体"/>
                <w:kern w:val="0"/>
                <w:sz w:val="24"/>
                <w:szCs w:val="24"/>
                <w:highlight w:val="none"/>
                <w:lang w:val="en-US" w:eastAsia="zh-CN"/>
              </w:rPr>
            </w:pPr>
            <w:r>
              <w:rPr>
                <w:rFonts w:hint="eastAsia" w:ascii="黑体" w:hAnsi="黑体" w:eastAsia="黑体" w:cs="黑体"/>
                <w:kern w:val="0"/>
                <w:sz w:val="24"/>
                <w:szCs w:val="24"/>
                <w:highlight w:val="none"/>
                <w:lang w:val="en-US" w:eastAsia="zh-CN"/>
              </w:rPr>
              <w:t>项目名称</w:t>
            </w:r>
          </w:p>
        </w:tc>
        <w:tc>
          <w:tcPr>
            <w:tcW w:w="732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黑体"/>
                <w:kern w:val="0"/>
                <w:sz w:val="24"/>
                <w:szCs w:val="24"/>
                <w:highlight w:val="none"/>
                <w:lang w:eastAsia="zh-CN"/>
              </w:rPr>
            </w:pPr>
            <w:r>
              <w:rPr>
                <w:rFonts w:hint="eastAsia" w:ascii="黑体" w:hAnsi="黑体" w:eastAsia="黑体" w:cs="黑体"/>
                <w:kern w:val="0"/>
                <w:sz w:val="24"/>
                <w:szCs w:val="24"/>
                <w:highlight w:val="none"/>
                <w:lang w:eastAsia="zh-CN"/>
              </w:rPr>
              <w:t>项目申报单位</w:t>
            </w:r>
          </w:p>
        </w:tc>
      </w:tr>
      <w:tr>
        <w:tblPrEx>
          <w:tblLayout w:type="fixed"/>
          <w:tblCellMar>
            <w:top w:w="0" w:type="dxa"/>
            <w:left w:w="108" w:type="dxa"/>
            <w:bottom w:w="0" w:type="dxa"/>
            <w:right w:w="108" w:type="dxa"/>
          </w:tblCellMar>
        </w:tblPrEx>
        <w:trPr>
          <w:trHeight w:val="737" w:hRule="atLeast"/>
          <w:jc w:val="center"/>
        </w:trPr>
        <w:tc>
          <w:tcPr>
            <w:tcW w:w="8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1</w:t>
            </w:r>
          </w:p>
        </w:tc>
        <w:tc>
          <w:tcPr>
            <w:tcW w:w="74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eastAsia="zh-CN"/>
              </w:rPr>
            </w:pPr>
            <w:r>
              <w:rPr>
                <w:rFonts w:hint="eastAsia" w:ascii="仿宋_GB2312" w:hAnsi="仿宋_GB2312" w:eastAsia="仿宋_GB2312" w:cs="仿宋_GB2312"/>
                <w:kern w:val="0"/>
                <w:sz w:val="22"/>
                <w:szCs w:val="22"/>
                <w:highlight w:val="none"/>
              </w:rPr>
              <w:t>中国电信IPTV网络信息安全“五位一体”防护平台</w:t>
            </w:r>
          </w:p>
        </w:tc>
        <w:tc>
          <w:tcPr>
            <w:tcW w:w="732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中国电信集团公司网络运行维护事业部</w:t>
            </w:r>
          </w:p>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中国电信股份有限公司广东分公司</w:t>
            </w:r>
          </w:p>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中国电信股份有限公司安徽分公司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2</w:t>
            </w:r>
          </w:p>
        </w:tc>
        <w:tc>
          <w:tcPr>
            <w:tcW w:w="7482"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基于两级架构的分布式云安全服务能力运营管理平台</w:t>
            </w:r>
          </w:p>
        </w:tc>
        <w:tc>
          <w:tcPr>
            <w:tcW w:w="7321"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中国电信股份有限公司浙江分公司</w:t>
            </w:r>
          </w:p>
          <w:p>
            <w:pPr>
              <w:adjustRightInd w:val="0"/>
              <w:snapToGrid w:val="0"/>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中国电信集团系统集成有限责任公司</w:t>
            </w:r>
          </w:p>
          <w:p>
            <w:pPr>
              <w:adjustRightInd w:val="0"/>
              <w:snapToGrid w:val="0"/>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中国电信股份有限公司贵州分公司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3</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中国电信基于共享经济的网络安全众测平台</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中国电信集团有限公司网络运行维护事业部（网络与信息安全管理部）</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4</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基于自动压制系统的运营商级多场景大流量攻击处置平台</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中国电信股份有限公司江苏分公司</w:t>
            </w:r>
          </w:p>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中国电信股份有限公司浙江分公司</w:t>
            </w:r>
          </w:p>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中国电信股份有限公司宁夏分公司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5</w:t>
            </w:r>
          </w:p>
        </w:tc>
        <w:tc>
          <w:tcPr>
            <w:tcW w:w="748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基于动态基线和无监督异常检测技术的业务风险分析系统</w:t>
            </w:r>
          </w:p>
        </w:tc>
        <w:tc>
          <w:tcPr>
            <w:tcW w:w="732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中国电信集团有限公司企业信息化事业部</w:t>
            </w:r>
          </w:p>
          <w:p>
            <w:pPr>
              <w:widowControl/>
              <w:adjustRightInd w:val="0"/>
              <w:snapToGrid w:val="0"/>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中国电信股份有限公司广西分公司</w:t>
            </w:r>
          </w:p>
          <w:p>
            <w:pPr>
              <w:widowControl/>
              <w:adjustRightInd w:val="0"/>
              <w:snapToGrid w:val="0"/>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中国电信股份有限公司江苏分公司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6</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物联网安全态势感知平台</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中国移动集团有限公司信息安全管理与运行中心</w:t>
            </w:r>
          </w:p>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中移物联网有限公司</w:t>
            </w:r>
          </w:p>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中国移动通信集团重庆有限公司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7</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中国移动“短信炸弹”应急防护系统研发与应用</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中国移动通信集团有限公司信息安全管理与运行中心</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8</w:t>
            </w:r>
          </w:p>
        </w:tc>
        <w:tc>
          <w:tcPr>
            <w:tcW w:w="7482"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雷池：数据安全全生命周期管控平台</w:t>
            </w:r>
          </w:p>
        </w:tc>
        <w:tc>
          <w:tcPr>
            <w:tcW w:w="7321"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中国移动通信集团有限公司研究院</w:t>
            </w:r>
          </w:p>
          <w:p>
            <w:pPr>
              <w:adjustRightInd w:val="0"/>
              <w:snapToGrid w:val="0"/>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中国移动通信集团有限公司网络部</w:t>
            </w:r>
          </w:p>
          <w:p>
            <w:pPr>
              <w:adjustRightInd w:val="0"/>
              <w:snapToGrid w:val="0"/>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中国移动通信集团福建有限公司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9</w:t>
            </w:r>
          </w:p>
        </w:tc>
        <w:tc>
          <w:tcPr>
            <w:tcW w:w="7482"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打造多维度防护体系的大数据安全</w:t>
            </w:r>
          </w:p>
        </w:tc>
        <w:tc>
          <w:tcPr>
            <w:tcW w:w="7321"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中国移动通信集团广西有限公司</w:t>
            </w:r>
          </w:p>
          <w:p>
            <w:pPr>
              <w:adjustRightInd w:val="0"/>
              <w:snapToGrid w:val="0"/>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中国移动通信集团湖南有限公司</w:t>
            </w:r>
          </w:p>
          <w:p>
            <w:pPr>
              <w:adjustRightInd w:val="0"/>
              <w:snapToGrid w:val="0"/>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中国移动通信集团辽宁有限公司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10</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基于欺骗防御的动态威胁诱捕感知系统</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中国移动通信集团有限公司信息技术中心</w:t>
            </w:r>
          </w:p>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中国移动通信集团山东有限公司</w:t>
            </w:r>
          </w:p>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中国移动通信集团湖南有限公司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11</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全网用户信息访问日志集中管控与智慧审计平台</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中国移动通信集团有限公司信息技术中心</w:t>
            </w:r>
          </w:p>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中移（苏州）软件技术有限公司</w:t>
            </w:r>
          </w:p>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中国移动通信集团河南有限公司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12</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面向关键基础设施的网络安全应急指挥与智慧调度平台</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中国移动通信集团浙江有限公司</w:t>
            </w:r>
          </w:p>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浙江鹏信信息科技股份有限公司</w:t>
            </w:r>
          </w:p>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中国移动通信集团安徽有限公司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13</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攻击面可视化管理平台</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中国移动通信集团河北有限公司</w:t>
            </w:r>
          </w:p>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中国移动通信集团青海有限公司</w:t>
            </w:r>
          </w:p>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北京安博通科技股份有限公司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14</w:t>
            </w:r>
          </w:p>
        </w:tc>
        <w:tc>
          <w:tcPr>
            <w:tcW w:w="74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基于软件定义高级融合安全的面向互联网应用虚拟资源池平台</w:t>
            </w:r>
          </w:p>
        </w:tc>
        <w:tc>
          <w:tcPr>
            <w:tcW w:w="732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中国联合网络通信有限公司北京市分公司</w:t>
            </w:r>
          </w:p>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北京启明星辰信息安全技术有限公司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15</w:t>
            </w:r>
          </w:p>
        </w:tc>
        <w:tc>
          <w:tcPr>
            <w:tcW w:w="7482"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具备数据溯源追踪能力的大数据全生命周期安全防护平台</w:t>
            </w:r>
          </w:p>
        </w:tc>
        <w:tc>
          <w:tcPr>
            <w:tcW w:w="7321"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联通大数据有限公司</w:t>
            </w:r>
          </w:p>
          <w:p>
            <w:pPr>
              <w:adjustRightInd w:val="0"/>
              <w:snapToGrid w:val="0"/>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中国联合网络通信集团有限公司信息化部数据中心</w:t>
            </w:r>
          </w:p>
        </w:tc>
      </w:tr>
      <w:tr>
        <w:tblPrEx>
          <w:tblLayout w:type="fixed"/>
          <w:tblCellMar>
            <w:top w:w="0" w:type="dxa"/>
            <w:left w:w="108" w:type="dxa"/>
            <w:bottom w:w="0" w:type="dxa"/>
            <w:right w:w="108" w:type="dxa"/>
          </w:tblCellMar>
        </w:tblPrEx>
        <w:trPr>
          <w:trHeight w:val="737" w:hRule="atLeast"/>
          <w:jc w:val="center"/>
        </w:trPr>
        <w:tc>
          <w:tcPr>
            <w:tcW w:w="8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16</w:t>
            </w:r>
          </w:p>
        </w:tc>
        <w:tc>
          <w:tcPr>
            <w:tcW w:w="74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山东联通网络信息安全应急处置系统</w:t>
            </w:r>
          </w:p>
        </w:tc>
        <w:tc>
          <w:tcPr>
            <w:tcW w:w="732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中国联合网络通信有限公司山东省分公司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17</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中国联通安全风险管控平台研发项目</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联通系统集成有限公司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2"/>
                <w:szCs w:val="22"/>
                <w:highlight w:val="none"/>
              </w:rPr>
              <w:t>18</w:t>
            </w:r>
          </w:p>
        </w:tc>
        <w:tc>
          <w:tcPr>
            <w:tcW w:w="7482" w:type="dxa"/>
            <w:tcBorders>
              <w:top w:val="nil"/>
              <w:left w:val="nil"/>
              <w:bottom w:val="single" w:color="auto" w:sz="4" w:space="0"/>
              <w:right w:val="single" w:color="auto" w:sz="4" w:space="0"/>
            </w:tcBorders>
            <w:shd w:val="clear" w:color="auto" w:fill="auto"/>
            <w:vAlign w:val="center"/>
          </w:tcPr>
          <w:p>
            <w:pPr>
              <w:widowControl/>
              <w:snapToGrid w:val="0"/>
              <w:contextualSpacing/>
              <w:jc w:val="center"/>
              <w:textAlignment w:val="center"/>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strike w:val="0"/>
                <w:dstrike w:val="0"/>
                <w:color w:val="000000"/>
                <w:kern w:val="0"/>
                <w:sz w:val="22"/>
                <w:szCs w:val="22"/>
                <w:highlight w:val="none"/>
                <w:lang w:bidi="ar"/>
              </w:rPr>
              <w:t>基于数据脱敏的电力用户数据保护系统研究与应用</w:t>
            </w:r>
          </w:p>
        </w:tc>
        <w:tc>
          <w:tcPr>
            <w:tcW w:w="7321" w:type="dxa"/>
            <w:tcBorders>
              <w:top w:val="nil"/>
              <w:left w:val="nil"/>
              <w:bottom w:val="single" w:color="auto" w:sz="4" w:space="0"/>
              <w:right w:val="single" w:color="auto" w:sz="4" w:space="0"/>
            </w:tcBorders>
            <w:shd w:val="clear" w:color="auto" w:fill="auto"/>
            <w:vAlign w:val="center"/>
          </w:tcPr>
          <w:p>
            <w:pPr>
              <w:widowControl/>
              <w:snapToGrid w:val="0"/>
              <w:contextualSpacing/>
              <w:jc w:val="center"/>
              <w:textAlignment w:val="center"/>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strike w:val="0"/>
                <w:dstrike w:val="0"/>
                <w:color w:val="000000"/>
                <w:kern w:val="0"/>
                <w:sz w:val="22"/>
                <w:szCs w:val="22"/>
                <w:highlight w:val="none"/>
                <w:lang w:bidi="ar"/>
              </w:rPr>
              <w:t>国家电网有限公司客户服务中心</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2"/>
                <w:szCs w:val="22"/>
                <w:highlight w:val="none"/>
              </w:rPr>
              <w:t>19</w:t>
            </w:r>
          </w:p>
        </w:tc>
        <w:tc>
          <w:tcPr>
            <w:tcW w:w="7482"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2"/>
                <w:szCs w:val="22"/>
                <w:highlight w:val="none"/>
              </w:rPr>
              <w:t>面向电力的网络与信息安全风险监控预警平台建设与应用</w:t>
            </w:r>
          </w:p>
        </w:tc>
        <w:tc>
          <w:tcPr>
            <w:tcW w:w="7321"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国家电网有限公司信息通信分公司</w:t>
            </w:r>
          </w:p>
          <w:p>
            <w:pPr>
              <w:adjustRightInd w:val="0"/>
              <w:snapToGrid w:val="0"/>
              <w:jc w:val="center"/>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2"/>
                <w:szCs w:val="22"/>
                <w:highlight w:val="none"/>
              </w:rPr>
              <w:t>南瑞集团有限公司</w:t>
            </w:r>
          </w:p>
        </w:tc>
      </w:tr>
      <w:tr>
        <w:tblPrEx>
          <w:tblLayout w:type="fixed"/>
          <w:tblCellMar>
            <w:top w:w="0" w:type="dxa"/>
            <w:left w:w="108" w:type="dxa"/>
            <w:bottom w:w="0" w:type="dxa"/>
            <w:right w:w="108" w:type="dxa"/>
          </w:tblCellMar>
        </w:tblPrEx>
        <w:trPr>
          <w:trHeight w:val="868"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2"/>
                <w:szCs w:val="22"/>
                <w:highlight w:val="none"/>
              </w:rPr>
              <w:t>20</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2"/>
                <w:szCs w:val="22"/>
                <w:highlight w:val="none"/>
              </w:rPr>
              <w:t>电力行业泛终端一体化安全防护系统</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国网信息通信产业集团有限公司</w:t>
            </w:r>
          </w:p>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国网山东省电力公司</w:t>
            </w:r>
          </w:p>
          <w:p>
            <w:pPr>
              <w:widowControl/>
              <w:jc w:val="center"/>
              <w:rPr>
                <w:rFonts w:hint="eastAsia" w:ascii="仿宋_GB2312" w:hAnsi="仿宋_GB2312" w:eastAsia="仿宋_GB2312" w:cs="仿宋_GB2312"/>
                <w:kern w:val="0"/>
                <w:sz w:val="28"/>
                <w:szCs w:val="28"/>
                <w:highlight w:val="none"/>
                <w:lang w:eastAsia="zh-CN"/>
              </w:rPr>
            </w:pPr>
            <w:r>
              <w:rPr>
                <w:rFonts w:hint="eastAsia" w:ascii="仿宋_GB2312" w:hAnsi="仿宋_GB2312" w:eastAsia="仿宋_GB2312" w:cs="仿宋_GB2312"/>
                <w:kern w:val="0"/>
                <w:sz w:val="22"/>
                <w:szCs w:val="22"/>
                <w:highlight w:val="none"/>
              </w:rPr>
              <w:t>国网辽宁省电力有限公司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2"/>
                <w:szCs w:val="22"/>
                <w:highlight w:val="none"/>
              </w:rPr>
              <w:t>21</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2"/>
                <w:szCs w:val="22"/>
                <w:highlight w:val="none"/>
              </w:rPr>
              <w:t>面向电力“互联网+”业务的可信区块链公共服务平台</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国网电子商务有限公司</w:t>
            </w:r>
          </w:p>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赛迪（青岛）区块链研究院有限公司</w:t>
            </w:r>
          </w:p>
          <w:p>
            <w:pPr>
              <w:widowControl/>
              <w:jc w:val="center"/>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2"/>
                <w:szCs w:val="22"/>
                <w:highlight w:val="none"/>
              </w:rPr>
              <w:t>北京信任度科技有限公司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2"/>
                <w:szCs w:val="22"/>
                <w:highlight w:val="none"/>
              </w:rPr>
              <w:t>22</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2"/>
                <w:szCs w:val="22"/>
                <w:highlight w:val="none"/>
              </w:rPr>
              <w:t>电力监控系统网络安全管理平台建设与应用</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2"/>
                <w:szCs w:val="22"/>
                <w:highlight w:val="none"/>
              </w:rPr>
              <w:t>国电南瑞科技股份有限公司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2"/>
                <w:szCs w:val="22"/>
                <w:highlight w:val="none"/>
              </w:rPr>
              <w:t>23</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2"/>
                <w:szCs w:val="22"/>
                <w:highlight w:val="none"/>
              </w:rPr>
              <w:t>关键信息基础设施（电力）一体化网络安全仿真环境设计与装备研制</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2"/>
                <w:szCs w:val="22"/>
                <w:highlight w:val="none"/>
              </w:rPr>
              <w:t>中国电力科学研究院有限公司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2"/>
                <w:szCs w:val="22"/>
                <w:highlight w:val="none"/>
              </w:rPr>
              <w:t>24</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2"/>
                <w:szCs w:val="22"/>
                <w:highlight w:val="none"/>
              </w:rPr>
              <w:t>基于商用密码算法的用电信息密码保障系统建设与应用</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中国电力科学研究院有限公司</w:t>
            </w:r>
          </w:p>
          <w:p>
            <w:pPr>
              <w:widowControl/>
              <w:jc w:val="center"/>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2"/>
                <w:szCs w:val="22"/>
                <w:highlight w:val="none"/>
              </w:rPr>
              <w:t>北京智芯微电子科技有限公司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2"/>
                <w:szCs w:val="22"/>
                <w:highlight w:val="none"/>
              </w:rPr>
              <w:t>25</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2"/>
                <w:szCs w:val="22"/>
                <w:highlight w:val="none"/>
              </w:rPr>
              <w:t>具备安全免疫能力的电力可信计算平台研究与应用</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全球能源互联网研究院有限公司</w:t>
            </w:r>
          </w:p>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国网江苏省电力有限公司</w:t>
            </w:r>
          </w:p>
          <w:p>
            <w:pPr>
              <w:widowControl/>
              <w:jc w:val="center"/>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2"/>
                <w:szCs w:val="22"/>
                <w:highlight w:val="none"/>
              </w:rPr>
              <w:t>国网信息通信产业集团有限公司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26</w:t>
            </w:r>
          </w:p>
        </w:tc>
        <w:tc>
          <w:tcPr>
            <w:tcW w:w="7482" w:type="dxa"/>
            <w:tcBorders>
              <w:top w:val="nil"/>
              <w:left w:val="nil"/>
              <w:bottom w:val="single" w:color="auto" w:sz="4" w:space="0"/>
              <w:right w:val="single" w:color="auto" w:sz="4" w:space="0"/>
            </w:tcBorders>
            <w:shd w:val="clear" w:color="auto" w:fill="auto"/>
            <w:vAlign w:val="center"/>
          </w:tcPr>
          <w:p>
            <w:pPr>
              <w:widowControl/>
              <w:snapToGrid w:val="0"/>
              <w:contextualSpacing/>
              <w:jc w:val="center"/>
              <w:textAlignment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color w:val="000000"/>
                <w:kern w:val="0"/>
                <w:sz w:val="22"/>
                <w:szCs w:val="22"/>
                <w:highlight w:val="none"/>
                <w:lang w:bidi="ar"/>
              </w:rPr>
              <w:t>南方电网公司PKI/CA身份认证系统</w:t>
            </w:r>
          </w:p>
        </w:tc>
        <w:tc>
          <w:tcPr>
            <w:tcW w:w="7321" w:type="dxa"/>
            <w:tcBorders>
              <w:top w:val="nil"/>
              <w:left w:val="nil"/>
              <w:bottom w:val="single" w:color="auto" w:sz="4" w:space="0"/>
              <w:right w:val="single" w:color="auto" w:sz="4" w:space="0"/>
            </w:tcBorders>
            <w:shd w:val="clear" w:color="auto" w:fill="auto"/>
            <w:vAlign w:val="center"/>
          </w:tcPr>
          <w:p>
            <w:pPr>
              <w:widowControl/>
              <w:snapToGrid w:val="0"/>
              <w:contextualSpacing/>
              <w:jc w:val="center"/>
              <w:textAlignment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color w:val="000000"/>
                <w:kern w:val="0"/>
                <w:sz w:val="22"/>
                <w:szCs w:val="22"/>
                <w:highlight w:val="none"/>
                <w:lang w:bidi="ar"/>
              </w:rPr>
              <w:t>中国南方电网有限责任公司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27</w:t>
            </w:r>
          </w:p>
        </w:tc>
        <w:tc>
          <w:tcPr>
            <w:tcW w:w="7482" w:type="dxa"/>
            <w:tcBorders>
              <w:top w:val="nil"/>
              <w:left w:val="nil"/>
              <w:bottom w:val="single" w:color="auto" w:sz="4" w:space="0"/>
              <w:right w:val="single" w:color="auto" w:sz="4" w:space="0"/>
            </w:tcBorders>
            <w:shd w:val="clear" w:color="auto" w:fill="auto"/>
            <w:vAlign w:val="center"/>
          </w:tcPr>
          <w:p>
            <w:pPr>
              <w:widowControl/>
              <w:snapToGrid w:val="0"/>
              <w:contextualSpacing/>
              <w:jc w:val="center"/>
              <w:textAlignment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color w:val="000000"/>
                <w:kern w:val="0"/>
                <w:sz w:val="22"/>
                <w:szCs w:val="22"/>
                <w:highlight w:val="none"/>
                <w:lang w:bidi="ar"/>
              </w:rPr>
              <w:t>南方电网公司统一用户管理平台</w:t>
            </w:r>
          </w:p>
        </w:tc>
        <w:tc>
          <w:tcPr>
            <w:tcW w:w="7321" w:type="dxa"/>
            <w:tcBorders>
              <w:top w:val="nil"/>
              <w:left w:val="nil"/>
              <w:bottom w:val="single" w:color="auto" w:sz="4" w:space="0"/>
              <w:right w:val="single" w:color="auto" w:sz="4" w:space="0"/>
            </w:tcBorders>
            <w:shd w:val="clear" w:color="auto" w:fill="auto"/>
            <w:vAlign w:val="center"/>
          </w:tcPr>
          <w:p>
            <w:pPr>
              <w:widowControl/>
              <w:snapToGrid w:val="0"/>
              <w:contextualSpacing/>
              <w:jc w:val="center"/>
              <w:textAlignment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color w:val="000000"/>
                <w:kern w:val="0"/>
                <w:sz w:val="22"/>
                <w:szCs w:val="22"/>
                <w:highlight w:val="none"/>
                <w:lang w:bidi="ar"/>
              </w:rPr>
              <w:t>中国南方电网有限责任公司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28</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核电DCS系统的网络安全检测平台</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江苏核电有限公司</w:t>
            </w:r>
          </w:p>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中核武汉核电运行技术股份有限公司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29</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航天云网高级威胁溯源取证与应急处置系统</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北京航天紫光科技有限公司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30</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基于区块链的电子发票系统</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航天信息股份有限公司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31</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电子政务基础设施云计算服务安全持续监管平台</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中国电子科技网络信息安全有限公司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32</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区域卫生健康信息安全平台</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湖南长城医疗科技有限公司</w:t>
            </w:r>
          </w:p>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中国长城科技集团股份有限公司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33</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云南电力网络安全厂网一体化监管服务平台</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中电长城网际系统应用有限公司</w:t>
            </w:r>
          </w:p>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云南电力试验研究院（集团）有限公司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34</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基于可信计算和安全增强技术的云平台</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大唐高鸿信安（浙江）信息科技有限公司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35</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基于100Gbps城域网的全量数据监测与预警系统</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南京烽火星空通信发展有限公司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36</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中国电科太极信息产业园新一代安全管理平台（生态安全3.0）建设与实践</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太极计算机股份有限公司</w:t>
            </w:r>
          </w:p>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成都科来软件有限公司</w:t>
            </w:r>
          </w:p>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北京升鑫网络</w:t>
            </w:r>
            <w:r>
              <w:rPr>
                <w:rFonts w:hint="eastAsia" w:ascii="仿宋_GB2312" w:hAnsi="仿宋_GB2312" w:eastAsia="仿宋_GB2312" w:cs="仿宋_GB2312"/>
                <w:kern w:val="0"/>
                <w:sz w:val="22"/>
                <w:szCs w:val="22"/>
                <w:highlight w:val="none"/>
                <w:lang w:eastAsia="zh-CN"/>
              </w:rPr>
              <w:t>（PCSA）</w:t>
            </w:r>
            <w:r>
              <w:rPr>
                <w:rFonts w:hint="eastAsia" w:ascii="仿宋_GB2312" w:hAnsi="仿宋_GB2312" w:eastAsia="仿宋_GB2312" w:cs="仿宋_GB2312"/>
                <w:kern w:val="0"/>
                <w:sz w:val="22"/>
                <w:szCs w:val="22"/>
                <w:highlight w:val="none"/>
              </w:rPr>
              <w:t>科技有限公司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37</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企事业内网集中安全监测预警平台应用试点</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中国工程物理研究院计算机应用研究所</w:t>
            </w:r>
          </w:p>
        </w:tc>
      </w:tr>
      <w:tr>
        <w:tblPrEx>
          <w:tblLayout w:type="fixed"/>
          <w:tblCellMar>
            <w:top w:w="0" w:type="dxa"/>
            <w:left w:w="108" w:type="dxa"/>
            <w:bottom w:w="0" w:type="dxa"/>
            <w:right w:w="108" w:type="dxa"/>
          </w:tblCellMar>
        </w:tblPrEx>
        <w:trPr>
          <w:trHeight w:val="737" w:hRule="atLeast"/>
          <w:jc w:val="center"/>
        </w:trPr>
        <w:tc>
          <w:tcPr>
            <w:tcW w:w="8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38</w:t>
            </w:r>
          </w:p>
        </w:tc>
        <w:tc>
          <w:tcPr>
            <w:tcW w:w="74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工业互联网综合安全评测平台</w:t>
            </w:r>
          </w:p>
        </w:tc>
        <w:tc>
          <w:tcPr>
            <w:tcW w:w="732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工业和信息化部威海电子信息技术综合研究中心</w:t>
            </w:r>
          </w:p>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信联科技（南京）有限公司</w:t>
            </w:r>
          </w:p>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北京邮电大学</w:t>
            </w:r>
          </w:p>
        </w:tc>
      </w:tr>
      <w:tr>
        <w:tblPrEx>
          <w:tblLayout w:type="fixed"/>
          <w:tblCellMar>
            <w:top w:w="0" w:type="dxa"/>
            <w:left w:w="108" w:type="dxa"/>
            <w:bottom w:w="0" w:type="dxa"/>
            <w:right w:w="108" w:type="dxa"/>
          </w:tblCellMar>
        </w:tblPrEx>
        <w:trPr>
          <w:trHeight w:val="737" w:hRule="atLeast"/>
          <w:jc w:val="center"/>
        </w:trPr>
        <w:tc>
          <w:tcPr>
            <w:tcW w:w="8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39</w:t>
            </w:r>
          </w:p>
        </w:tc>
        <w:tc>
          <w:tcPr>
            <w:tcW w:w="74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工业控制系统信息安全标准符合性测评技术应用试点示范</w:t>
            </w:r>
          </w:p>
        </w:tc>
        <w:tc>
          <w:tcPr>
            <w:tcW w:w="732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中国电子技术标准化研究院</w:t>
            </w:r>
          </w:p>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中国石油天然气股份有限公司长庆石化分公司</w:t>
            </w:r>
          </w:p>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北京中油瑞飞信息技术有限责任公司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40</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基于云化服务架构的山东省网络安全态势感知和应急指挥平台</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国家计算机网络与信息安全管理中心山东分中心</w:t>
            </w:r>
          </w:p>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威海恒安威信科技有限公司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41</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智能网联车路协同通信安全研究应用平台</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南京理工大学</w:t>
            </w:r>
          </w:p>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深圳市金溢科技股份有限公司</w:t>
            </w:r>
          </w:p>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北京圣博润高新技术股份有限公司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42</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交通运输关键信息基础设施风险防控与安全保障技术应用</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中国交通通信信息中心</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43</w:t>
            </w:r>
          </w:p>
        </w:tc>
        <w:tc>
          <w:tcPr>
            <w:tcW w:w="7482"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基于云服务的新一代安全防护系统</w:t>
            </w:r>
          </w:p>
        </w:tc>
        <w:tc>
          <w:tcPr>
            <w:tcW w:w="7321"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新华三信息安全技术有限公司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44</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车联网应用安全平台项目</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长春吉大正元信息技术股份有限公司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45</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智能网联汽车车载安全防护系统</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东软集团股份有限公司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46</w:t>
            </w:r>
          </w:p>
        </w:tc>
        <w:tc>
          <w:tcPr>
            <w:tcW w:w="7482" w:type="dxa"/>
            <w:tcBorders>
              <w:top w:val="nil"/>
              <w:left w:val="nil"/>
              <w:bottom w:val="single" w:color="auto" w:sz="4" w:space="0"/>
              <w:right w:val="single" w:color="auto" w:sz="4" w:space="0"/>
            </w:tcBorders>
            <w:shd w:val="clear" w:color="auto" w:fill="auto"/>
            <w:vAlign w:val="center"/>
          </w:tcPr>
          <w:p>
            <w:pPr>
              <w:widowControl/>
              <w:snapToGrid w:val="0"/>
              <w:contextualSpacing/>
              <w:jc w:val="center"/>
              <w:textAlignment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基于量子保密通信技术的海淀区电子政务网络安全应用项目</w:t>
            </w:r>
          </w:p>
        </w:tc>
        <w:tc>
          <w:tcPr>
            <w:tcW w:w="7321" w:type="dxa"/>
            <w:tcBorders>
              <w:top w:val="nil"/>
              <w:left w:val="nil"/>
              <w:bottom w:val="single" w:color="auto" w:sz="4" w:space="0"/>
              <w:right w:val="single" w:color="auto" w:sz="4" w:space="0"/>
            </w:tcBorders>
            <w:shd w:val="clear" w:color="auto" w:fill="auto"/>
            <w:vAlign w:val="center"/>
          </w:tcPr>
          <w:p>
            <w:pPr>
              <w:widowControl/>
              <w:snapToGrid w:val="0"/>
              <w:contextualSpacing/>
              <w:jc w:val="center"/>
              <w:textAlignment w:val="center"/>
              <w:rPr>
                <w:rFonts w:hint="eastAsia" w:ascii="仿宋_GB2312" w:hAnsi="仿宋_GB2312" w:eastAsia="仿宋_GB2312" w:cs="仿宋_GB2312"/>
                <w:color w:val="000000"/>
                <w:kern w:val="0"/>
                <w:sz w:val="22"/>
                <w:szCs w:val="22"/>
                <w:highlight w:val="none"/>
                <w:lang w:bidi="ar"/>
              </w:rPr>
            </w:pPr>
            <w:r>
              <w:rPr>
                <w:rFonts w:hint="eastAsia" w:ascii="仿宋_GB2312" w:hAnsi="仿宋_GB2312" w:eastAsia="仿宋_GB2312" w:cs="仿宋_GB2312"/>
                <w:color w:val="000000"/>
                <w:kern w:val="0"/>
                <w:sz w:val="22"/>
                <w:szCs w:val="22"/>
                <w:highlight w:val="none"/>
                <w:lang w:bidi="ar"/>
              </w:rPr>
              <w:t>北京国科量子共创通信科技研究院有限公司</w:t>
            </w:r>
          </w:p>
          <w:p>
            <w:pPr>
              <w:widowControl/>
              <w:snapToGrid w:val="0"/>
              <w:contextualSpacing/>
              <w:jc w:val="center"/>
              <w:textAlignment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color w:val="000000"/>
                <w:kern w:val="0"/>
                <w:sz w:val="22"/>
                <w:szCs w:val="22"/>
                <w:highlight w:val="none"/>
                <w:lang w:bidi="ar"/>
              </w:rPr>
              <w:t>中关村科技园区海淀园管理委员会</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47</w:t>
            </w:r>
          </w:p>
        </w:tc>
        <w:tc>
          <w:tcPr>
            <w:tcW w:w="7482" w:type="dxa"/>
            <w:tcBorders>
              <w:top w:val="nil"/>
              <w:left w:val="nil"/>
              <w:bottom w:val="single" w:color="auto" w:sz="4" w:space="0"/>
              <w:right w:val="single" w:color="auto" w:sz="4" w:space="0"/>
            </w:tcBorders>
            <w:shd w:val="clear" w:color="auto" w:fill="auto"/>
            <w:vAlign w:val="center"/>
          </w:tcPr>
          <w:p>
            <w:pPr>
              <w:widowControl/>
              <w:snapToGrid w:val="0"/>
              <w:contextualSpacing/>
              <w:jc w:val="center"/>
              <w:textAlignment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color w:val="000000"/>
                <w:kern w:val="0"/>
                <w:sz w:val="22"/>
                <w:szCs w:val="22"/>
                <w:highlight w:val="none"/>
                <w:lang w:bidi="ar"/>
              </w:rPr>
              <w:t>基于XID标记技术的数据流通服务平台</w:t>
            </w:r>
          </w:p>
        </w:tc>
        <w:tc>
          <w:tcPr>
            <w:tcW w:w="7321" w:type="dxa"/>
            <w:tcBorders>
              <w:top w:val="nil"/>
              <w:left w:val="nil"/>
              <w:bottom w:val="single" w:color="auto" w:sz="4" w:space="0"/>
              <w:right w:val="single" w:color="auto" w:sz="4" w:space="0"/>
            </w:tcBorders>
            <w:shd w:val="clear" w:color="auto" w:fill="auto"/>
            <w:vAlign w:val="center"/>
          </w:tcPr>
          <w:p>
            <w:pPr>
              <w:widowControl/>
              <w:snapToGrid w:val="0"/>
              <w:contextualSpacing/>
              <w:jc w:val="center"/>
              <w:textAlignment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color w:val="000000"/>
                <w:kern w:val="0"/>
                <w:sz w:val="22"/>
                <w:szCs w:val="22"/>
                <w:highlight w:val="none"/>
                <w:lang w:bidi="ar"/>
              </w:rPr>
              <w:t>上海数据交易中心有限公司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48</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基于纯IPv6云平台的CERNET2监测预警与安全防护系统</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赛尔网络有限公司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49</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百度人工智能安全平台</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北京百度网讯科技有限公司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50</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阿里数据中心骨干网IPv6 DDoS网络安全防御</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阿里云计算有限公司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51</w:t>
            </w:r>
          </w:p>
        </w:tc>
        <w:tc>
          <w:tcPr>
            <w:tcW w:w="7482" w:type="dxa"/>
            <w:tcBorders>
              <w:top w:val="nil"/>
              <w:left w:val="nil"/>
              <w:bottom w:val="single" w:color="auto" w:sz="4" w:space="0"/>
              <w:right w:val="single" w:color="auto" w:sz="4" w:space="0"/>
            </w:tcBorders>
            <w:shd w:val="clear" w:color="auto" w:fill="auto"/>
            <w:vAlign w:val="center"/>
          </w:tcPr>
          <w:p>
            <w:pPr>
              <w:widowControl/>
              <w:snapToGrid w:val="0"/>
              <w:contextualSpacing/>
              <w:jc w:val="center"/>
              <w:textAlignment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color w:val="000000"/>
                <w:kern w:val="0"/>
                <w:sz w:val="22"/>
                <w:szCs w:val="22"/>
                <w:highlight w:val="none"/>
                <w:lang w:bidi="ar"/>
              </w:rPr>
              <w:t>基于补天众测的漏洞治理与风险管理平台</w:t>
            </w:r>
          </w:p>
        </w:tc>
        <w:tc>
          <w:tcPr>
            <w:tcW w:w="7321" w:type="dxa"/>
            <w:tcBorders>
              <w:top w:val="nil"/>
              <w:left w:val="nil"/>
              <w:bottom w:val="single" w:color="auto" w:sz="4" w:space="0"/>
              <w:right w:val="single" w:color="auto" w:sz="4" w:space="0"/>
            </w:tcBorders>
            <w:shd w:val="clear" w:color="auto" w:fill="auto"/>
            <w:vAlign w:val="center"/>
          </w:tcPr>
          <w:p>
            <w:pPr>
              <w:widowControl/>
              <w:snapToGrid w:val="0"/>
              <w:contextualSpacing/>
              <w:jc w:val="center"/>
              <w:textAlignment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color w:val="000000"/>
                <w:kern w:val="0"/>
                <w:sz w:val="22"/>
                <w:szCs w:val="22"/>
                <w:highlight w:val="none"/>
                <w:lang w:bidi="ar"/>
              </w:rPr>
              <w:t>北京奇安信科技有限公司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52</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基于安全数据交换的边界隔离系统建设</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北京启明星辰信息安全技术有限公司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53</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网络安全态势感知和应急处置平台</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哈尔滨安天科技集团股份有限公司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54</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基于分布式安全云服务的统一安全管理平台</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深信服科技股份有限公司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55</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IPv6网络空间智能安全监控平台</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北京神州绿盟科技有限公司</w:t>
            </w:r>
          </w:p>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中国移动通信集团贵州有限公司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56</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基于新型网络协议的安全视联网</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杭州视联动力技术有限公司</w:t>
            </w:r>
          </w:p>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视联动力信息技术股份有限公司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57</w:t>
            </w:r>
          </w:p>
        </w:tc>
        <w:tc>
          <w:tcPr>
            <w:tcW w:w="7482"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互联网与内网资产的动态安全核查系统</w:t>
            </w:r>
          </w:p>
        </w:tc>
        <w:tc>
          <w:tcPr>
            <w:tcW w:w="7321"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北京神州泰岳软件股份有限公司</w:t>
            </w:r>
          </w:p>
          <w:p>
            <w:pPr>
              <w:adjustRightInd w:val="0"/>
              <w:snapToGrid w:val="0"/>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中国移动通信集团河北有限公司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58</w:t>
            </w:r>
          </w:p>
        </w:tc>
        <w:tc>
          <w:tcPr>
            <w:tcW w:w="74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基于行为分析的物联终端安全智能防护方案</w:t>
            </w:r>
          </w:p>
        </w:tc>
        <w:tc>
          <w:tcPr>
            <w:tcW w:w="732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网神信息技术（北京）股份有限公司</w:t>
            </w:r>
          </w:p>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中国移动通信集团北京有限公司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59</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企业私有云安全资源池及自动化运营平台</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网神信息技术（北京）股份有限公司</w:t>
            </w:r>
          </w:p>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咪咕视讯科技有限公司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60</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基于CDN的互联网业务欺诈检测防御系统</w:t>
            </w:r>
          </w:p>
        </w:tc>
        <w:tc>
          <w:tcPr>
            <w:tcW w:w="732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网宿科技股份有限公司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61</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物联网安全接入防护系统</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北京网御星云信息技术有限公司</w:t>
            </w:r>
          </w:p>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中国科学院信息工程研究所</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62</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网络空间安全态势感知与预警系统</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任子行网络技术股份有限公司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63</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通信网络安全治理使能平台</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浙江鹏信信息科技股份有限公司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64</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基于SM系列密码的联盟区块链底层平台研究及示范应用</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鼎铉商用密码测评技术（深圳）有限公司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65</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基于联盟区块链的第三方电子数据保全平台</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深圳市网安计算机安全检测技术有限公司</w:t>
            </w:r>
          </w:p>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深圳市携网科技有限公司</w:t>
            </w:r>
          </w:p>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广东安证计算机司法鉴定所</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66</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网络电话预警与溯源系统</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成都无糖信息技术有限公司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67</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面向安可计算机的终端安全管理平台</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上海北信源信息技术有限公司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68</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基于模式识别全天候盯防的运营商电子渠道业务安全风控平台</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上海观安信息技术股份有限公司</w:t>
            </w:r>
          </w:p>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中国移动通信集团浙江有限公司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69</w:t>
            </w:r>
          </w:p>
        </w:tc>
        <w:tc>
          <w:tcPr>
            <w:tcW w:w="7482"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基于客户生物特征深度学习的智能安全稽核平台</w:t>
            </w:r>
          </w:p>
        </w:tc>
        <w:tc>
          <w:tcPr>
            <w:tcW w:w="7321"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上海观安信息技术股份有限公司</w:t>
            </w:r>
          </w:p>
          <w:p>
            <w:pPr>
              <w:adjustRightInd w:val="0"/>
              <w:snapToGrid w:val="0"/>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中国移动通信集团广东有限公司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70</w:t>
            </w:r>
          </w:p>
        </w:tc>
        <w:tc>
          <w:tcPr>
            <w:tcW w:w="7482"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IPv6安全检测评估平台</w:t>
            </w:r>
          </w:p>
        </w:tc>
        <w:tc>
          <w:tcPr>
            <w:tcW w:w="7321" w:type="dxa"/>
            <w:tcBorders>
              <w:top w:val="nil"/>
              <w:left w:val="nil"/>
              <w:bottom w:val="single" w:color="auto" w:sz="4" w:space="0"/>
              <w:right w:val="single" w:color="auto" w:sz="4" w:space="0"/>
            </w:tcBorders>
            <w:shd w:val="clear" w:color="000000" w:fill="FFFFFF"/>
            <w:vAlign w:val="center"/>
          </w:tcPr>
          <w:p>
            <w:pPr>
              <w:adjustRightInd w:val="0"/>
              <w:snapToGrid w:val="0"/>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河南省金盾信息安全等级技术测评中心有限公司</w:t>
            </w:r>
          </w:p>
          <w:p>
            <w:pPr>
              <w:adjustRightInd w:val="0"/>
              <w:snapToGrid w:val="0"/>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中国移动通信集团河南有限公司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71</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智能网联汽车网络安全检测评估平台建设</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天津卡达克数据有限公司</w:t>
            </w:r>
          </w:p>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北京航空航天大学</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72</w:t>
            </w:r>
          </w:p>
        </w:tc>
        <w:tc>
          <w:tcPr>
            <w:tcW w:w="748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工业互联网安全监测与态势感知平台</w:t>
            </w:r>
          </w:p>
        </w:tc>
        <w:tc>
          <w:tcPr>
            <w:tcW w:w="732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恒安嘉新（北京）科技股份公司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73</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民航网络与信息安全管理平台</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北京安天网络安全技术有限公司</w:t>
            </w:r>
          </w:p>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中国民航大学</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74</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大连市网络安全公共服务平台</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大连网信在线科技有限公司</w:t>
            </w:r>
          </w:p>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安百科技（北京）有限公司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75</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网络数据安全监测平台</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成都思维世纪科技有限责任公司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76</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大规模网络服务安全监控及溯源分析平台</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湖南神州祥网科技有限公司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77</w:t>
            </w:r>
          </w:p>
        </w:tc>
        <w:tc>
          <w:tcPr>
            <w:tcW w:w="748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基于通信网络的信息安全态势感知及应急服务保障平台</w:t>
            </w:r>
          </w:p>
        </w:tc>
        <w:tc>
          <w:tcPr>
            <w:tcW w:w="732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凯通科技股份有限公司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78</w:t>
            </w:r>
          </w:p>
        </w:tc>
        <w:tc>
          <w:tcPr>
            <w:tcW w:w="748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重点机械数控企业网络安全监测与态势感知安全技术应用试点项目</w:t>
            </w:r>
          </w:p>
        </w:tc>
        <w:tc>
          <w:tcPr>
            <w:tcW w:w="732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北京亚鸿世纪科技发展有限公司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79</w:t>
            </w:r>
          </w:p>
        </w:tc>
        <w:tc>
          <w:tcPr>
            <w:tcW w:w="748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基于多源数据融合的网络可视化监测和安全态势智能感知平台</w:t>
            </w:r>
          </w:p>
        </w:tc>
        <w:tc>
          <w:tcPr>
            <w:tcW w:w="732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天津市国瑞数码安全系统股份有限公司</w:t>
            </w:r>
          </w:p>
          <w:p>
            <w:pPr>
              <w:widowControl/>
              <w:adjustRightInd w:val="0"/>
              <w:snapToGrid w:val="0"/>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中国移动通信集团山东有限公司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80</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全网资产测绘与风险感知平台</w:t>
            </w:r>
          </w:p>
        </w:tc>
        <w:tc>
          <w:tcPr>
            <w:tcW w:w="732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深圳市魔方安全科技有限公司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81</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政务联盟区块链政务信息可信传递平台</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山大地纬软件股份有限公司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82</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面向区块链行业的安全风险监控平台</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湖南天河国云科技有限公司</w:t>
            </w:r>
          </w:p>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国家计算机网络与信息安全管理中心湖南省分中心</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83</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国瑞信安网络安全态势感知及通报预警平台</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江苏国瑞信安科技有限公司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84</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北京市经济和信息化委员会2018年度政务云平台安全监管服务项目</w:t>
            </w:r>
          </w:p>
        </w:tc>
        <w:tc>
          <w:tcPr>
            <w:tcW w:w="732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北京安信天行科技有限公司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85</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基于新一代安全技术防护的建筑工人实名制管理平台</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中国—东盟信息港股份有限公司</w:t>
            </w:r>
          </w:p>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江苏神州信源系统工程有限公司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86</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互联网网络安全技术项目</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四川无声信息技术有限公司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87</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密码安全防护体系和终端入侵检测技术在互联网汽车车载终端的应用</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上海帆一尚行科技有限公司</w:t>
            </w:r>
          </w:p>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格尔软件股份有限公司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88</w:t>
            </w:r>
          </w:p>
        </w:tc>
        <w:tc>
          <w:tcPr>
            <w:tcW w:w="7482"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基于云的网络安全监测预警及态势分析平台</w:t>
            </w:r>
          </w:p>
        </w:tc>
        <w:tc>
          <w:tcPr>
            <w:tcW w:w="7321"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郑州赛欧思科技有限公司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89</w:t>
            </w:r>
          </w:p>
        </w:tc>
        <w:tc>
          <w:tcPr>
            <w:tcW w:w="7482"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协同融合的车联网一体化安全服务系统</w:t>
            </w:r>
          </w:p>
        </w:tc>
        <w:tc>
          <w:tcPr>
            <w:tcW w:w="7321" w:type="dxa"/>
            <w:tcBorders>
              <w:top w:val="nil"/>
              <w:left w:val="nil"/>
              <w:bottom w:val="single" w:color="auto" w:sz="4" w:space="0"/>
              <w:right w:val="single" w:color="auto" w:sz="4" w:space="0"/>
            </w:tcBorders>
            <w:shd w:val="clear" w:color="000000" w:fill="FFFFFF"/>
            <w:vAlign w:val="center"/>
          </w:tcPr>
          <w:p>
            <w:pPr>
              <w:adjustRightInd w:val="0"/>
              <w:snapToGrid w:val="0"/>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郑州信大捷安信息技术股份有限公司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90</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协同融合的网络安全防护和监测管理平台</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郑州信大捷安信息技术股份有限公司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91</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基于虚拟执行代码分析技术的网络安全评估系统</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合肥安珀信息科技有限公司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92</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屏幕拍摄与网络隐蔽泄密溯源取证系统</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合肥高维数据技术有限公司</w:t>
            </w:r>
          </w:p>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中国科学技术大学先进技术研究院</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93</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网安天目数据安全防护体系研发项目</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大庆中基石油通信建设有限公司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94</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浙江省法人数字证书应用服务项目</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浙江汇信科技有限公司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95</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三级校园教育安全综合管理平台</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绿网天下（福建）网络科技股份有限公司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96</w:t>
            </w:r>
          </w:p>
        </w:tc>
        <w:tc>
          <w:tcPr>
            <w:tcW w:w="7482" w:type="dxa"/>
            <w:tcBorders>
              <w:top w:val="nil"/>
              <w:left w:val="nil"/>
              <w:bottom w:val="single" w:color="auto" w:sz="4" w:space="0"/>
              <w:right w:val="single" w:color="auto" w:sz="4" w:space="0"/>
            </w:tcBorders>
            <w:shd w:val="clear" w:color="auto" w:fill="auto"/>
            <w:vAlign w:val="center"/>
          </w:tcPr>
          <w:p>
            <w:pPr>
              <w:widowControl/>
              <w:snapToGrid w:val="0"/>
              <w:contextualSpacing/>
              <w:jc w:val="center"/>
              <w:textAlignment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融媒体内容数据安全防护系统在广播电视台、县级融媒体中心应用</w:t>
            </w:r>
          </w:p>
        </w:tc>
        <w:tc>
          <w:tcPr>
            <w:tcW w:w="7321" w:type="dxa"/>
            <w:tcBorders>
              <w:top w:val="nil"/>
              <w:left w:val="nil"/>
              <w:bottom w:val="single" w:color="auto" w:sz="4" w:space="0"/>
              <w:right w:val="single" w:color="auto" w:sz="4" w:space="0"/>
            </w:tcBorders>
            <w:shd w:val="clear" w:color="auto" w:fill="auto"/>
            <w:vAlign w:val="center"/>
          </w:tcPr>
          <w:p>
            <w:pPr>
              <w:widowControl/>
              <w:snapToGrid w:val="0"/>
              <w:contextualSpacing/>
              <w:jc w:val="center"/>
              <w:textAlignment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color w:val="000000"/>
                <w:kern w:val="0"/>
                <w:sz w:val="22"/>
                <w:szCs w:val="22"/>
                <w:highlight w:val="none"/>
                <w:lang w:bidi="ar"/>
              </w:rPr>
              <w:t>安徽智圣通信技术股份有限公司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97</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基于新一代认证体制CFL的网络安全应用系统</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青岛博文广成信息安全技术有限公司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98</w:t>
            </w:r>
          </w:p>
        </w:tc>
        <w:tc>
          <w:tcPr>
            <w:tcW w:w="7482" w:type="dxa"/>
            <w:tcBorders>
              <w:top w:val="nil"/>
              <w:left w:val="nil"/>
              <w:bottom w:val="single" w:color="auto" w:sz="4" w:space="0"/>
              <w:right w:val="single" w:color="auto" w:sz="4" w:space="0"/>
            </w:tcBorders>
            <w:shd w:val="clear" w:color="auto" w:fill="auto"/>
            <w:vAlign w:val="center"/>
          </w:tcPr>
          <w:p>
            <w:pPr>
              <w:widowControl/>
              <w:snapToGrid w:val="0"/>
              <w:contextualSpacing/>
              <w:jc w:val="center"/>
              <w:textAlignment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color w:val="000000"/>
                <w:kern w:val="0"/>
                <w:sz w:val="22"/>
                <w:szCs w:val="22"/>
                <w:highlight w:val="none"/>
                <w:lang w:bidi="ar"/>
              </w:rPr>
              <w:t>工控系统网络安全防护项目</w:t>
            </w:r>
          </w:p>
        </w:tc>
        <w:tc>
          <w:tcPr>
            <w:tcW w:w="7321" w:type="dxa"/>
            <w:tcBorders>
              <w:top w:val="nil"/>
              <w:left w:val="nil"/>
              <w:bottom w:val="single" w:color="auto" w:sz="4" w:space="0"/>
              <w:right w:val="single" w:color="auto" w:sz="4" w:space="0"/>
            </w:tcBorders>
            <w:shd w:val="clear" w:color="auto" w:fill="auto"/>
            <w:vAlign w:val="center"/>
          </w:tcPr>
          <w:p>
            <w:pPr>
              <w:widowControl/>
              <w:snapToGrid w:val="0"/>
              <w:contextualSpacing/>
              <w:jc w:val="center"/>
              <w:textAlignment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color w:val="000000"/>
                <w:kern w:val="0"/>
                <w:sz w:val="22"/>
                <w:szCs w:val="22"/>
                <w:highlight w:val="none"/>
                <w:lang w:bidi="ar"/>
              </w:rPr>
              <w:t>大连福佳·大化石油化工有限公司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99</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九州分布式工控系统智能防护安全平台</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山东九州信泰信息科技股份有限公司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100</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2"/>
                <w:szCs w:val="22"/>
                <w:highlight w:val="none"/>
                <w:lang w:bidi="ar"/>
              </w:rPr>
            </w:pPr>
            <w:r>
              <w:rPr>
                <w:rFonts w:hint="eastAsia" w:ascii="仿宋_GB2312" w:hAnsi="仿宋_GB2312" w:eastAsia="仿宋_GB2312" w:cs="仿宋_GB2312"/>
                <w:kern w:val="0"/>
                <w:sz w:val="22"/>
                <w:szCs w:val="22"/>
                <w:highlight w:val="none"/>
              </w:rPr>
              <w:t>OceanMind网络攻击行为综合监控平台</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2"/>
                <w:szCs w:val="22"/>
                <w:highlight w:val="none"/>
                <w:lang w:bidi="ar"/>
              </w:rPr>
            </w:pPr>
            <w:r>
              <w:rPr>
                <w:rFonts w:hint="eastAsia" w:ascii="仿宋_GB2312" w:hAnsi="仿宋_GB2312" w:eastAsia="仿宋_GB2312" w:cs="仿宋_GB2312"/>
                <w:kern w:val="0"/>
                <w:sz w:val="22"/>
                <w:szCs w:val="22"/>
                <w:highlight w:val="none"/>
              </w:rPr>
              <w:t>南京中新赛克科技有限责任公司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101</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2"/>
                <w:szCs w:val="22"/>
                <w:highlight w:val="none"/>
                <w:lang w:bidi="ar"/>
              </w:rPr>
            </w:pPr>
            <w:r>
              <w:rPr>
                <w:rFonts w:hint="eastAsia" w:ascii="仿宋_GB2312" w:hAnsi="仿宋_GB2312" w:eastAsia="仿宋_GB2312" w:cs="仿宋_GB2312"/>
                <w:color w:val="000000"/>
                <w:kern w:val="0"/>
                <w:sz w:val="22"/>
                <w:szCs w:val="22"/>
                <w:highlight w:val="none"/>
                <w:lang w:bidi="ar"/>
              </w:rPr>
              <w:t>基于</w:t>
            </w:r>
            <w:r>
              <w:rPr>
                <w:rFonts w:hint="eastAsia" w:ascii="仿宋_GB2312" w:hAnsi="仿宋_GB2312" w:eastAsia="仿宋_GB2312" w:cs="仿宋_GB2312"/>
                <w:color w:val="000000"/>
                <w:kern w:val="0"/>
                <w:sz w:val="22"/>
                <w:szCs w:val="22"/>
                <w:highlight w:val="none"/>
                <w:lang w:eastAsia="zh-CN" w:bidi="ar"/>
              </w:rPr>
              <w:t>静态分析技术</w:t>
            </w:r>
            <w:r>
              <w:rPr>
                <w:rFonts w:hint="eastAsia" w:ascii="仿宋_GB2312" w:hAnsi="仿宋_GB2312" w:eastAsia="仿宋_GB2312" w:cs="仿宋_GB2312"/>
                <w:color w:val="000000"/>
                <w:kern w:val="0"/>
                <w:sz w:val="22"/>
                <w:szCs w:val="22"/>
                <w:highlight w:val="none"/>
                <w:lang w:bidi="ar"/>
              </w:rPr>
              <w:t>的源代码缺陷分析系统</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2"/>
                <w:szCs w:val="22"/>
                <w:highlight w:val="none"/>
                <w:lang w:bidi="ar"/>
              </w:rPr>
            </w:pPr>
            <w:r>
              <w:rPr>
                <w:rFonts w:hint="eastAsia" w:ascii="仿宋_GB2312" w:hAnsi="仿宋_GB2312" w:eastAsia="仿宋_GB2312" w:cs="仿宋_GB2312"/>
                <w:kern w:val="0"/>
                <w:sz w:val="22"/>
                <w:szCs w:val="22"/>
                <w:highlight w:val="none"/>
              </w:rPr>
              <w:t>北京酷德啄木鸟信息技术有限公司</w:t>
            </w:r>
          </w:p>
        </w:tc>
      </w:tr>
    </w:tbl>
    <w:p>
      <w:bookmarkStart w:id="0" w:name="_GoBack"/>
      <w:bookmarkEnd w:id="0"/>
    </w:p>
    <w:sectPr>
      <w:footerReference r:id="rId3" w:type="default"/>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3E"/>
    <w:rsid w:val="003C2613"/>
    <w:rsid w:val="007D1851"/>
    <w:rsid w:val="00952C47"/>
    <w:rsid w:val="00AD1DDE"/>
    <w:rsid w:val="00B80D3E"/>
    <w:rsid w:val="00DE3C79"/>
    <w:rsid w:val="02C45D71"/>
    <w:rsid w:val="048C6143"/>
    <w:rsid w:val="04F860DB"/>
    <w:rsid w:val="053B4465"/>
    <w:rsid w:val="08110964"/>
    <w:rsid w:val="086F3816"/>
    <w:rsid w:val="09025BE0"/>
    <w:rsid w:val="0912361F"/>
    <w:rsid w:val="0A5C53B7"/>
    <w:rsid w:val="0A93055C"/>
    <w:rsid w:val="0B0900E9"/>
    <w:rsid w:val="0C8E7A7F"/>
    <w:rsid w:val="0D1A13BD"/>
    <w:rsid w:val="0E82380C"/>
    <w:rsid w:val="11D50A65"/>
    <w:rsid w:val="12644F8F"/>
    <w:rsid w:val="13382B12"/>
    <w:rsid w:val="15124BD0"/>
    <w:rsid w:val="15E636B2"/>
    <w:rsid w:val="167470BD"/>
    <w:rsid w:val="16B061E4"/>
    <w:rsid w:val="1754604C"/>
    <w:rsid w:val="19962721"/>
    <w:rsid w:val="19AA3558"/>
    <w:rsid w:val="1C992D69"/>
    <w:rsid w:val="1D882B41"/>
    <w:rsid w:val="1E1323E6"/>
    <w:rsid w:val="1EC63158"/>
    <w:rsid w:val="1FDC000E"/>
    <w:rsid w:val="1FF324F1"/>
    <w:rsid w:val="204D297E"/>
    <w:rsid w:val="20851C3F"/>
    <w:rsid w:val="21B5099D"/>
    <w:rsid w:val="22DF75EA"/>
    <w:rsid w:val="22E77DD4"/>
    <w:rsid w:val="23DF4BE3"/>
    <w:rsid w:val="24B6767E"/>
    <w:rsid w:val="25724E94"/>
    <w:rsid w:val="257B0A86"/>
    <w:rsid w:val="26810853"/>
    <w:rsid w:val="273810C3"/>
    <w:rsid w:val="279C6153"/>
    <w:rsid w:val="28ED568A"/>
    <w:rsid w:val="2A0B7F86"/>
    <w:rsid w:val="2A0F35B8"/>
    <w:rsid w:val="2AE11975"/>
    <w:rsid w:val="2B0E49B1"/>
    <w:rsid w:val="2B1168A2"/>
    <w:rsid w:val="2BD1051F"/>
    <w:rsid w:val="2D6C2111"/>
    <w:rsid w:val="2E592DDE"/>
    <w:rsid w:val="2EAD522D"/>
    <w:rsid w:val="302639D1"/>
    <w:rsid w:val="305F01AF"/>
    <w:rsid w:val="308C4882"/>
    <w:rsid w:val="31B7201E"/>
    <w:rsid w:val="339A2471"/>
    <w:rsid w:val="346C614A"/>
    <w:rsid w:val="347B3F2F"/>
    <w:rsid w:val="357722F7"/>
    <w:rsid w:val="378F758F"/>
    <w:rsid w:val="37BA7334"/>
    <w:rsid w:val="383C4A24"/>
    <w:rsid w:val="38AA2EDF"/>
    <w:rsid w:val="38EB27BE"/>
    <w:rsid w:val="39B00540"/>
    <w:rsid w:val="3A1120EE"/>
    <w:rsid w:val="3B3E204A"/>
    <w:rsid w:val="3B822485"/>
    <w:rsid w:val="3BDF34F2"/>
    <w:rsid w:val="3CA4229C"/>
    <w:rsid w:val="3CB13A02"/>
    <w:rsid w:val="400F72DF"/>
    <w:rsid w:val="40B6775B"/>
    <w:rsid w:val="41BE42B0"/>
    <w:rsid w:val="42657AED"/>
    <w:rsid w:val="4350541D"/>
    <w:rsid w:val="44C85C17"/>
    <w:rsid w:val="45714167"/>
    <w:rsid w:val="45FF0859"/>
    <w:rsid w:val="461C3E5E"/>
    <w:rsid w:val="462A6022"/>
    <w:rsid w:val="47C24C0F"/>
    <w:rsid w:val="47E65139"/>
    <w:rsid w:val="48D127CD"/>
    <w:rsid w:val="497E1743"/>
    <w:rsid w:val="49DE4627"/>
    <w:rsid w:val="4B256CB5"/>
    <w:rsid w:val="4C984DAD"/>
    <w:rsid w:val="4E1F5E34"/>
    <w:rsid w:val="4ED67A0F"/>
    <w:rsid w:val="4F652582"/>
    <w:rsid w:val="507C2C8A"/>
    <w:rsid w:val="50BE2755"/>
    <w:rsid w:val="50EF2AAF"/>
    <w:rsid w:val="54BF1034"/>
    <w:rsid w:val="58490872"/>
    <w:rsid w:val="5A152F3E"/>
    <w:rsid w:val="5AC6219A"/>
    <w:rsid w:val="5B3E6173"/>
    <w:rsid w:val="5BE314B8"/>
    <w:rsid w:val="5EBB58D8"/>
    <w:rsid w:val="60E41974"/>
    <w:rsid w:val="611C1146"/>
    <w:rsid w:val="62090B17"/>
    <w:rsid w:val="63F25B56"/>
    <w:rsid w:val="640273AB"/>
    <w:rsid w:val="647D3576"/>
    <w:rsid w:val="67871A19"/>
    <w:rsid w:val="68AA4B27"/>
    <w:rsid w:val="6DC162A0"/>
    <w:rsid w:val="6DF7088A"/>
    <w:rsid w:val="6EA6733C"/>
    <w:rsid w:val="6EF866AF"/>
    <w:rsid w:val="6F240B19"/>
    <w:rsid w:val="702B46EB"/>
    <w:rsid w:val="71762D2A"/>
    <w:rsid w:val="73C16F2C"/>
    <w:rsid w:val="74F9132C"/>
    <w:rsid w:val="75173D42"/>
    <w:rsid w:val="79A32023"/>
    <w:rsid w:val="79A70548"/>
    <w:rsid w:val="79CF3C18"/>
    <w:rsid w:val="7A8441A7"/>
    <w:rsid w:val="7B745B7C"/>
    <w:rsid w:val="7EB115B3"/>
    <w:rsid w:val="7F467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569</Words>
  <Characters>3247</Characters>
  <Lines>27</Lines>
  <Paragraphs>7</Paragraphs>
  <TotalTime>1</TotalTime>
  <ScaleCrop>false</ScaleCrop>
  <LinksUpToDate>false</LinksUpToDate>
  <CharactersWithSpaces>3809</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2019-04-03T08:42:00Z</dcterms:created>
  <dc:creator>丰 诗朵</dc:creator>
  <cp:lastModifiedBy>wain</cp:lastModifiedBy>
  <dcterms:modified xsi:type="dcterms:W3CDTF">2019-04-18T06:44:29Z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