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仿宋_GB2312" w:hAnsi="仿宋_GB2312" w:eastAsia="仿宋_GB2312" w:cs="仿宋_GB2312"/>
          <w:i w:val="0"/>
          <w:color w:val="000000"/>
          <w:kern w:val="0"/>
          <w:sz w:val="32"/>
          <w:szCs w:val="32"/>
          <w:u w:val="none"/>
          <w:lang w:val="en-US" w:eastAsia="zh-CN"/>
        </w:rPr>
      </w:pPr>
      <w:r>
        <w:rPr>
          <w:rFonts w:hint="eastAsia" w:ascii="仿宋_GB2312" w:hAnsi="仿宋_GB2312" w:eastAsia="仿宋_GB2312" w:cs="仿宋_GB2312"/>
          <w:i w:val="0"/>
          <w:color w:val="000000"/>
          <w:kern w:val="0"/>
          <w:sz w:val="32"/>
          <w:szCs w:val="32"/>
          <w:u w:val="none"/>
          <w:lang w:val="en-US" w:eastAsia="zh-CN"/>
        </w:rPr>
        <w:t>附件</w:t>
      </w:r>
    </w:p>
    <w:p>
      <w:pPr>
        <w:jc w:val="center"/>
        <w:rPr>
          <w:rFonts w:hint="eastAsia" w:ascii="宋体" w:hAnsi="宋体" w:eastAsia="宋体" w:cs="宋体"/>
          <w:b/>
          <w:bCs/>
          <w:i w:val="0"/>
          <w:color w:val="000000"/>
          <w:kern w:val="0"/>
          <w:sz w:val="36"/>
          <w:szCs w:val="36"/>
          <w:u w:val="none"/>
          <w:lang w:val="en-US" w:eastAsia="zh-CN"/>
        </w:rPr>
      </w:pPr>
      <w:r>
        <w:rPr>
          <w:rFonts w:hint="eastAsia" w:ascii="宋体" w:hAnsi="宋体" w:eastAsia="宋体" w:cs="宋体"/>
          <w:b/>
          <w:bCs/>
          <w:i w:val="0"/>
          <w:color w:val="000000"/>
          <w:kern w:val="0"/>
          <w:sz w:val="36"/>
          <w:szCs w:val="36"/>
          <w:u w:val="none"/>
          <w:lang w:val="en-US" w:eastAsia="zh-CN"/>
        </w:rPr>
        <w:t>关于</w:t>
      </w:r>
      <w:r>
        <w:rPr>
          <w:rFonts w:hint="eastAsia" w:ascii="宋体" w:hAnsi="宋体" w:eastAsia="宋体" w:cs="宋体"/>
          <w:b/>
          <w:bCs/>
          <w:sz w:val="36"/>
          <w:szCs w:val="36"/>
        </w:rPr>
        <w:t>中国石油天然气股份有限公司抚顺石化分公司洗涤剂化工厂</w:t>
      </w:r>
      <w:r>
        <w:rPr>
          <w:rFonts w:hint="eastAsia" w:ascii="宋体" w:hAnsi="宋体" w:eastAsia="宋体" w:cs="宋体"/>
          <w:b/>
          <w:bCs/>
          <w:i w:val="0"/>
          <w:color w:val="000000"/>
          <w:kern w:val="0"/>
          <w:sz w:val="36"/>
          <w:szCs w:val="36"/>
          <w:u w:val="none"/>
          <w:lang w:val="en-US" w:eastAsia="zh-CN"/>
        </w:rPr>
        <w:t>的检查结果</w:t>
      </w:r>
    </w:p>
    <w:p>
      <w:pPr>
        <w:jc w:val="both"/>
        <w:rPr>
          <w:rFonts w:hint="eastAsia" w:ascii="方正小标宋简体" w:hAnsi="方正小标宋简体" w:eastAsia="方正小标宋简体" w:cs="方正小标宋简体"/>
          <w:i w:val="0"/>
          <w:color w:val="000000"/>
          <w:kern w:val="0"/>
          <w:sz w:val="18"/>
          <w:szCs w:val="18"/>
          <w:u w:val="none"/>
          <w:lang w:val="en-US" w:eastAsia="zh-CN"/>
        </w:rPr>
      </w:pPr>
    </w:p>
    <w:tbl>
      <w:tblPr>
        <w:tblStyle w:val="3"/>
        <w:tblW w:w="10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050"/>
        <w:gridCol w:w="1410"/>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34" w:type="dxa"/>
            <w:gridSpan w:val="2"/>
            <w:vMerge w:val="restart"/>
            <w:vAlign w:val="center"/>
          </w:tcPr>
          <w:p>
            <w:pPr>
              <w:snapToGrid w:val="0"/>
              <w:spacing w:line="360" w:lineRule="auto"/>
              <w:jc w:val="center"/>
              <w:rPr>
                <w:rFonts w:hint="eastAsia" w:ascii="楷体" w:hAnsi="楷体" w:eastAsia="楷体"/>
                <w:b/>
                <w:sz w:val="28"/>
                <w:szCs w:val="28"/>
                <w:lang w:eastAsia="zh-CN"/>
              </w:rPr>
            </w:pPr>
            <w:r>
              <w:rPr>
                <w:rFonts w:hint="eastAsia" w:ascii="楷体" w:hAnsi="楷体" w:eastAsia="楷体"/>
                <w:b/>
                <w:sz w:val="28"/>
                <w:szCs w:val="28"/>
              </w:rPr>
              <w:t>被检查企业</w:t>
            </w:r>
          </w:p>
        </w:tc>
        <w:tc>
          <w:tcPr>
            <w:tcW w:w="1410" w:type="dxa"/>
            <w:vAlign w:val="center"/>
          </w:tcPr>
          <w:p>
            <w:pPr>
              <w:snapToGrid w:val="0"/>
              <w:spacing w:line="360" w:lineRule="auto"/>
              <w:jc w:val="center"/>
              <w:rPr>
                <w:rFonts w:hint="eastAsia" w:ascii="楷体" w:hAnsi="楷体" w:eastAsia="楷体"/>
                <w:b/>
                <w:sz w:val="28"/>
                <w:szCs w:val="28"/>
              </w:rPr>
            </w:pPr>
            <w:r>
              <w:rPr>
                <w:rFonts w:hint="eastAsia" w:ascii="楷体" w:hAnsi="楷体" w:eastAsia="楷体"/>
                <w:b/>
                <w:sz w:val="28"/>
                <w:szCs w:val="28"/>
              </w:rPr>
              <w:t>名称</w:t>
            </w:r>
          </w:p>
        </w:tc>
        <w:tc>
          <w:tcPr>
            <w:tcW w:w="7048" w:type="dxa"/>
            <w:vAlign w:val="center"/>
          </w:tcPr>
          <w:p>
            <w:pPr>
              <w:snapToGrid w:val="0"/>
              <w:spacing w:line="380" w:lineRule="atLeast"/>
              <w:jc w:val="left"/>
              <w:rPr>
                <w:rFonts w:hint="eastAsia" w:ascii="楷体_GB2312" w:hAnsi="宋体" w:eastAsia="楷体_GB2312"/>
                <w:sz w:val="24"/>
              </w:rPr>
            </w:pPr>
            <w:r>
              <w:rPr>
                <w:rFonts w:hint="eastAsia" w:ascii="楷体" w:hAnsi="楷体" w:eastAsia="楷体"/>
                <w:sz w:val="28"/>
                <w:szCs w:val="28"/>
              </w:rPr>
              <w:t>中国石油天然气股份有限公司抚顺石化分公司洗涤剂化工厂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34" w:type="dxa"/>
            <w:gridSpan w:val="2"/>
            <w:vMerge w:val="continue"/>
            <w:vAlign w:val="center"/>
          </w:tcPr>
          <w:p>
            <w:pPr>
              <w:snapToGrid w:val="0"/>
              <w:spacing w:line="360" w:lineRule="auto"/>
              <w:jc w:val="center"/>
              <w:rPr>
                <w:rFonts w:hint="eastAsia" w:ascii="楷体" w:hAnsi="楷体" w:eastAsia="楷体"/>
                <w:b/>
                <w:sz w:val="28"/>
                <w:szCs w:val="28"/>
                <w:lang w:eastAsia="zh-CN"/>
              </w:rPr>
            </w:pPr>
          </w:p>
        </w:tc>
        <w:tc>
          <w:tcPr>
            <w:tcW w:w="1410" w:type="dxa"/>
            <w:vAlign w:val="center"/>
          </w:tcPr>
          <w:p>
            <w:pPr>
              <w:snapToGrid w:val="0"/>
              <w:spacing w:line="360" w:lineRule="auto"/>
              <w:jc w:val="center"/>
              <w:rPr>
                <w:rFonts w:hint="eastAsia" w:ascii="楷体" w:hAnsi="楷体" w:eastAsia="楷体"/>
                <w:b/>
                <w:sz w:val="28"/>
                <w:szCs w:val="28"/>
              </w:rPr>
            </w:pPr>
            <w:r>
              <w:rPr>
                <w:rFonts w:hint="eastAsia" w:ascii="楷体" w:hAnsi="楷体" w:eastAsia="楷体"/>
                <w:b/>
                <w:sz w:val="28"/>
                <w:szCs w:val="28"/>
                <w:lang w:eastAsia="zh-CN"/>
              </w:rPr>
              <w:t>地址</w:t>
            </w:r>
          </w:p>
        </w:tc>
        <w:tc>
          <w:tcPr>
            <w:tcW w:w="7048" w:type="dxa"/>
            <w:textDirection w:val="lrTb"/>
            <w:vAlign w:val="center"/>
          </w:tcPr>
          <w:p>
            <w:pPr>
              <w:snapToGrid w:val="0"/>
              <w:spacing w:line="360" w:lineRule="auto"/>
              <w:jc w:val="center"/>
              <w:rPr>
                <w:rFonts w:hint="eastAsia" w:ascii="楷体_GB2312" w:hAnsi="宋体" w:eastAsia="楷体_GB2312"/>
                <w:sz w:val="24"/>
              </w:rPr>
            </w:pPr>
            <w:r>
              <w:rPr>
                <w:rFonts w:hint="eastAsia" w:ascii="楷体" w:hAnsi="楷体" w:eastAsia="楷体"/>
                <w:sz w:val="28"/>
                <w:szCs w:val="28"/>
              </w:rPr>
              <w:t>辽宁省抚顺市望花区沈抚公路南线20号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3044" w:type="dxa"/>
            <w:gridSpan w:val="3"/>
            <w:vAlign w:val="center"/>
          </w:tcPr>
          <w:p>
            <w:pPr>
              <w:snapToGrid w:val="0"/>
              <w:spacing w:line="360" w:lineRule="auto"/>
              <w:jc w:val="center"/>
              <w:rPr>
                <w:rFonts w:hint="eastAsia" w:ascii="楷体" w:hAnsi="楷体" w:eastAsia="楷体"/>
                <w:b/>
                <w:sz w:val="28"/>
                <w:szCs w:val="28"/>
              </w:rPr>
            </w:pPr>
            <w:r>
              <w:rPr>
                <w:rFonts w:hint="eastAsia" w:ascii="楷体" w:hAnsi="楷体" w:eastAsia="楷体"/>
                <w:b/>
                <w:sz w:val="28"/>
                <w:szCs w:val="28"/>
              </w:rPr>
              <w:t>检查日期</w:t>
            </w:r>
          </w:p>
        </w:tc>
        <w:tc>
          <w:tcPr>
            <w:tcW w:w="7048" w:type="dxa"/>
            <w:textDirection w:val="lrTb"/>
            <w:vAlign w:val="center"/>
          </w:tcPr>
          <w:p>
            <w:pPr>
              <w:snapToGrid w:val="0"/>
              <w:spacing w:line="360" w:lineRule="auto"/>
              <w:ind w:firstLine="826" w:firstLineChars="295"/>
              <w:jc w:val="center"/>
              <w:rPr>
                <w:rFonts w:hint="eastAsia" w:ascii="楷体_GB2312" w:hAnsi="宋体" w:eastAsia="楷体_GB2312"/>
                <w:sz w:val="24"/>
              </w:rPr>
            </w:pPr>
            <w:r>
              <w:rPr>
                <w:rFonts w:hint="eastAsia" w:ascii="楷体" w:hAnsi="楷体" w:eastAsia="楷体"/>
                <w:sz w:val="28"/>
                <w:szCs w:val="28"/>
              </w:rPr>
              <w:t>2018年7月2-4日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3044" w:type="dxa"/>
            <w:gridSpan w:val="3"/>
            <w:vAlign w:val="center"/>
          </w:tcPr>
          <w:p>
            <w:pPr>
              <w:snapToGrid w:val="0"/>
              <w:spacing w:line="360" w:lineRule="auto"/>
              <w:jc w:val="center"/>
              <w:rPr>
                <w:rFonts w:hint="eastAsia" w:ascii="楷体" w:hAnsi="楷体" w:eastAsia="楷体"/>
                <w:b/>
                <w:sz w:val="28"/>
                <w:szCs w:val="28"/>
                <w:lang w:eastAsia="zh-CN"/>
              </w:rPr>
            </w:pPr>
            <w:r>
              <w:rPr>
                <w:rFonts w:hint="eastAsia" w:ascii="楷体" w:hAnsi="楷体" w:eastAsia="楷体"/>
                <w:b/>
                <w:sz w:val="28"/>
                <w:szCs w:val="28"/>
                <w:lang w:eastAsia="zh-CN"/>
              </w:rPr>
              <w:t>检查人员</w:t>
            </w:r>
          </w:p>
        </w:tc>
        <w:tc>
          <w:tcPr>
            <w:tcW w:w="7048" w:type="dxa"/>
            <w:textDirection w:val="lrTb"/>
            <w:vAlign w:val="center"/>
          </w:tcPr>
          <w:p>
            <w:pPr>
              <w:snapToGrid w:val="0"/>
              <w:spacing w:line="360" w:lineRule="auto"/>
              <w:jc w:val="center"/>
              <w:rPr>
                <w:rFonts w:hint="eastAsia" w:ascii="楷体_GB2312" w:hAnsi="宋体" w:eastAsia="楷体_GB2312"/>
                <w:sz w:val="24"/>
                <w:lang w:eastAsia="zh-CN"/>
              </w:rPr>
            </w:pPr>
            <w:r>
              <w:rPr>
                <w:rFonts w:hint="eastAsia" w:ascii="楷体" w:hAnsi="楷体" w:eastAsia="楷体"/>
                <w:sz w:val="28"/>
                <w:szCs w:val="28"/>
              </w:rPr>
              <w:t>段建民、黄爱群、李茜、张平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3044" w:type="dxa"/>
            <w:gridSpan w:val="3"/>
            <w:vAlign w:val="center"/>
          </w:tcPr>
          <w:p>
            <w:pPr>
              <w:snapToGrid w:val="0"/>
              <w:spacing w:line="360" w:lineRule="auto"/>
              <w:jc w:val="center"/>
              <w:rPr>
                <w:rFonts w:hint="eastAsia" w:ascii="楷体" w:hAnsi="楷体" w:eastAsia="楷体"/>
                <w:b/>
                <w:sz w:val="28"/>
                <w:szCs w:val="28"/>
                <w:lang w:eastAsia="zh-CN"/>
              </w:rPr>
            </w:pPr>
            <w:r>
              <w:rPr>
                <w:rFonts w:hint="eastAsia" w:ascii="楷体" w:hAnsi="楷体" w:eastAsia="楷体"/>
                <w:b/>
                <w:sz w:val="28"/>
                <w:szCs w:val="28"/>
                <w:lang w:eastAsia="zh-CN"/>
              </w:rPr>
              <w:t>监控化学品生产、经营及使用概况</w:t>
            </w:r>
          </w:p>
        </w:tc>
        <w:tc>
          <w:tcPr>
            <w:tcW w:w="7048" w:type="dxa"/>
            <w:vAlign w:val="center"/>
          </w:tcPr>
          <w:p>
            <w:pPr>
              <w:snapToGrid w:val="0"/>
              <w:spacing w:line="380" w:lineRule="atLeast"/>
              <w:rPr>
                <w:rFonts w:hint="eastAsia" w:ascii="楷体" w:hAnsi="楷体" w:eastAsia="楷体" w:cs="楷体"/>
                <w:b/>
                <w:sz w:val="28"/>
                <w:szCs w:val="28"/>
              </w:rPr>
            </w:pPr>
            <w:r>
              <w:rPr>
                <w:rFonts w:hint="eastAsia" w:ascii="楷体" w:hAnsi="楷体" w:eastAsia="楷体" w:cs="楷体"/>
                <w:sz w:val="28"/>
                <w:szCs w:val="28"/>
              </w:rPr>
              <w:t>该企业有2个生产车间，</w:t>
            </w:r>
            <w:r>
              <w:rPr>
                <w:rFonts w:hint="eastAsia" w:ascii="楷体" w:hAnsi="楷体" w:eastAsia="楷体" w:cs="楷体"/>
                <w:sz w:val="28"/>
                <w:szCs w:val="28"/>
                <w:lang w:eastAsia="zh-CN"/>
              </w:rPr>
              <w:t>生产</w:t>
            </w:r>
            <w:r>
              <w:rPr>
                <w:rFonts w:hint="eastAsia" w:ascii="楷体" w:hAnsi="楷体" w:eastAsia="楷体" w:cs="楷体"/>
                <w:sz w:val="28"/>
                <w:szCs w:val="28"/>
              </w:rPr>
              <w:t>烷基苯等</w:t>
            </w:r>
            <w:r>
              <w:rPr>
                <w:rFonts w:hint="eastAsia" w:ascii="楷体" w:hAnsi="楷体" w:eastAsia="楷体" w:cs="楷体"/>
                <w:sz w:val="28"/>
                <w:szCs w:val="28"/>
                <w:lang w:val="en-US" w:eastAsia="zh-CN"/>
              </w:rPr>
              <w:t>5</w:t>
            </w:r>
            <w:r>
              <w:rPr>
                <w:rFonts w:hint="eastAsia" w:ascii="楷体" w:hAnsi="楷体" w:eastAsia="楷体" w:cs="楷体"/>
                <w:sz w:val="28"/>
                <w:szCs w:val="28"/>
              </w:rPr>
              <w:t>种第四类监控化学品</w:t>
            </w:r>
            <w:r>
              <w:rPr>
                <w:rFonts w:hint="eastAsia" w:ascii="楷体" w:hAnsi="楷体" w:eastAsia="楷体" w:cs="楷体"/>
                <w:sz w:val="28"/>
                <w:szCs w:val="28"/>
                <w:lang w:eastAsia="zh-CN"/>
              </w:rPr>
              <w:t>，</w:t>
            </w:r>
            <w:r>
              <w:rPr>
                <w:rFonts w:hint="eastAsia" w:ascii="楷体" w:hAnsi="楷体" w:eastAsia="楷体" w:cs="楷体"/>
                <w:sz w:val="28"/>
                <w:szCs w:val="28"/>
              </w:rPr>
              <w:t>其中</w:t>
            </w:r>
            <w:r>
              <w:rPr>
                <w:rFonts w:hint="eastAsia" w:ascii="楷体" w:hAnsi="楷体" w:eastAsia="楷体" w:cs="楷体"/>
                <w:sz w:val="28"/>
                <w:szCs w:val="28"/>
                <w:lang w:val="en-US" w:eastAsia="zh-CN"/>
              </w:rPr>
              <w:t>1个产品为含磷硫氟的</w:t>
            </w:r>
            <w:r>
              <w:rPr>
                <w:rFonts w:hint="eastAsia" w:ascii="楷体" w:hAnsi="楷体" w:eastAsia="楷体" w:cs="楷体"/>
                <w:sz w:val="28"/>
                <w:szCs w:val="28"/>
              </w:rPr>
              <w:t>第四类监控化学品</w:t>
            </w:r>
            <w:r>
              <w:rPr>
                <w:rFonts w:hint="eastAsia" w:ascii="楷体" w:hAnsi="楷体" w:eastAsia="楷体" w:cs="楷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4" w:hRule="atLeast"/>
          <w:jc w:val="center"/>
        </w:trPr>
        <w:tc>
          <w:tcPr>
            <w:tcW w:w="584" w:type="dxa"/>
            <w:vMerge w:val="restart"/>
            <w:vAlign w:val="center"/>
          </w:tcPr>
          <w:p>
            <w:pPr>
              <w:snapToGrid w:val="0"/>
              <w:spacing w:line="360" w:lineRule="auto"/>
              <w:jc w:val="center"/>
              <w:rPr>
                <w:rFonts w:hint="eastAsia" w:ascii="楷体" w:hAnsi="楷体" w:eastAsia="楷体"/>
                <w:b/>
                <w:sz w:val="28"/>
                <w:szCs w:val="28"/>
                <w:lang w:eastAsia="zh-CN"/>
              </w:rPr>
            </w:pPr>
            <w:r>
              <w:rPr>
                <w:rFonts w:hint="eastAsia" w:ascii="楷体" w:hAnsi="楷体" w:eastAsia="楷体"/>
                <w:b/>
                <w:sz w:val="28"/>
                <w:szCs w:val="28"/>
                <w:lang w:eastAsia="zh-CN"/>
              </w:rPr>
              <w:t>存在问题</w:t>
            </w:r>
          </w:p>
        </w:tc>
        <w:tc>
          <w:tcPr>
            <w:tcW w:w="2460" w:type="dxa"/>
            <w:gridSpan w:val="2"/>
            <w:vAlign w:val="center"/>
          </w:tcPr>
          <w:p>
            <w:pPr>
              <w:snapToGrid w:val="0"/>
              <w:spacing w:line="360" w:lineRule="auto"/>
              <w:jc w:val="center"/>
              <w:rPr>
                <w:rFonts w:hint="eastAsia" w:ascii="楷体" w:hAnsi="楷体" w:eastAsia="楷体"/>
                <w:b/>
                <w:bCs w:val="0"/>
                <w:sz w:val="28"/>
                <w:szCs w:val="28"/>
                <w:lang w:eastAsia="zh-CN"/>
              </w:rPr>
            </w:pPr>
            <w:r>
              <w:rPr>
                <w:rFonts w:hint="eastAsia" w:ascii="楷体" w:hAnsi="楷体" w:eastAsia="楷体"/>
                <w:b/>
                <w:bCs w:val="0"/>
                <w:sz w:val="28"/>
                <w:szCs w:val="28"/>
              </w:rPr>
              <w:t>履约基础管理工作</w:t>
            </w:r>
            <w:r>
              <w:rPr>
                <w:rFonts w:hint="eastAsia" w:ascii="楷体" w:hAnsi="楷体" w:eastAsia="楷体"/>
                <w:b/>
                <w:bCs w:val="0"/>
                <w:sz w:val="28"/>
                <w:szCs w:val="28"/>
                <w:lang w:eastAsia="zh-CN"/>
              </w:rPr>
              <w:t>方面</w:t>
            </w:r>
          </w:p>
        </w:tc>
        <w:tc>
          <w:tcPr>
            <w:tcW w:w="7048" w:type="dxa"/>
            <w:vAlign w:val="center"/>
          </w:tcPr>
          <w:p>
            <w:pPr>
              <w:snapToGrid w:val="0"/>
              <w:spacing w:line="380" w:lineRule="atLeast"/>
              <w:rPr>
                <w:rFonts w:hint="eastAsia" w:ascii="楷体" w:hAnsi="楷体" w:eastAsia="楷体" w:cs="楷体"/>
                <w:b/>
                <w:sz w:val="28"/>
                <w:szCs w:val="28"/>
              </w:rPr>
            </w:pPr>
            <w:r>
              <w:rPr>
                <w:rFonts w:hint="eastAsia" w:ascii="楷体" w:hAnsi="楷体" w:eastAsia="楷体" w:cs="楷体"/>
                <w:sz w:val="28"/>
                <w:szCs w:val="28"/>
              </w:rPr>
              <w:t>201</w:t>
            </w:r>
            <w:r>
              <w:rPr>
                <w:rFonts w:hint="eastAsia" w:ascii="楷体" w:hAnsi="楷体" w:eastAsia="楷体" w:cs="楷体"/>
                <w:sz w:val="28"/>
                <w:szCs w:val="28"/>
                <w:lang w:val="en-US" w:eastAsia="zh-CN"/>
              </w:rPr>
              <w:t>7</w:t>
            </w:r>
            <w:r>
              <w:rPr>
                <w:rFonts w:hint="eastAsia" w:ascii="楷体" w:hAnsi="楷体" w:eastAsia="楷体" w:cs="楷体"/>
                <w:sz w:val="28"/>
                <w:szCs w:val="28"/>
              </w:rPr>
              <w:t>年过去活动年度宣布中，</w:t>
            </w:r>
            <w:r>
              <w:rPr>
                <w:rFonts w:hint="eastAsia" w:ascii="楷体" w:hAnsi="楷体" w:eastAsia="楷体" w:cs="楷体"/>
                <w:sz w:val="28"/>
                <w:szCs w:val="28"/>
                <w:lang w:eastAsia="zh-CN"/>
              </w:rPr>
              <w:t>企业未宣布第四类监控化学品。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jc w:val="center"/>
        </w:trPr>
        <w:tc>
          <w:tcPr>
            <w:tcW w:w="584" w:type="dxa"/>
            <w:vMerge w:val="continue"/>
            <w:vAlign w:val="center"/>
          </w:tcPr>
          <w:p>
            <w:pPr>
              <w:snapToGrid w:val="0"/>
              <w:spacing w:line="360" w:lineRule="auto"/>
              <w:ind w:firstLine="829" w:firstLineChars="295"/>
              <w:jc w:val="center"/>
              <w:rPr>
                <w:rFonts w:hint="eastAsia" w:ascii="楷体" w:hAnsi="楷体" w:eastAsia="楷体"/>
                <w:b/>
                <w:sz w:val="28"/>
                <w:szCs w:val="28"/>
              </w:rPr>
            </w:pPr>
          </w:p>
        </w:tc>
        <w:tc>
          <w:tcPr>
            <w:tcW w:w="2460" w:type="dxa"/>
            <w:gridSpan w:val="2"/>
            <w:vAlign w:val="center"/>
          </w:tcPr>
          <w:p>
            <w:pPr>
              <w:snapToGrid w:val="0"/>
              <w:spacing w:line="360" w:lineRule="auto"/>
              <w:jc w:val="center"/>
              <w:rPr>
                <w:rFonts w:hint="eastAsia" w:ascii="楷体" w:hAnsi="楷体" w:eastAsia="楷体"/>
                <w:b/>
                <w:bCs w:val="0"/>
                <w:sz w:val="28"/>
                <w:szCs w:val="28"/>
              </w:rPr>
            </w:pPr>
            <w:r>
              <w:rPr>
                <w:rFonts w:hint="eastAsia" w:ascii="楷体" w:hAnsi="楷体" w:eastAsia="楷体"/>
                <w:b/>
                <w:bCs w:val="0"/>
                <w:sz w:val="28"/>
                <w:szCs w:val="28"/>
              </w:rPr>
              <w:t>核查资料准备工作</w:t>
            </w:r>
            <w:r>
              <w:rPr>
                <w:rFonts w:hint="eastAsia" w:ascii="楷体" w:hAnsi="楷体" w:eastAsia="楷体"/>
                <w:b/>
                <w:bCs w:val="0"/>
                <w:sz w:val="28"/>
                <w:szCs w:val="28"/>
                <w:lang w:eastAsia="zh-CN"/>
              </w:rPr>
              <w:t>方面</w:t>
            </w:r>
          </w:p>
        </w:tc>
        <w:tc>
          <w:tcPr>
            <w:tcW w:w="7048" w:type="dxa"/>
            <w:vAlign w:val="center"/>
          </w:tcPr>
          <w:p>
            <w:pPr>
              <w:snapToGrid w:val="0"/>
              <w:spacing w:line="380" w:lineRule="atLeast"/>
              <w:rPr>
                <w:rFonts w:hint="eastAsia" w:ascii="楷体" w:hAnsi="楷体" w:eastAsia="楷体" w:cs="楷体"/>
                <w:b/>
                <w:sz w:val="28"/>
                <w:szCs w:val="28"/>
              </w:rPr>
            </w:pPr>
            <w:r>
              <w:rPr>
                <w:rFonts w:hint="eastAsia" w:ascii="楷体" w:hAnsi="楷体" w:eastAsia="楷体" w:cs="楷体"/>
                <w:sz w:val="28"/>
                <w:szCs w:val="28"/>
              </w:rPr>
              <w:t>资料比较齐全，但未经整理，比较分散，建议对资料进一步整理和规范。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584" w:type="dxa"/>
            <w:vMerge w:val="continue"/>
            <w:vAlign w:val="center"/>
          </w:tcPr>
          <w:p>
            <w:pPr>
              <w:snapToGrid w:val="0"/>
              <w:spacing w:line="360" w:lineRule="auto"/>
              <w:ind w:firstLine="829" w:firstLineChars="295"/>
              <w:jc w:val="center"/>
            </w:pPr>
          </w:p>
        </w:tc>
        <w:tc>
          <w:tcPr>
            <w:tcW w:w="2460" w:type="dxa"/>
            <w:gridSpan w:val="2"/>
            <w:vAlign w:val="center"/>
          </w:tcPr>
          <w:p>
            <w:pPr>
              <w:snapToGrid w:val="0"/>
              <w:spacing w:line="360" w:lineRule="auto"/>
              <w:jc w:val="center"/>
              <w:rPr>
                <w:b/>
                <w:bCs w:val="0"/>
              </w:rPr>
            </w:pPr>
            <w:r>
              <w:rPr>
                <w:rFonts w:hint="eastAsia" w:ascii="楷体" w:hAnsi="楷体" w:eastAsia="楷体"/>
                <w:b/>
                <w:bCs w:val="0"/>
                <w:sz w:val="28"/>
                <w:szCs w:val="28"/>
              </w:rPr>
              <w:t>贯彻《条例》情况</w:t>
            </w:r>
            <w:r>
              <w:rPr>
                <w:rFonts w:hint="eastAsia" w:ascii="楷体" w:hAnsi="楷体" w:eastAsia="楷体"/>
                <w:b/>
                <w:bCs w:val="0"/>
                <w:sz w:val="28"/>
                <w:szCs w:val="28"/>
                <w:lang w:eastAsia="zh-CN"/>
              </w:rPr>
              <w:t>方面</w:t>
            </w:r>
          </w:p>
        </w:tc>
        <w:tc>
          <w:tcPr>
            <w:tcW w:w="7048" w:type="dxa"/>
            <w:vAlign w:val="center"/>
          </w:tcPr>
          <w:p>
            <w:pPr>
              <w:snapToGrid w:val="0"/>
              <w:spacing w:line="380" w:lineRule="atLeast"/>
              <w:rPr>
                <w:rFonts w:hint="eastAsia" w:ascii="楷体" w:hAnsi="楷体" w:eastAsia="楷体" w:cs="楷体"/>
                <w:b/>
                <w:sz w:val="28"/>
                <w:szCs w:val="28"/>
              </w:rPr>
            </w:pPr>
            <w:r>
              <w:rPr>
                <w:rFonts w:hint="eastAsia" w:ascii="楷体" w:hAnsi="楷体" w:eastAsia="楷体" w:cs="楷体"/>
                <w:sz w:val="28"/>
                <w:szCs w:val="28"/>
              </w:rPr>
              <w:t>该企业</w:t>
            </w:r>
            <w:r>
              <w:rPr>
                <w:rFonts w:hint="eastAsia" w:ascii="楷体" w:hAnsi="楷体" w:eastAsia="楷体" w:cs="楷体"/>
                <w:sz w:val="28"/>
                <w:szCs w:val="28"/>
                <w:lang w:eastAsia="zh-CN"/>
              </w:rPr>
              <w:t>尚</w:t>
            </w:r>
            <w:r>
              <w:rPr>
                <w:rFonts w:hint="eastAsia" w:ascii="楷体" w:hAnsi="楷体" w:eastAsia="楷体" w:cs="楷体"/>
                <w:sz w:val="28"/>
                <w:szCs w:val="28"/>
              </w:rPr>
              <w:t>未办理含磷硫氟第四类监控化学品生产特别许可证</w:t>
            </w:r>
            <w:r>
              <w:rPr>
                <w:rFonts w:hint="eastAsia" w:ascii="楷体" w:hAnsi="楷体" w:eastAsia="楷体" w:cs="楷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4" w:hRule="atLeast"/>
          <w:jc w:val="center"/>
        </w:trPr>
        <w:tc>
          <w:tcPr>
            <w:tcW w:w="3044" w:type="dxa"/>
            <w:gridSpan w:val="3"/>
            <w:vAlign w:val="center"/>
          </w:tcPr>
          <w:p>
            <w:pPr>
              <w:snapToGrid w:val="0"/>
              <w:spacing w:line="360" w:lineRule="auto"/>
              <w:jc w:val="center"/>
              <w:rPr>
                <w:rFonts w:hint="eastAsia" w:ascii="楷体" w:hAnsi="楷体" w:eastAsia="楷体"/>
                <w:b/>
                <w:sz w:val="28"/>
                <w:szCs w:val="28"/>
              </w:rPr>
            </w:pPr>
            <w:r>
              <w:rPr>
                <w:rFonts w:hint="eastAsia" w:ascii="楷体" w:hAnsi="楷体" w:eastAsia="楷体"/>
                <w:b/>
                <w:sz w:val="28"/>
                <w:szCs w:val="28"/>
              </w:rPr>
              <w:t>整改意见</w:t>
            </w:r>
          </w:p>
        </w:tc>
        <w:tc>
          <w:tcPr>
            <w:tcW w:w="7048" w:type="dxa"/>
            <w:vAlign w:val="center"/>
          </w:tcPr>
          <w:p>
            <w:pPr>
              <w:numPr>
                <w:numId w:val="0"/>
              </w:numPr>
              <w:snapToGrid w:val="0"/>
              <w:spacing w:line="380" w:lineRule="atLeast"/>
              <w:ind w:leftChars="0"/>
              <w:rPr>
                <w:rFonts w:hint="eastAsia" w:ascii="楷体" w:hAnsi="楷体" w:eastAsia="楷体" w:cs="楷体"/>
                <w:sz w:val="28"/>
                <w:szCs w:val="28"/>
              </w:rPr>
            </w:pPr>
            <w:r>
              <w:rPr>
                <w:rFonts w:hint="eastAsia" w:ascii="楷体" w:hAnsi="楷体" w:eastAsia="楷体" w:cs="楷体"/>
                <w:sz w:val="28"/>
                <w:szCs w:val="28"/>
                <w:lang w:val="en-US" w:eastAsia="zh-CN"/>
              </w:rPr>
              <w:t>1、</w:t>
            </w:r>
            <w:r>
              <w:rPr>
                <w:rFonts w:hint="eastAsia" w:ascii="楷体" w:hAnsi="楷体" w:eastAsia="楷体" w:cs="楷体"/>
                <w:sz w:val="28"/>
                <w:szCs w:val="28"/>
              </w:rPr>
              <w:t>完善视察前情况介绍。</w:t>
            </w:r>
          </w:p>
          <w:p>
            <w:pPr>
              <w:numPr>
                <w:numId w:val="0"/>
              </w:numPr>
              <w:snapToGrid w:val="0"/>
              <w:spacing w:line="380" w:lineRule="atLeast"/>
              <w:ind w:leftChars="0"/>
              <w:rPr>
                <w:rFonts w:hint="eastAsia" w:ascii="楷体" w:hAnsi="楷体" w:eastAsia="楷体" w:cs="楷体"/>
                <w:sz w:val="28"/>
                <w:szCs w:val="28"/>
              </w:rPr>
            </w:pPr>
            <w:r>
              <w:rPr>
                <w:rFonts w:hint="eastAsia" w:ascii="楷体" w:hAnsi="楷体" w:eastAsia="楷体" w:cs="楷体"/>
                <w:sz w:val="28"/>
                <w:szCs w:val="28"/>
                <w:lang w:val="en-US" w:eastAsia="zh-CN"/>
              </w:rPr>
              <w:t>2、</w:t>
            </w:r>
            <w:bookmarkStart w:id="0" w:name="_GoBack"/>
            <w:bookmarkEnd w:id="0"/>
            <w:r>
              <w:rPr>
                <w:rFonts w:hint="eastAsia" w:ascii="楷体" w:hAnsi="楷体" w:eastAsia="楷体" w:cs="楷体"/>
                <w:sz w:val="28"/>
                <w:szCs w:val="28"/>
              </w:rPr>
              <w:t>补办含磷硫氟第四类监控化学品烷基苯磺酸生产设施建设批复及生产特别许可证申报手续。</w:t>
            </w:r>
          </w:p>
          <w:p>
            <w:pPr>
              <w:numPr>
                <w:numId w:val="0"/>
              </w:numPr>
              <w:snapToGrid w:val="0"/>
              <w:spacing w:line="380" w:lineRule="atLeast"/>
              <w:ind w:leftChars="0"/>
              <w:rPr>
                <w:rFonts w:hint="eastAsia" w:ascii="楷体" w:hAnsi="楷体" w:eastAsia="楷体" w:cs="楷体"/>
                <w:b/>
                <w:sz w:val="28"/>
                <w:szCs w:val="28"/>
              </w:rPr>
            </w:pPr>
            <w:r>
              <w:rPr>
                <w:rFonts w:hint="eastAsia" w:ascii="楷体" w:hAnsi="楷体" w:eastAsia="楷体" w:cs="楷体"/>
                <w:sz w:val="28"/>
                <w:szCs w:val="28"/>
                <w:lang w:val="en-US" w:eastAsia="zh-CN"/>
              </w:rPr>
              <w:t>3、</w:t>
            </w:r>
            <w:r>
              <w:rPr>
                <w:rFonts w:hint="eastAsia" w:ascii="楷体" w:hAnsi="楷体" w:eastAsia="楷体" w:cs="楷体"/>
                <w:sz w:val="28"/>
                <w:szCs w:val="28"/>
              </w:rPr>
              <w:t>补充上述化学品的2017年过去活动年度宣布。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3044" w:type="dxa"/>
            <w:gridSpan w:val="3"/>
            <w:vAlign w:val="center"/>
          </w:tcPr>
          <w:p>
            <w:pPr>
              <w:snapToGrid w:val="0"/>
              <w:spacing w:line="360" w:lineRule="auto"/>
              <w:jc w:val="center"/>
              <w:rPr>
                <w:rFonts w:hint="eastAsia" w:ascii="楷体" w:hAnsi="楷体" w:eastAsia="楷体"/>
                <w:b/>
                <w:sz w:val="28"/>
                <w:szCs w:val="28"/>
                <w:lang w:eastAsia="zh-CN"/>
              </w:rPr>
            </w:pPr>
            <w:r>
              <w:rPr>
                <w:rFonts w:hint="eastAsia" w:ascii="楷体" w:hAnsi="楷体" w:eastAsia="楷体"/>
                <w:b/>
                <w:sz w:val="28"/>
                <w:szCs w:val="28"/>
                <w:lang w:eastAsia="zh-CN"/>
              </w:rPr>
              <w:t>整改时限</w:t>
            </w:r>
          </w:p>
        </w:tc>
        <w:tc>
          <w:tcPr>
            <w:tcW w:w="7048" w:type="dxa"/>
            <w:vAlign w:val="center"/>
          </w:tcPr>
          <w:p>
            <w:pPr>
              <w:snapToGrid w:val="0"/>
              <w:spacing w:line="380" w:lineRule="atLeast"/>
              <w:rPr>
                <w:rFonts w:hint="eastAsia" w:ascii="楷体" w:hAnsi="楷体" w:eastAsia="楷体" w:cs="楷体"/>
                <w:b/>
                <w:sz w:val="28"/>
                <w:szCs w:val="28"/>
              </w:rPr>
            </w:pPr>
            <w:r>
              <w:rPr>
                <w:rFonts w:hint="eastAsia" w:ascii="楷体" w:hAnsi="楷体" w:eastAsia="楷体" w:cs="楷体"/>
                <w:sz w:val="28"/>
                <w:szCs w:val="28"/>
              </w:rPr>
              <w:t>3个月</w:t>
            </w:r>
          </w:p>
        </w:tc>
      </w:tr>
    </w:tbl>
    <w:p>
      <w:pPr>
        <w:numPr>
          <w:numId w:val="0"/>
        </w:numPr>
        <w:ind w:firstLine="640" w:firstLineChars="200"/>
        <w:rPr>
          <w:rFonts w:hint="eastAsia" w:ascii="仿宋_GB2312" w:hAnsi="宋体" w:eastAsia="仿宋_GB2312" w:cs="仿宋_GB2312"/>
          <w:i w:val="0"/>
          <w:color w:val="000000"/>
          <w:kern w:val="0"/>
          <w:sz w:val="32"/>
          <w:szCs w:val="32"/>
          <w:u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3F02235"/>
    <w:rsid w:val="05C00E68"/>
    <w:rsid w:val="072B1641"/>
    <w:rsid w:val="087D5262"/>
    <w:rsid w:val="09562055"/>
    <w:rsid w:val="0BE95E9A"/>
    <w:rsid w:val="14492156"/>
    <w:rsid w:val="154D2675"/>
    <w:rsid w:val="21BA17C6"/>
    <w:rsid w:val="3BA06262"/>
    <w:rsid w:val="43B613CD"/>
    <w:rsid w:val="43FE4267"/>
    <w:rsid w:val="49A262DD"/>
    <w:rsid w:val="50E919B5"/>
    <w:rsid w:val="56D44381"/>
    <w:rsid w:val="722D2A5F"/>
    <w:rsid w:val="732E1935"/>
    <w:rsid w:val="74205EF7"/>
    <w:rsid w:val="78952465"/>
    <w:rsid w:val="7970564B"/>
    <w:rsid w:val="7E6D0C7B"/>
    <w:rsid w:val="7E6E7D82"/>
    <w:rsid w:val="7F13140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Style w:val="3"/>
      <w:tblLayout w:type="fixed"/>
      <w:tblCellMar>
        <w:top w:w="0" w:type="dxa"/>
        <w:left w:w="108" w:type="dxa"/>
        <w:bottom w:w="0" w:type="dxa"/>
        <w:right w:w="108" w:type="dxa"/>
      </w:tblCellMar>
    </w:tblPr>
    <w:tcPr>
      <w:textDirection w:val="lrTb"/>
    </w:tcPr>
  </w:style>
  <w:style w:type="table" w:styleId="4">
    <w:name w:val="Table Grid"/>
    <w:basedOn w:val="3"/>
    <w:qFormat/>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zhaoyinong</cp:lastModifiedBy>
  <cp:lastPrinted>2018-09-11T06:38:02Z</cp:lastPrinted>
  <dcterms:modified xsi:type="dcterms:W3CDTF">2018-09-11T08:40:06Z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