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line="240" w:lineRule="auto"/>
        <w:ind w:left="1106" w:right="924"/>
        <w:rPr>
          <w:color w:val="000000"/>
          <w:sz w:val="43"/>
          <w:szCs w:val="43"/>
          <w:shd w:val="clear" w:color="auto" w:fill="FFFFFF"/>
          <w:lang w:val="zh-CN"/>
        </w:rPr>
      </w:pPr>
      <w:r>
        <w:rPr>
          <w:rFonts w:hint="eastAsia"/>
          <w:color w:val="000000"/>
          <w:sz w:val="43"/>
          <w:szCs w:val="43"/>
          <w:shd w:val="clear" w:color="auto" w:fill="FFFFFF"/>
          <w:lang w:val="zh-CN"/>
        </w:rPr>
        <w:t>“</w:t>
      </w:r>
      <w:r>
        <w:rPr>
          <w:color w:val="000000"/>
          <w:sz w:val="43"/>
          <w:szCs w:val="43"/>
          <w:shd w:val="clear" w:color="auto" w:fill="FFFFFF"/>
          <w:lang w:val="zh-CN"/>
        </w:rPr>
        <w:t>双随机一公开</w:t>
      </w:r>
      <w:r>
        <w:rPr>
          <w:rFonts w:hint="eastAsia"/>
          <w:color w:val="000000"/>
          <w:sz w:val="43"/>
          <w:szCs w:val="43"/>
          <w:shd w:val="clear" w:color="auto" w:fill="FFFFFF"/>
          <w:lang w:val="zh-CN"/>
        </w:rPr>
        <w:t>”</w:t>
      </w:r>
      <w:r>
        <w:rPr>
          <w:color w:val="000000"/>
          <w:sz w:val="43"/>
          <w:szCs w:val="43"/>
          <w:shd w:val="clear" w:color="auto" w:fill="FFFFFF"/>
          <w:lang w:val="zh-CN"/>
        </w:rPr>
        <w:t>抽查情况确认单</w:t>
      </w:r>
    </w:p>
    <w:p>
      <w:pPr>
        <w:pStyle w:val="8"/>
        <w:shd w:val="clear" w:color="auto" w:fill="FFFFFF"/>
        <w:spacing w:line="240" w:lineRule="auto"/>
        <w:ind w:left="1106" w:right="106" w:rightChars="0"/>
        <w:rPr>
          <w:rFonts w:hint="eastAsia" w:eastAsiaTheme="minorEastAsia"/>
          <w:sz w:val="21"/>
          <w:szCs w:val="21"/>
          <w:lang w:val="en-US" w:eastAsia="zh-CN"/>
        </w:rPr>
      </w:pPr>
      <w:r>
        <w:rPr>
          <w:rFonts w:hint="eastAsia"/>
          <w:color w:val="000000"/>
          <w:sz w:val="21"/>
          <w:szCs w:val="21"/>
          <w:shd w:val="clear" w:color="auto" w:fill="FFFFFF"/>
          <w:lang w:val="zh-CN"/>
        </w:rPr>
        <w:t xml:space="preserve">                                                     编号：</w:t>
      </w:r>
      <w:r>
        <w:rPr>
          <w:rFonts w:hint="eastAsia"/>
          <w:color w:val="000000"/>
          <w:sz w:val="21"/>
          <w:szCs w:val="21"/>
          <w:shd w:val="clear" w:color="auto" w:fill="FFFFFF"/>
          <w:lang w:val="en-US" w:eastAsia="zh-CN"/>
        </w:rPr>
        <w:t>2019-10</w:t>
      </w:r>
    </w:p>
    <w:tbl>
      <w:tblPr>
        <w:tblStyle w:val="5"/>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69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9" w:hRule="exact"/>
        </w:trPr>
        <w:tc>
          <w:tcPr>
            <w:tcW w:w="714" w:type="dxa"/>
            <w:vMerge w:val="restart"/>
            <w:vAlign w:val="center"/>
          </w:tcPr>
          <w:p>
            <w:pPr>
              <w:pStyle w:val="8"/>
              <w:spacing w:line="240" w:lineRule="auto"/>
              <w:ind w:right="2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被抽查单位</w:t>
            </w:r>
          </w:p>
        </w:tc>
        <w:tc>
          <w:tcPr>
            <w:tcW w:w="691" w:type="dxa"/>
            <w:vAlign w:val="center"/>
          </w:tcPr>
          <w:p>
            <w:pPr>
              <w:pStyle w:val="8"/>
              <w:spacing w:line="240" w:lineRule="auto"/>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名称</w:t>
            </w:r>
          </w:p>
        </w:tc>
        <w:tc>
          <w:tcPr>
            <w:tcW w:w="7035" w:type="dxa"/>
            <w:vAlign w:val="bottom"/>
          </w:tcPr>
          <w:p>
            <w:pPr>
              <w:pStyle w:val="8"/>
              <w:spacing w:line="240" w:lineRule="auto"/>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湖北丽康源纺织材料有限公司（2019年5月由原荆门市熊兴化工有限公司更为现名）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5" w:hRule="exact"/>
        </w:trPr>
        <w:tc>
          <w:tcPr>
            <w:tcW w:w="714" w:type="dxa"/>
            <w:vMerge w:val="continue"/>
            <w:vAlign w:val="center"/>
          </w:tcPr>
          <w:p>
            <w:pPr>
              <w:pStyle w:val="8"/>
              <w:spacing w:line="240" w:lineRule="auto"/>
              <w:ind w:right="28"/>
              <w:jc w:val="center"/>
              <w:rPr>
                <w:rFonts w:ascii="FangSong_GB2312" w:hAnsi="FangSong_GB2312" w:eastAsia="FangSong_GB2312" w:cs="FangSong_GB2312"/>
                <w:color w:val="000000"/>
                <w:shd w:val="clear" w:color="auto" w:fill="FFFFFF"/>
                <w:lang w:val="zh-CN"/>
              </w:rPr>
            </w:pPr>
          </w:p>
        </w:tc>
        <w:tc>
          <w:tcPr>
            <w:tcW w:w="691" w:type="dxa"/>
            <w:vAlign w:val="center"/>
          </w:tcPr>
          <w:p>
            <w:pPr>
              <w:pStyle w:val="8"/>
              <w:spacing w:line="240" w:lineRule="auto"/>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地址</w:t>
            </w:r>
          </w:p>
        </w:tc>
        <w:tc>
          <w:tcPr>
            <w:tcW w:w="7035" w:type="dxa"/>
            <w:vAlign w:val="bottom"/>
          </w:tcPr>
          <w:p>
            <w:pPr>
              <w:pStyle w:val="8"/>
              <w:spacing w:line="240" w:lineRule="auto"/>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湖北省荆门市沙洋县经济开发区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exact"/>
        </w:trPr>
        <w:tc>
          <w:tcPr>
            <w:tcW w:w="1405" w:type="dxa"/>
            <w:gridSpan w:val="2"/>
            <w:vAlign w:val="center"/>
          </w:tcPr>
          <w:p>
            <w:pPr>
              <w:pStyle w:val="8"/>
              <w:spacing w:line="240" w:lineRule="auto"/>
              <w:ind w:right="3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检查时间和地点</w:t>
            </w:r>
          </w:p>
        </w:tc>
        <w:tc>
          <w:tcPr>
            <w:tcW w:w="7035" w:type="dxa"/>
            <w:vAlign w:val="center"/>
          </w:tcPr>
          <w:p>
            <w:pPr>
              <w:pStyle w:val="8"/>
              <w:spacing w:line="240" w:lineRule="auto"/>
              <w:ind w:right="38"/>
              <w:rPr>
                <w:rFonts w:ascii="FangSong_GB2312" w:hAnsi="FangSong_GB2312" w:eastAsia="FangSong_GB2312" w:cs="FangSong_GB2312"/>
                <w:color w:val="000000"/>
                <w:shd w:val="clear" w:color="auto" w:fill="FFFFFF"/>
                <w:lang w:val="zh-CN"/>
              </w:rPr>
            </w:pPr>
            <w:r>
              <w:rPr>
                <w:rFonts w:ascii="FangSong_GB2312" w:hAnsi="FangSong_GB2312" w:eastAsia="FangSong_GB2312" w:cs="FangSong_GB2312"/>
                <w:color w:val="000000"/>
                <w:shd w:val="clear" w:color="auto" w:fill="FFFFFF"/>
                <w:lang w:val="zh-CN"/>
              </w:rPr>
              <w:t>2019年12月1</w:t>
            </w:r>
            <w:r>
              <w:rPr>
                <w:rFonts w:hint="eastAsia" w:ascii="FangSong_GB2312" w:hAnsi="FangSong_GB2312" w:eastAsia="FangSong_GB2312" w:cs="FangSong_GB2312"/>
                <w:color w:val="000000"/>
                <w:shd w:val="clear" w:color="auto" w:fill="FFFFFF"/>
                <w:lang w:val="zh-CN"/>
              </w:rPr>
              <w:t>2</w:t>
            </w:r>
            <w:r>
              <w:rPr>
                <w:rFonts w:ascii="FangSong_GB2312" w:hAnsi="FangSong_GB2312" w:eastAsia="FangSong_GB2312" w:cs="FangSong_GB2312"/>
                <w:color w:val="000000"/>
                <w:shd w:val="clear" w:color="auto" w:fill="FFFFFF"/>
                <w:lang w:val="zh-CN"/>
              </w:rPr>
              <w:t>日</w:t>
            </w:r>
            <w:r>
              <w:rPr>
                <w:rFonts w:hint="eastAsia" w:ascii="FangSong_GB2312" w:hAnsi="FangSong_GB2312" w:eastAsia="FangSong_GB2312" w:cs="FangSong_GB2312"/>
                <w:color w:val="000000"/>
                <w:shd w:val="clear" w:color="auto" w:fill="FFFFFF"/>
                <w:lang w:val="zh-CN"/>
              </w:rPr>
              <w:t>，湖北丽康源纺织材料有限公司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exact"/>
        </w:trPr>
        <w:tc>
          <w:tcPr>
            <w:tcW w:w="1405" w:type="dxa"/>
            <w:gridSpan w:val="2"/>
            <w:vAlign w:val="center"/>
          </w:tcPr>
          <w:p>
            <w:pPr>
              <w:pStyle w:val="8"/>
              <w:spacing w:line="240" w:lineRule="auto"/>
              <w:ind w:right="3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检查人员</w:t>
            </w:r>
          </w:p>
        </w:tc>
        <w:tc>
          <w:tcPr>
            <w:tcW w:w="7035" w:type="dxa"/>
            <w:vAlign w:val="center"/>
          </w:tcPr>
          <w:p>
            <w:pPr>
              <w:pStyle w:val="8"/>
              <w:spacing w:line="240" w:lineRule="auto"/>
              <w:ind w:right="38"/>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朱清，朱鹏程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8" w:hRule="exact"/>
        </w:trPr>
        <w:tc>
          <w:tcPr>
            <w:tcW w:w="1405" w:type="dxa"/>
            <w:gridSpan w:val="2"/>
            <w:vAlign w:val="center"/>
          </w:tcPr>
          <w:p>
            <w:pPr>
              <w:pStyle w:val="8"/>
              <w:spacing w:line="240" w:lineRule="auto"/>
              <w:ind w:right="3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检查事项、</w:t>
            </w:r>
          </w:p>
          <w:p>
            <w:pPr>
              <w:pStyle w:val="8"/>
              <w:spacing w:line="240" w:lineRule="auto"/>
              <w:ind w:right="38"/>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内容和方式</w:t>
            </w:r>
          </w:p>
        </w:tc>
        <w:tc>
          <w:tcPr>
            <w:tcW w:w="7035" w:type="dxa"/>
            <w:vAlign w:val="center"/>
          </w:tcPr>
          <w:p>
            <w:pPr>
              <w:pStyle w:val="8"/>
              <w:spacing w:line="240" w:lineRule="auto"/>
              <w:ind w:right="38"/>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检查事项：监控化学品“双随机、一公开”检查</w:t>
            </w:r>
          </w:p>
          <w:p>
            <w:pPr>
              <w:pStyle w:val="8"/>
              <w:spacing w:line="240" w:lineRule="auto"/>
              <w:ind w:right="38"/>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检查内容：履约基础管理工作，核查资料准备工作，贯彻《条例》《细则》情况</w:t>
            </w:r>
          </w:p>
          <w:p>
            <w:pPr>
              <w:pStyle w:val="8"/>
              <w:spacing w:line="240" w:lineRule="auto"/>
              <w:ind w:right="38"/>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检查方式：查看生产现场，检查文件材料，核对生产记录，询问企业人员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2" w:hRule="exact"/>
        </w:trPr>
        <w:tc>
          <w:tcPr>
            <w:tcW w:w="1405" w:type="dxa"/>
            <w:gridSpan w:val="2"/>
            <w:vAlign w:val="center"/>
          </w:tcPr>
          <w:p>
            <w:pPr>
              <w:pStyle w:val="8"/>
              <w:spacing w:line="240" w:lineRule="auto"/>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检查情况和存在问题</w:t>
            </w:r>
          </w:p>
        </w:tc>
        <w:tc>
          <w:tcPr>
            <w:tcW w:w="7035" w:type="dxa"/>
            <w:vAlign w:val="center"/>
          </w:tcPr>
          <w:p>
            <w:pPr>
              <w:pStyle w:val="8"/>
              <w:spacing w:line="240" w:lineRule="auto"/>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检查情况：听取企业视察前情况介绍，查看第四类监控化学品生产车间，原料和产品储存仓库，分析化验室，三废处理，配电室、锅炉房等配套设施。</w:t>
            </w:r>
          </w:p>
          <w:p>
            <w:pPr>
              <w:pStyle w:val="8"/>
              <w:spacing w:after="0" w:line="240" w:lineRule="auto"/>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存在问题：</w:t>
            </w:r>
          </w:p>
          <w:p>
            <w:pPr>
              <w:pStyle w:val="8"/>
              <w:spacing w:after="0" w:line="240" w:lineRule="auto"/>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视察前情况介绍不完整。2018年全国监控化学品年度统计报表中第四类监控化学品部分信息不完整，车间名称有误。</w:t>
            </w:r>
            <w:r>
              <w:rPr>
                <w:rFonts w:ascii="FangSong_GB2312" w:hAnsi="FangSong_GB2312" w:eastAsia="FangSong_GB2312" w:cs="FangSong_GB2312"/>
                <w:color w:val="000000"/>
                <w:shd w:val="clear" w:color="auto" w:fill="FFFFFF"/>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exact"/>
        </w:trPr>
        <w:tc>
          <w:tcPr>
            <w:tcW w:w="1405" w:type="dxa"/>
            <w:gridSpan w:val="2"/>
            <w:vAlign w:val="center"/>
          </w:tcPr>
          <w:p>
            <w:pPr>
              <w:pStyle w:val="8"/>
              <w:spacing w:line="240" w:lineRule="auto"/>
              <w:ind w:left="33"/>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整改意见</w:t>
            </w:r>
          </w:p>
        </w:tc>
        <w:tc>
          <w:tcPr>
            <w:tcW w:w="7035"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after="100" w:line="240" w:lineRule="auto"/>
              <w:ind w:left="34"/>
              <w:textAlignment w:val="auto"/>
              <w:outlineLvl w:val="9"/>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完善视察前情况介绍；</w:t>
            </w:r>
          </w:p>
          <w:p>
            <w:pPr>
              <w:pStyle w:val="8"/>
              <w:keepNext w:val="0"/>
              <w:keepLines w:val="0"/>
              <w:pageBreakBefore w:val="0"/>
              <w:widowControl w:val="0"/>
              <w:kinsoku/>
              <w:wordWrap/>
              <w:overflowPunct/>
              <w:topLinePunct w:val="0"/>
              <w:autoSpaceDE w:val="0"/>
              <w:autoSpaceDN w:val="0"/>
              <w:bidi w:val="0"/>
              <w:adjustRightInd w:val="0"/>
              <w:snapToGrid/>
              <w:spacing w:after="100" w:line="240" w:lineRule="auto"/>
              <w:ind w:left="34"/>
              <w:textAlignment w:val="auto"/>
              <w:outlineLvl w:val="9"/>
              <w:rPr>
                <w:rFonts w:ascii="FangSong_GB2312" w:hAnsi="FangSong_GB2312" w:eastAsia="FangSong_GB2312" w:cs="FangSong_GB2312"/>
                <w:color w:val="000000"/>
                <w:shd w:val="clear" w:color="auto" w:fill="FFFFFF"/>
                <w:lang w:val="zh-CN"/>
              </w:rPr>
            </w:pPr>
            <w:bookmarkStart w:id="0" w:name="_GoBack"/>
            <w:bookmarkEnd w:id="0"/>
            <w:r>
              <w:rPr>
                <w:rFonts w:hint="eastAsia" w:ascii="FangSong_GB2312" w:hAnsi="FangSong_GB2312" w:eastAsia="FangSong_GB2312" w:cs="FangSong_GB2312"/>
                <w:color w:val="000000"/>
                <w:shd w:val="clear" w:color="auto" w:fill="FFFFFF"/>
                <w:lang w:val="zh-CN"/>
              </w:rPr>
              <w:t>完善全国监控化学品年度统计报表，规范填报宣布信息。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6" w:hRule="exact"/>
        </w:trPr>
        <w:tc>
          <w:tcPr>
            <w:tcW w:w="1405" w:type="dxa"/>
            <w:gridSpan w:val="2"/>
            <w:vAlign w:val="center"/>
          </w:tcPr>
          <w:p>
            <w:pPr>
              <w:pStyle w:val="8"/>
              <w:spacing w:line="240" w:lineRule="auto"/>
              <w:ind w:left="33"/>
              <w:jc w:val="center"/>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整改时限</w:t>
            </w:r>
          </w:p>
        </w:tc>
        <w:tc>
          <w:tcPr>
            <w:tcW w:w="7035" w:type="dxa"/>
            <w:vAlign w:val="center"/>
          </w:tcPr>
          <w:p>
            <w:pPr>
              <w:pStyle w:val="8"/>
              <w:spacing w:line="240" w:lineRule="auto"/>
              <w:ind w:left="33"/>
              <w:rPr>
                <w:rFonts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3个月</w:t>
            </w:r>
          </w:p>
        </w:tc>
      </w:tr>
    </w:tbl>
    <w:p>
      <w:pPr>
        <w:rPr>
          <w:rFonts w:hint="eastAsia"/>
          <w:lang w:val="zh-CN"/>
        </w:rPr>
      </w:pPr>
    </w:p>
    <w:p>
      <w:pPr>
        <w:pStyle w:val="8"/>
        <w:spacing w:line="240" w:lineRule="auto"/>
        <w:ind w:left="33"/>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被检查人(现场负责人)签名或者盖章(适用于现场检查):张松鹏</w:t>
      </w:r>
    </w:p>
    <w:p>
      <w:pPr>
        <w:pStyle w:val="8"/>
        <w:spacing w:line="240" w:lineRule="auto"/>
        <w:ind w:left="33"/>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行政机关检查人员签名:朱清</w:t>
      </w:r>
      <w:r>
        <w:rPr>
          <w:rFonts w:hint="eastAsia" w:ascii="FangSong_GB2312" w:hAnsi="FangSong_GB2312" w:eastAsia="FangSong_GB2312" w:cs="FangSong_GB2312"/>
          <w:color w:val="000000"/>
          <w:shd w:val="clear" w:color="auto" w:fill="FFFFFF"/>
          <w:lang w:val="en-US" w:eastAsia="zh-CN"/>
        </w:rPr>
        <w:t xml:space="preserve">  </w:t>
      </w:r>
      <w:r>
        <w:rPr>
          <w:rFonts w:hint="eastAsia" w:ascii="FangSong_GB2312" w:hAnsi="FangSong_GB2312" w:eastAsia="FangSong_GB2312" w:cs="FangSong_GB2312"/>
          <w:color w:val="000000"/>
          <w:shd w:val="clear" w:color="auto" w:fill="FFFFFF"/>
          <w:lang w:val="zh-CN"/>
        </w:rPr>
        <w:t>朱鹏程</w:t>
      </w:r>
    </w:p>
    <w:p>
      <w:pPr>
        <w:pStyle w:val="8"/>
        <w:spacing w:line="240" w:lineRule="auto"/>
        <w:ind w:left="33"/>
        <w:rPr>
          <w:rFonts w:hint="eastAsia" w:ascii="FangSong_GB2312" w:hAnsi="FangSong_GB2312" w:eastAsia="FangSong_GB2312" w:cs="FangSong_GB2312"/>
          <w:color w:val="000000"/>
          <w:shd w:val="clear" w:color="auto" w:fill="FFFFFF"/>
          <w:lang w:val="en-US" w:eastAsia="zh-CN"/>
        </w:rPr>
      </w:pPr>
      <w:r>
        <w:rPr>
          <w:rFonts w:hint="eastAsia" w:ascii="FangSong_GB2312" w:hAnsi="FangSong_GB2312" w:eastAsia="FangSong_GB2312" w:cs="FangSong_GB2312"/>
          <w:color w:val="000000"/>
          <w:shd w:val="clear" w:color="auto" w:fill="FFFFFF"/>
          <w:lang w:val="zh-CN"/>
        </w:rPr>
        <w:t>辅助人员/专家签名:林慧蓉</w:t>
      </w:r>
      <w:r>
        <w:rPr>
          <w:rFonts w:hint="eastAsia" w:ascii="FangSong_GB2312" w:hAnsi="FangSong_GB2312" w:eastAsia="FangSong_GB2312" w:cs="FangSong_GB2312"/>
          <w:color w:val="000000"/>
          <w:shd w:val="clear" w:color="auto" w:fill="FFFFFF"/>
          <w:lang w:val="en-US" w:eastAsia="zh-CN"/>
        </w:rPr>
        <w:t xml:space="preserve">  何祥军</w:t>
      </w:r>
    </w:p>
    <w:p>
      <w:pPr>
        <w:pStyle w:val="8"/>
        <w:spacing w:line="240" w:lineRule="auto"/>
        <w:ind w:left="33"/>
        <w:rPr>
          <w:rFonts w:hint="eastAsia" w:ascii="FangSong_GB2312" w:hAnsi="FangSong_GB2312" w:eastAsia="FangSong_GB2312" w:cs="FangSong_GB2312"/>
          <w:color w:val="000000"/>
          <w:shd w:val="clear" w:color="auto" w:fill="FFFFFF"/>
          <w:lang w:val="zh-CN"/>
        </w:rPr>
      </w:pPr>
      <w:r>
        <w:rPr>
          <w:rFonts w:hint="eastAsia" w:ascii="FangSong_GB2312" w:hAnsi="FangSong_GB2312" w:eastAsia="FangSong_GB2312" w:cs="FangSong_GB2312"/>
          <w:color w:val="000000"/>
          <w:shd w:val="clear" w:color="auto" w:fill="FFFFFF"/>
          <w:lang w:val="zh-CN"/>
        </w:rPr>
        <w:t xml:space="preserve">                                            </w:t>
      </w:r>
      <w:r>
        <w:rPr>
          <w:rFonts w:hint="eastAsia" w:ascii="FangSong_GB2312" w:hAnsi="FangSong_GB2312" w:eastAsia="FangSong_GB2312" w:cs="FangSong_GB2312"/>
          <w:color w:val="000000"/>
          <w:shd w:val="clear" w:color="auto" w:fill="FFFFFF"/>
          <w:lang w:val="en-US" w:eastAsia="zh-CN"/>
        </w:rPr>
        <w:t xml:space="preserve">    2019</w:t>
      </w:r>
      <w:r>
        <w:rPr>
          <w:rFonts w:hint="eastAsia" w:ascii="FangSong_GB2312" w:hAnsi="FangSong_GB2312" w:eastAsia="FangSong_GB2312" w:cs="FangSong_GB2312"/>
          <w:color w:val="000000"/>
          <w:shd w:val="clear" w:color="auto" w:fill="FFFFFF"/>
          <w:lang w:val="zh-CN"/>
        </w:rPr>
        <w:t>年</w:t>
      </w:r>
      <w:r>
        <w:rPr>
          <w:rFonts w:hint="eastAsia" w:ascii="FangSong_GB2312" w:hAnsi="FangSong_GB2312" w:eastAsia="FangSong_GB2312" w:cs="FangSong_GB2312"/>
          <w:color w:val="000000"/>
          <w:shd w:val="clear" w:color="auto" w:fill="FFFFFF"/>
          <w:lang w:val="en-US" w:eastAsia="zh-CN"/>
        </w:rPr>
        <w:t>12</w:t>
      </w:r>
      <w:r>
        <w:rPr>
          <w:rFonts w:hint="eastAsia" w:ascii="FangSong_GB2312" w:hAnsi="FangSong_GB2312" w:eastAsia="FangSong_GB2312" w:cs="FangSong_GB2312"/>
          <w:color w:val="000000"/>
          <w:shd w:val="clear" w:color="auto" w:fill="FFFFFF"/>
          <w:lang w:val="zh-CN"/>
        </w:rPr>
        <w:t>月</w:t>
      </w:r>
      <w:r>
        <w:rPr>
          <w:rFonts w:hint="eastAsia" w:ascii="FangSong_GB2312" w:hAnsi="FangSong_GB2312" w:eastAsia="FangSong_GB2312" w:cs="FangSong_GB2312"/>
          <w:color w:val="000000"/>
          <w:shd w:val="clear" w:color="auto" w:fill="FFFFFF"/>
          <w:lang w:val="en-US" w:eastAsia="zh-CN"/>
        </w:rPr>
        <w:t>12</w:t>
      </w:r>
      <w:r>
        <w:rPr>
          <w:rFonts w:hint="eastAsia" w:ascii="FangSong_GB2312" w:hAnsi="FangSong_GB2312" w:eastAsia="FangSong_GB2312" w:cs="FangSong_GB2312"/>
          <w:color w:val="000000"/>
          <w:shd w:val="clear" w:color="auto" w:fill="FFFFFF"/>
          <w:lang w:val="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6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3AC5"/>
    <w:rsid w:val="000457D6"/>
    <w:rsid w:val="000544DE"/>
    <w:rsid w:val="00193A62"/>
    <w:rsid w:val="00366852"/>
    <w:rsid w:val="003949E7"/>
    <w:rsid w:val="003D012B"/>
    <w:rsid w:val="00473969"/>
    <w:rsid w:val="004F566D"/>
    <w:rsid w:val="005608E8"/>
    <w:rsid w:val="005949CD"/>
    <w:rsid w:val="005A0315"/>
    <w:rsid w:val="005C62A9"/>
    <w:rsid w:val="00677B7D"/>
    <w:rsid w:val="00866DC8"/>
    <w:rsid w:val="008E539A"/>
    <w:rsid w:val="008F047F"/>
    <w:rsid w:val="00945CF3"/>
    <w:rsid w:val="0095242E"/>
    <w:rsid w:val="009908A1"/>
    <w:rsid w:val="009E0ED3"/>
    <w:rsid w:val="00A11BCD"/>
    <w:rsid w:val="00AC465F"/>
    <w:rsid w:val="00AD5FB8"/>
    <w:rsid w:val="00B23EB1"/>
    <w:rsid w:val="00B4775D"/>
    <w:rsid w:val="00B47B05"/>
    <w:rsid w:val="00BF6D77"/>
    <w:rsid w:val="00D21887"/>
    <w:rsid w:val="00D83AC5"/>
    <w:rsid w:val="00DF04C3"/>
    <w:rsid w:val="00E34496"/>
    <w:rsid w:val="00E34640"/>
    <w:rsid w:val="00E528A6"/>
    <w:rsid w:val="00F0126F"/>
    <w:rsid w:val="00F01405"/>
    <w:rsid w:val="00F07D6D"/>
    <w:rsid w:val="00FC67D1"/>
    <w:rsid w:val="00FE048B"/>
    <w:rsid w:val="05637468"/>
    <w:rsid w:val="0DEB7C95"/>
    <w:rsid w:val="0E4B4343"/>
    <w:rsid w:val="458E24B9"/>
    <w:rsid w:val="60C81D55"/>
    <w:rsid w:val="7968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样式"/>
    <w:qFormat/>
    <w:uiPriority w:val="0"/>
    <w:pPr>
      <w:widowControl w:val="0"/>
      <w:autoSpaceDE w:val="0"/>
      <w:autoSpaceDN w:val="0"/>
      <w:adjustRightInd w:val="0"/>
      <w:spacing w:after="200" w:line="276" w:lineRule="auto"/>
    </w:pPr>
    <w:rPr>
      <w:rFonts w:ascii="宋体" w:hAnsi="宋体" w:cs="宋体"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92</Words>
  <Characters>527</Characters>
  <Lines>4</Lines>
  <Paragraphs>1</Paragraphs>
  <TotalTime>4</TotalTime>
  <ScaleCrop>false</ScaleCrop>
  <LinksUpToDate>false</LinksUpToDate>
  <CharactersWithSpaces>618</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2019-12-04T08:19:00Z</dcterms:created>
  <dc:creator>admin</dc:creator>
  <cp:lastModifiedBy>ZHUQ</cp:lastModifiedBy>
  <dcterms:modified xsi:type="dcterms:W3CDTF">2019-12-18T09:01:36Z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