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b/>
          <w:sz w:val="32"/>
          <w:szCs w:val="32"/>
          <w:lang w:val="en-US" w:eastAsia="zh-CN"/>
        </w:rPr>
      </w:pPr>
      <w:r>
        <w:rPr>
          <w:rFonts w:hint="eastAsia" w:ascii="仿宋" w:hAnsi="仿宋" w:eastAsia="仿宋"/>
          <w:b/>
          <w:sz w:val="32"/>
          <w:szCs w:val="32"/>
          <w:lang w:eastAsia="zh-CN"/>
        </w:rPr>
        <w:t>附件</w:t>
      </w:r>
      <w:bookmarkStart w:id="44" w:name="_GoBack"/>
      <w:bookmarkEnd w:id="44"/>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jc w:val="center"/>
        <w:rPr>
          <w:rFonts w:ascii="仿宋" w:hAnsi="仿宋" w:eastAsia="仿宋"/>
          <w:b/>
          <w:sz w:val="32"/>
          <w:szCs w:val="32"/>
        </w:rPr>
      </w:pPr>
    </w:p>
    <w:p>
      <w:pPr>
        <w:widowControl/>
        <w:jc w:val="center"/>
        <w:rPr>
          <w:rFonts w:ascii="Times New Roman" w:hAnsi="Times New Roman" w:eastAsia="黑体"/>
          <w:color w:val="000000"/>
          <w:kern w:val="0"/>
          <w:sz w:val="56"/>
          <w:szCs w:val="52"/>
        </w:rPr>
      </w:pPr>
      <w:r>
        <w:rPr>
          <w:rFonts w:hint="eastAsia" w:ascii="Times New Roman" w:hAnsi="Times New Roman" w:eastAsia="黑体"/>
          <w:color w:val="000000"/>
          <w:kern w:val="0"/>
          <w:sz w:val="56"/>
          <w:szCs w:val="52"/>
        </w:rPr>
        <w:t>船舶总装建造智能化标准体系</w:t>
      </w:r>
    </w:p>
    <w:p>
      <w:pPr>
        <w:widowControl/>
        <w:jc w:val="center"/>
        <w:rPr>
          <w:rFonts w:ascii="Times New Roman" w:hAnsi="Times New Roman" w:eastAsia="黑体"/>
          <w:color w:val="000000"/>
          <w:kern w:val="0"/>
          <w:sz w:val="56"/>
          <w:szCs w:val="52"/>
        </w:rPr>
      </w:pPr>
      <w:r>
        <w:rPr>
          <w:rFonts w:hint="eastAsia" w:ascii="Times New Roman" w:hAnsi="Times New Roman" w:eastAsia="黑体"/>
          <w:color w:val="000000"/>
          <w:kern w:val="0"/>
          <w:sz w:val="56"/>
          <w:szCs w:val="52"/>
        </w:rPr>
        <w:t>建设指南</w:t>
      </w:r>
    </w:p>
    <w:p>
      <w:pPr>
        <w:widowControl/>
        <w:spacing w:before="468" w:after="312"/>
        <w:jc w:val="center"/>
        <w:rPr>
          <w:rFonts w:ascii="Times New Roman" w:hAnsi="Times New Roman" w:eastAsia="仿宋_GB2312"/>
          <w:color w:val="000000"/>
          <w:kern w:val="0"/>
          <w:sz w:val="44"/>
          <w:szCs w:val="32"/>
        </w:rPr>
      </w:pPr>
      <w:r>
        <w:rPr>
          <w:rFonts w:hint="eastAsia" w:ascii="Times New Roman" w:hAnsi="Times New Roman" w:eastAsia="仿宋_GB2312"/>
          <w:color w:val="000000"/>
          <w:kern w:val="0"/>
          <w:sz w:val="44"/>
          <w:szCs w:val="32"/>
        </w:rPr>
        <w:t>（</w:t>
      </w:r>
      <w:r>
        <w:rPr>
          <w:rFonts w:hint="eastAsia" w:ascii="Times New Roman" w:hAnsi="Times New Roman" w:eastAsia="仿宋_GB2312"/>
          <w:color w:val="000000"/>
          <w:kern w:val="0"/>
          <w:sz w:val="44"/>
          <w:szCs w:val="32"/>
          <w:lang w:eastAsia="zh-CN"/>
        </w:rPr>
        <w:t>送审</w:t>
      </w:r>
      <w:r>
        <w:rPr>
          <w:rFonts w:hint="eastAsia" w:ascii="Times New Roman" w:hAnsi="Times New Roman" w:eastAsia="仿宋_GB2312"/>
          <w:color w:val="000000"/>
          <w:kern w:val="0"/>
          <w:sz w:val="44"/>
          <w:szCs w:val="32"/>
        </w:rPr>
        <w:t>稿）</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sectPr>
          <w:footerReference r:id="rId3" w:type="default"/>
          <w:pgSz w:w="11906" w:h="16838"/>
          <w:pgMar w:top="1440" w:right="1800" w:bottom="1440" w:left="1800" w:header="851" w:footer="992" w:gutter="0"/>
          <w:cols w:space="425" w:num="1"/>
          <w:docGrid w:type="lines" w:linePitch="312" w:charSpace="0"/>
        </w:sectPr>
      </w:pPr>
      <w:r>
        <w:rPr>
          <w:rFonts w:hint="eastAsia" w:ascii="仿宋" w:hAnsi="仿宋" w:eastAsia="仿宋"/>
          <w:sz w:val="32"/>
          <w:szCs w:val="32"/>
        </w:rPr>
        <w:t>2019年</w:t>
      </w:r>
      <w:r>
        <w:rPr>
          <w:rFonts w:hint="eastAsia" w:ascii="仿宋" w:hAnsi="仿宋" w:eastAsia="仿宋"/>
          <w:sz w:val="32"/>
          <w:szCs w:val="32"/>
          <w:lang w:val="en-US" w:eastAsia="zh-CN"/>
        </w:rPr>
        <w:t>12</w:t>
      </w:r>
      <w:r>
        <w:rPr>
          <w:rFonts w:hint="eastAsia" w:ascii="仿宋" w:hAnsi="仿宋" w:eastAsia="仿宋"/>
          <w:sz w:val="32"/>
          <w:szCs w:val="32"/>
        </w:rPr>
        <w:t>月</w:t>
      </w:r>
    </w:p>
    <w:sdt>
      <w:sdtPr>
        <w:rPr>
          <w:rFonts w:ascii="Calibri" w:hAnsi="Calibri" w:eastAsia="宋体" w:cs="Times New Roman"/>
          <w:b w:val="0"/>
          <w:bCs w:val="0"/>
          <w:color w:val="auto"/>
          <w:kern w:val="2"/>
          <w:sz w:val="21"/>
          <w:szCs w:val="22"/>
          <w:lang w:val="zh-CN"/>
        </w:rPr>
        <w:id w:val="318391042"/>
        <w:docPartObj>
          <w:docPartGallery w:val="Table of Contents"/>
          <w:docPartUnique/>
        </w:docPartObj>
      </w:sdtPr>
      <w:sdtEndPr>
        <w:rPr>
          <w:rFonts w:ascii="Calibri" w:hAnsi="Calibri" w:eastAsia="宋体" w:cs="Times New Roman"/>
          <w:b w:val="0"/>
          <w:bCs w:val="0"/>
          <w:color w:val="auto"/>
          <w:kern w:val="2"/>
          <w:sz w:val="21"/>
          <w:szCs w:val="22"/>
          <w:lang w:val="zh-CN"/>
        </w:rPr>
      </w:sdtEndPr>
      <w:sdtContent>
        <w:p>
          <w:pPr>
            <w:pStyle w:val="16"/>
            <w:jc w:val="center"/>
            <w:rPr>
              <w:color w:val="auto"/>
              <w:sz w:val="36"/>
              <w:szCs w:val="36"/>
            </w:rPr>
          </w:pPr>
          <w:r>
            <w:rPr>
              <w:rFonts w:hint="eastAsia"/>
              <w:color w:val="auto"/>
              <w:sz w:val="36"/>
              <w:szCs w:val="36"/>
              <w:lang w:val="zh-CN"/>
            </w:rPr>
            <w:t>目  录</w:t>
          </w:r>
        </w:p>
        <w:p>
          <w:pPr>
            <w:pStyle w:val="7"/>
            <w:rPr>
              <w:rFonts w:ascii="Times New Roman" w:hAnsi="Times New Roman" w:eastAsiaTheme="minorEastAsia"/>
              <w:sz w:val="28"/>
              <w:szCs w:val="28"/>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"_Toc12880258" </w:instrText>
          </w:r>
          <w:r>
            <w:fldChar w:fldCharType="separate"/>
          </w:r>
          <w:r>
            <w:rPr>
              <w:rStyle w:val="11"/>
              <w:rFonts w:ascii="Times New Roman" w:hAnsi="Times New Roman" w:eastAsia="黑体"/>
              <w:sz w:val="28"/>
              <w:szCs w:val="28"/>
            </w:rPr>
            <w:t>一、总体要求</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_Toc12880258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rPr>
              <w:rFonts w:ascii="Times New Roman" w:hAnsi="Times New Roman" w:eastAsiaTheme="minorEastAsia"/>
              <w:sz w:val="28"/>
              <w:szCs w:val="28"/>
            </w:rPr>
          </w:pPr>
          <w:r>
            <w:fldChar w:fldCharType="begin"/>
          </w:r>
          <w:r>
            <w:instrText xml:space="preserve"> HYPERLINK \l "_Toc12880259" </w:instrText>
          </w:r>
          <w:r>
            <w:fldChar w:fldCharType="separate"/>
          </w:r>
          <w:r>
            <w:rPr>
              <w:rStyle w:val="11"/>
              <w:rFonts w:ascii="Times New Roman" w:hAnsi="Times New Roman" w:eastAsia="仿宋"/>
              <w:sz w:val="28"/>
              <w:szCs w:val="28"/>
            </w:rPr>
            <w:t>（一）指导思想</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_Toc12880259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rPr>
              <w:rFonts w:ascii="Times New Roman" w:hAnsi="Times New Roman" w:eastAsiaTheme="minorEastAsia"/>
              <w:sz w:val="28"/>
              <w:szCs w:val="28"/>
            </w:rPr>
          </w:pPr>
          <w:r>
            <w:fldChar w:fldCharType="begin"/>
          </w:r>
          <w:r>
            <w:instrText xml:space="preserve"> HYPERLINK \l "_Toc12880260" </w:instrText>
          </w:r>
          <w:r>
            <w:fldChar w:fldCharType="separate"/>
          </w:r>
          <w:r>
            <w:rPr>
              <w:rStyle w:val="11"/>
              <w:rFonts w:ascii="Times New Roman" w:hAnsi="Times New Roman" w:eastAsia="仿宋"/>
              <w:sz w:val="28"/>
              <w:szCs w:val="28"/>
            </w:rPr>
            <w:t>（二）基本原则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_Toc12880260 \h </w:instrText>
          </w:r>
          <w:r>
            <w:rPr>
              <w:rFonts w:ascii="Times New Roman" w:hAnsi="Times New Roman"/>
              <w:sz w:val="28"/>
              <w:szCs w:val="28"/>
            </w:rPr>
            <w:fldChar w:fldCharType="separate"/>
          </w:r>
          <w:r>
            <w:rPr>
              <w:rFonts w:ascii="Times New Roman" w:hAnsi="Times New Roman"/>
              <w:sz w:val="28"/>
              <w:szCs w:val="28"/>
            </w:rPr>
            <w:t>1</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rPr>
              <w:rFonts w:ascii="Times New Roman" w:hAnsi="Times New Roman" w:eastAsiaTheme="minorEastAsia"/>
              <w:sz w:val="28"/>
              <w:szCs w:val="28"/>
            </w:rPr>
          </w:pPr>
          <w:r>
            <w:fldChar w:fldCharType="begin"/>
          </w:r>
          <w:r>
            <w:instrText xml:space="preserve"> HYPERLINK \l "_Toc12880261" </w:instrText>
          </w:r>
          <w:r>
            <w:fldChar w:fldCharType="separate"/>
          </w:r>
          <w:r>
            <w:rPr>
              <w:rStyle w:val="11"/>
              <w:rFonts w:ascii="Times New Roman" w:hAnsi="Times New Roman" w:eastAsia="仿宋"/>
              <w:sz w:val="28"/>
              <w:szCs w:val="28"/>
            </w:rPr>
            <w:t>（三）建设目标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_Toc12880261 \h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fldChar w:fldCharType="end"/>
          </w:r>
        </w:p>
        <w:p>
          <w:pPr>
            <w:pStyle w:val="7"/>
            <w:rPr>
              <w:rFonts w:ascii="Times New Roman" w:hAnsi="Times New Roman" w:eastAsiaTheme="minorEastAsia"/>
              <w:sz w:val="28"/>
              <w:szCs w:val="28"/>
            </w:rPr>
          </w:pPr>
          <w:r>
            <w:fldChar w:fldCharType="begin"/>
          </w:r>
          <w:r>
            <w:instrText xml:space="preserve"> HYPERLINK \l "_Toc12880262" </w:instrText>
          </w:r>
          <w:r>
            <w:fldChar w:fldCharType="separate"/>
          </w:r>
          <w:r>
            <w:rPr>
              <w:rStyle w:val="11"/>
              <w:rFonts w:ascii="Times New Roman" w:hAnsi="Times New Roman" w:eastAsia="黑体"/>
              <w:sz w:val="28"/>
              <w:szCs w:val="28"/>
            </w:rPr>
            <w:t>二、建设思想</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_Toc12880262 \h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rPr>
              <w:rFonts w:ascii="Times New Roman" w:hAnsi="Times New Roman" w:eastAsiaTheme="minorEastAsia"/>
              <w:sz w:val="28"/>
              <w:szCs w:val="28"/>
            </w:rPr>
          </w:pPr>
          <w:r>
            <w:fldChar w:fldCharType="begin"/>
          </w:r>
          <w:r>
            <w:instrText xml:space="preserve"> HYPERLINK \l "_Toc12880263" </w:instrText>
          </w:r>
          <w:r>
            <w:fldChar w:fldCharType="separate"/>
          </w:r>
          <w:r>
            <w:rPr>
              <w:rStyle w:val="11"/>
              <w:rFonts w:ascii="Times New Roman" w:hAnsi="Times New Roman" w:eastAsia="仿宋"/>
              <w:sz w:val="28"/>
              <w:szCs w:val="28"/>
            </w:rPr>
            <w:t>（一）体系结构图</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_Toc12880263 \h </w:instrText>
          </w:r>
          <w:r>
            <w:rPr>
              <w:rFonts w:ascii="Times New Roman" w:hAnsi="Times New Roman"/>
              <w:sz w:val="28"/>
              <w:szCs w:val="28"/>
            </w:rPr>
            <w:fldChar w:fldCharType="separate"/>
          </w:r>
          <w:r>
            <w:rPr>
              <w:rFonts w:ascii="Times New Roman" w:hAnsi="Times New Roman"/>
              <w:sz w:val="28"/>
              <w:szCs w:val="28"/>
            </w:rPr>
            <w:t>3</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rPr>
              <w:rFonts w:ascii="Times New Roman" w:hAnsi="Times New Roman" w:eastAsiaTheme="minorEastAsia"/>
              <w:sz w:val="28"/>
              <w:szCs w:val="28"/>
            </w:rPr>
          </w:pPr>
          <w:r>
            <w:fldChar w:fldCharType="begin"/>
          </w:r>
          <w:r>
            <w:instrText xml:space="preserve"> HYPERLINK \l "_Toc12880264" </w:instrText>
          </w:r>
          <w:r>
            <w:fldChar w:fldCharType="separate"/>
          </w:r>
          <w:r>
            <w:rPr>
              <w:rStyle w:val="11"/>
              <w:rFonts w:ascii="Times New Roman" w:hAnsi="Times New Roman" w:eastAsia="仿宋"/>
              <w:sz w:val="28"/>
              <w:szCs w:val="28"/>
            </w:rPr>
            <w:t>（二）体系框架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_Toc12880264 \h </w:instrText>
          </w:r>
          <w:r>
            <w:rPr>
              <w:rFonts w:ascii="Times New Roman" w:hAnsi="Times New Roman"/>
              <w:sz w:val="28"/>
              <w:szCs w:val="28"/>
            </w:rPr>
            <w:fldChar w:fldCharType="separate"/>
          </w:r>
          <w:r>
            <w:rPr>
              <w:rFonts w:ascii="Times New Roman" w:hAnsi="Times New Roman"/>
              <w:sz w:val="28"/>
              <w:szCs w:val="28"/>
            </w:rPr>
            <w:t>4</w:t>
          </w:r>
          <w:r>
            <w:rPr>
              <w:rFonts w:ascii="Times New Roman" w:hAnsi="Times New Roman"/>
              <w:sz w:val="28"/>
              <w:szCs w:val="28"/>
            </w:rPr>
            <w:fldChar w:fldCharType="end"/>
          </w:r>
          <w:r>
            <w:rPr>
              <w:rFonts w:ascii="Times New Roman" w:hAnsi="Times New Roman"/>
              <w:sz w:val="28"/>
              <w:szCs w:val="28"/>
            </w:rPr>
            <w:fldChar w:fldCharType="end"/>
          </w:r>
        </w:p>
        <w:p>
          <w:pPr>
            <w:pStyle w:val="7"/>
            <w:rPr>
              <w:rFonts w:ascii="Times New Roman" w:hAnsi="Times New Roman" w:eastAsiaTheme="minorEastAsia"/>
              <w:sz w:val="28"/>
              <w:szCs w:val="28"/>
            </w:rPr>
          </w:pPr>
          <w:r>
            <w:fldChar w:fldCharType="begin"/>
          </w:r>
          <w:r>
            <w:instrText xml:space="preserve"> HYPERLINK \l "_Toc12880265" </w:instrText>
          </w:r>
          <w:r>
            <w:fldChar w:fldCharType="separate"/>
          </w:r>
          <w:r>
            <w:rPr>
              <w:rStyle w:val="11"/>
              <w:rFonts w:ascii="Times New Roman" w:hAnsi="Times New Roman" w:eastAsia="黑体"/>
              <w:sz w:val="28"/>
              <w:szCs w:val="28"/>
            </w:rPr>
            <w:t>三、建设内容</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_Toc12880265 \h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rPr>
              <w:rFonts w:ascii="Times New Roman" w:hAnsi="Times New Roman" w:eastAsiaTheme="minorEastAsia"/>
              <w:sz w:val="28"/>
              <w:szCs w:val="28"/>
            </w:rPr>
          </w:pPr>
          <w:r>
            <w:fldChar w:fldCharType="begin"/>
          </w:r>
          <w:r>
            <w:instrText xml:space="preserve"> HYPERLINK \l "_Toc12880266" </w:instrText>
          </w:r>
          <w:r>
            <w:fldChar w:fldCharType="separate"/>
          </w:r>
          <w:r>
            <w:rPr>
              <w:rStyle w:val="11"/>
              <w:rFonts w:ascii="Times New Roman" w:hAnsi="Times New Roman" w:eastAsia="仿宋"/>
              <w:sz w:val="28"/>
              <w:szCs w:val="28"/>
            </w:rPr>
            <w:t>（一）</w:t>
          </w:r>
          <w:r>
            <w:rPr>
              <w:rStyle w:val="11"/>
              <w:rFonts w:ascii="Times New Roman" w:hAnsi="Times New Roman" w:eastAsia="仿宋"/>
              <w:bCs/>
              <w:sz w:val="28"/>
              <w:szCs w:val="28"/>
            </w:rPr>
            <w:t>基础共性标准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_Toc12880266 \h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rPr>
              <w:rFonts w:ascii="Times New Roman" w:hAnsi="Times New Roman" w:eastAsiaTheme="minorEastAsia"/>
              <w:sz w:val="28"/>
              <w:szCs w:val="28"/>
            </w:rPr>
          </w:pPr>
          <w:r>
            <w:fldChar w:fldCharType="begin"/>
          </w:r>
          <w:r>
            <w:instrText xml:space="preserve"> HYPERLINK \l "_Toc12880271" </w:instrText>
          </w:r>
          <w:r>
            <w:fldChar w:fldCharType="separate"/>
          </w:r>
          <w:r>
            <w:rPr>
              <w:rStyle w:val="11"/>
              <w:rFonts w:ascii="Times New Roman" w:hAnsi="Times New Roman" w:eastAsia="仿宋"/>
              <w:bCs/>
              <w:sz w:val="28"/>
              <w:szCs w:val="28"/>
            </w:rPr>
            <w:t>（二）关键技术标准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_Toc12880271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sz w:val="28"/>
              <w:szCs w:val="28"/>
            </w:rPr>
            <w:fldChar w:fldCharType="end"/>
          </w:r>
        </w:p>
        <w:p>
          <w:pPr>
            <w:pStyle w:val="8"/>
            <w:tabs>
              <w:tab w:val="right" w:leader="dot" w:pos="8296"/>
            </w:tabs>
            <w:rPr>
              <w:rFonts w:ascii="Times New Roman" w:hAnsi="Times New Roman" w:eastAsiaTheme="minorEastAsia"/>
              <w:sz w:val="28"/>
              <w:szCs w:val="28"/>
            </w:rPr>
          </w:pPr>
          <w:r>
            <w:fldChar w:fldCharType="begin"/>
          </w:r>
          <w:r>
            <w:instrText xml:space="preserve"> HYPERLINK \l "_Toc12880276" </w:instrText>
          </w:r>
          <w:r>
            <w:fldChar w:fldCharType="separate"/>
          </w:r>
          <w:r>
            <w:rPr>
              <w:rStyle w:val="11"/>
              <w:rFonts w:ascii="Times New Roman" w:hAnsi="Times New Roman" w:eastAsia="仿宋"/>
              <w:bCs/>
              <w:sz w:val="28"/>
              <w:szCs w:val="28"/>
            </w:rPr>
            <w:t>（三）船厂应用标准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_Toc12880276 \h </w:instrText>
          </w:r>
          <w:r>
            <w:rPr>
              <w:rFonts w:ascii="Times New Roman" w:hAnsi="Times New Roman"/>
              <w:sz w:val="28"/>
              <w:szCs w:val="28"/>
            </w:rPr>
            <w:fldChar w:fldCharType="separate"/>
          </w:r>
          <w:r>
            <w:rPr>
              <w:rFonts w:ascii="Times New Roman" w:hAnsi="Times New Roman"/>
              <w:sz w:val="28"/>
              <w:szCs w:val="28"/>
            </w:rPr>
            <w:t>18</w:t>
          </w:r>
          <w:r>
            <w:rPr>
              <w:rFonts w:ascii="Times New Roman" w:hAnsi="Times New Roman"/>
              <w:sz w:val="28"/>
              <w:szCs w:val="28"/>
            </w:rPr>
            <w:fldChar w:fldCharType="end"/>
          </w:r>
          <w:r>
            <w:rPr>
              <w:rFonts w:ascii="Times New Roman" w:hAnsi="Times New Roman"/>
              <w:sz w:val="28"/>
              <w:szCs w:val="28"/>
            </w:rPr>
            <w:fldChar w:fldCharType="end"/>
          </w:r>
        </w:p>
        <w:p>
          <w:pPr>
            <w:pStyle w:val="7"/>
            <w:rPr>
              <w:rFonts w:ascii="Times New Roman" w:hAnsi="Times New Roman" w:eastAsiaTheme="minorEastAsia"/>
            </w:rPr>
          </w:pPr>
          <w:r>
            <w:fldChar w:fldCharType="begin"/>
          </w:r>
          <w:r>
            <w:instrText xml:space="preserve"> HYPERLINK \l "_Toc12880288" </w:instrText>
          </w:r>
          <w:r>
            <w:fldChar w:fldCharType="separate"/>
          </w:r>
          <w:r>
            <w:rPr>
              <w:rStyle w:val="11"/>
              <w:rFonts w:ascii="Times New Roman" w:hAnsi="Times New Roman" w:eastAsia="黑体"/>
              <w:sz w:val="28"/>
              <w:szCs w:val="28"/>
            </w:rPr>
            <w:t>四、组织实施</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_Toc12880288 \h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sz w:val="28"/>
              <w:szCs w:val="28"/>
            </w:rPr>
            <w:fldChar w:fldCharType="end"/>
          </w:r>
        </w:p>
        <w:p>
          <w:r>
            <w:rPr>
              <w:rFonts w:ascii="Times New Roman" w:hAnsi="Times New Roman"/>
              <w:b/>
              <w:bCs/>
              <w:sz w:val="28"/>
              <w:szCs w:val="28"/>
              <w:lang w:val="zh-CN"/>
            </w:rPr>
            <w:fldChar w:fldCharType="end"/>
          </w:r>
        </w:p>
      </w:sdtContent>
    </w:sdt>
    <w:p>
      <w:pPr>
        <w:spacing w:line="360" w:lineRule="auto"/>
        <w:ind w:firstLine="642" w:firstLineChars="200"/>
        <w:jc w:val="center"/>
        <w:rPr>
          <w:rFonts w:ascii="仿宋" w:hAnsi="仿宋" w:eastAsia="仿宋"/>
          <w:b/>
          <w:sz w:val="32"/>
          <w:szCs w:val="32"/>
        </w:rPr>
        <w:sectPr>
          <w:footerReference r:id="rId4" w:type="default"/>
          <w:pgSz w:w="11906" w:h="16838"/>
          <w:pgMar w:top="1440" w:right="1800" w:bottom="1440" w:left="1800" w:header="851" w:footer="992" w:gutter="0"/>
          <w:cols w:space="425" w:num="1"/>
          <w:docGrid w:type="lines" w:linePitch="312" w:charSpace="0"/>
        </w:sectPr>
      </w:pPr>
    </w:p>
    <w:p>
      <w:pPr>
        <w:jc w:val="center"/>
        <w:rPr>
          <w:rFonts w:ascii="仿宋" w:hAnsi="仿宋" w:eastAsia="仿宋"/>
          <w:b/>
          <w:sz w:val="32"/>
          <w:szCs w:val="32"/>
        </w:rPr>
      </w:pPr>
    </w:p>
    <w:p>
      <w:pPr>
        <w:jc w:val="center"/>
        <w:rPr>
          <w:rFonts w:ascii="仿宋" w:hAnsi="仿宋" w:eastAsia="仿宋"/>
          <w:b/>
          <w:sz w:val="32"/>
          <w:szCs w:val="32"/>
        </w:rPr>
        <w:sectPr>
          <w:footerReference r:id="rId5" w:type="default"/>
          <w:type w:val="continuous"/>
          <w:pgSz w:w="11906" w:h="16838"/>
          <w:pgMar w:top="1440" w:right="1800" w:bottom="1440" w:left="1800" w:header="851" w:footer="992" w:gutter="0"/>
          <w:pgNumType w:start="1"/>
          <w:cols w:space="425" w:num="1"/>
          <w:docGrid w:type="lines" w:linePitch="312" w:charSpace="0"/>
        </w:sectPr>
      </w:pPr>
    </w:p>
    <w:p>
      <w:pPr>
        <w:jc w:val="center"/>
        <w:rPr>
          <w:rFonts w:ascii="仿宋" w:hAnsi="仿宋" w:eastAsia="仿宋"/>
          <w:b/>
          <w:sz w:val="32"/>
          <w:szCs w:val="32"/>
        </w:rPr>
        <w:sectPr>
          <w:type w:val="continuous"/>
          <w:pgSz w:w="11906" w:h="16838"/>
          <w:pgMar w:top="1440" w:right="1800" w:bottom="1440" w:left="1800" w:header="851" w:footer="992" w:gutter="0"/>
          <w:pgNumType w:start="1"/>
          <w:cols w:space="425" w:num="1"/>
          <w:docGrid w:type="lines" w:linePitch="312" w:charSpace="0"/>
        </w:sectPr>
      </w:pPr>
    </w:p>
    <w:p>
      <w:pPr>
        <w:ind w:firstLine="705" w:firstLineChars="196"/>
        <w:outlineLvl w:val="0"/>
        <w:rPr>
          <w:rFonts w:ascii="黑体" w:hAnsi="黑体" w:eastAsia="黑体"/>
          <w:sz w:val="36"/>
          <w:szCs w:val="36"/>
        </w:rPr>
      </w:pPr>
      <w:bookmarkStart w:id="0" w:name="_Toc12880258"/>
      <w:bookmarkStart w:id="1" w:name="_Toc8978166"/>
      <w:r>
        <w:rPr>
          <w:rFonts w:hint="eastAsia" w:ascii="黑体" w:hAnsi="黑体" w:eastAsia="黑体"/>
          <w:sz w:val="36"/>
          <w:szCs w:val="36"/>
        </w:rPr>
        <w:t>一、总体要求</w:t>
      </w:r>
      <w:bookmarkEnd w:id="0"/>
      <w:bookmarkEnd w:id="1"/>
    </w:p>
    <w:p>
      <w:pPr>
        <w:ind w:firstLine="626" w:firstLineChars="195"/>
        <w:outlineLvl w:val="1"/>
        <w:rPr>
          <w:rFonts w:ascii="仿宋" w:hAnsi="仿宋" w:eastAsia="仿宋"/>
          <w:b/>
          <w:sz w:val="32"/>
          <w:szCs w:val="32"/>
        </w:rPr>
      </w:pPr>
      <w:bookmarkStart w:id="2" w:name="_Toc12880259"/>
      <w:r>
        <w:rPr>
          <w:rFonts w:hint="eastAsia" w:ascii="仿宋" w:hAnsi="仿宋" w:eastAsia="仿宋"/>
          <w:b/>
          <w:sz w:val="32"/>
          <w:szCs w:val="32"/>
        </w:rPr>
        <w:t>（一）指导思想</w:t>
      </w:r>
      <w:bookmarkEnd w:id="2"/>
    </w:p>
    <w:p>
      <w:pPr>
        <w:ind w:firstLine="624" w:firstLineChars="195"/>
        <w:rPr>
          <w:rFonts w:ascii="仿宋" w:hAnsi="仿宋" w:eastAsia="仿宋"/>
          <w:sz w:val="32"/>
          <w:szCs w:val="32"/>
        </w:rPr>
      </w:pPr>
      <w:r>
        <w:rPr>
          <w:rFonts w:hint="eastAsia" w:ascii="仿宋" w:hAnsi="仿宋" w:eastAsia="仿宋"/>
          <w:sz w:val="32"/>
          <w:szCs w:val="32"/>
        </w:rPr>
        <w:t>为贯彻落实《推进船舶总装建造智能化转型行动计划（2019-2021年）》，充分发挥标准在推进船舶总装建造智能化转型过程中的指导、规范、引领和保障作用，针对船舶智能制造跨领域、跨行业以及高度集成、系统融合等特点，对接船舶智能制造基础、关键共性技术与智能装备、全三维数字化设计、智能车间建设以及集成与服务等发展重点，构建涵盖基础共性、关键技术和船厂应用三个层面船舶智能制造标准体系，制（修）订满足船舶工业发展需求、先进适用的智能制造标准，提升船舶总装建造质量和效益，推动船舶</w:t>
      </w:r>
      <w:r>
        <w:rPr>
          <w:rFonts w:hint="eastAsia" w:ascii="仿宋" w:hAnsi="仿宋" w:eastAsia="仿宋"/>
          <w:sz w:val="32"/>
          <w:szCs w:val="32"/>
          <w:lang w:eastAsia="zh-CN"/>
        </w:rPr>
        <w:t>工</w:t>
      </w:r>
      <w:r>
        <w:rPr>
          <w:rFonts w:hint="eastAsia" w:ascii="仿宋" w:hAnsi="仿宋" w:eastAsia="仿宋"/>
          <w:sz w:val="32"/>
          <w:szCs w:val="32"/>
        </w:rPr>
        <w:t>业高质量发展。</w:t>
      </w:r>
    </w:p>
    <w:p>
      <w:pPr>
        <w:ind w:firstLine="636" w:firstLineChars="198"/>
        <w:outlineLvl w:val="1"/>
        <w:rPr>
          <w:rFonts w:ascii="仿宋" w:hAnsi="仿宋" w:eastAsia="仿宋"/>
          <w:b/>
          <w:sz w:val="32"/>
          <w:szCs w:val="32"/>
        </w:rPr>
      </w:pPr>
      <w:bookmarkStart w:id="3" w:name="_Toc12880260"/>
      <w:r>
        <w:rPr>
          <w:rFonts w:hint="eastAsia" w:ascii="仿宋" w:hAnsi="仿宋" w:eastAsia="仿宋"/>
          <w:b/>
          <w:sz w:val="32"/>
          <w:szCs w:val="32"/>
        </w:rPr>
        <w:t>（二）基本原则</w:t>
      </w:r>
      <w:bookmarkEnd w:id="3"/>
    </w:p>
    <w:p>
      <w:pPr>
        <w:ind w:firstLine="640" w:firstLineChars="200"/>
        <w:rPr>
          <w:rFonts w:ascii="仿宋" w:hAnsi="仿宋" w:eastAsia="仿宋"/>
          <w:sz w:val="32"/>
          <w:szCs w:val="32"/>
        </w:rPr>
      </w:pPr>
      <w:r>
        <w:rPr>
          <w:rFonts w:hint="eastAsia" w:ascii="仿宋" w:hAnsi="仿宋" w:eastAsia="仿宋"/>
          <w:sz w:val="32"/>
          <w:szCs w:val="32"/>
        </w:rPr>
        <w:t>按照“科学统筹，有序推进，强化引导，突出重点，先进适用，兼顾发展，上下结合，内外协同”的原则，针对船舶制造业多品种小批量离散制造的特点，以船舶制造业数字化、网络化、智能化为核心，有序推进船舶总装智能制造标准体系研究；建立通用性强、可操作性强的船舶总装建造智能化标准体系，引导船舶工业加快船舶智能制造标准建设，推动船舶建造企业提升研发设计、生产制造、经营管理、销售服务等重点业务流程的智能设计、制造技术和管理水平；组织开展船舶总装建造智能化基础共性标准、关键技术标准和船厂应用标准研究，标准既要围绕解决船舶制造企业智能化转型升级所面临的迫切问题又须兼顾长远的发展；顶层指导与具体时间上下结合、相互促进，使标准体系不断完善和优化落实，同时，加强国内外合作和产学研的合作，积极参与相关技术标准的交流，扎实推进船舶总装建造智能化标准制（修）订工作。</w:t>
      </w:r>
    </w:p>
    <w:p>
      <w:pPr>
        <w:ind w:firstLine="636" w:firstLineChars="198"/>
        <w:outlineLvl w:val="1"/>
        <w:rPr>
          <w:rFonts w:ascii="仿宋" w:hAnsi="仿宋" w:eastAsia="仿宋"/>
          <w:b/>
          <w:sz w:val="32"/>
          <w:szCs w:val="32"/>
        </w:rPr>
      </w:pPr>
      <w:bookmarkStart w:id="4" w:name="_Toc12880261"/>
      <w:r>
        <w:rPr>
          <w:rFonts w:hint="eastAsia" w:ascii="仿宋" w:hAnsi="仿宋" w:eastAsia="仿宋"/>
          <w:b/>
          <w:sz w:val="32"/>
          <w:szCs w:val="32"/>
        </w:rPr>
        <w:t>（三）建设目标</w:t>
      </w:r>
      <w:bookmarkEnd w:id="4"/>
    </w:p>
    <w:p>
      <w:pPr>
        <w:ind w:firstLine="624" w:firstLineChars="195"/>
        <w:rPr>
          <w:rFonts w:ascii="仿宋" w:hAnsi="仿宋" w:eastAsia="仿宋"/>
          <w:sz w:val="32"/>
          <w:szCs w:val="32"/>
        </w:rPr>
      </w:pPr>
      <w:r>
        <w:rPr>
          <w:rFonts w:hint="eastAsia" w:ascii="仿宋" w:hAnsi="仿宋" w:eastAsia="仿宋"/>
          <w:sz w:val="32"/>
          <w:szCs w:val="32"/>
        </w:rPr>
        <w:t>以《国家智能制造标准体系建设指南（2018版）》为指导，以《推进船舶总装建造智能化转型行动计划（2019-2021年）》为行动纲领，基于我国船舶工业仍处于数字化制造起步阶段的发展现状，以全面推进数字化造船、实现关键环节和流程的智能化改造为重点，研究构建结构合理、界面清晰、重点突出、协调配套的船舶智能制造标准体系，全面开展船舶智能制造基础共性标准、关键技术标准、行业应用标准研究，加快实施船舶智能制造基础共性、船舶智能设计制造及管理、工业网络互联以及制造单元、车间及生产线等标准的制（修）订工作，切实推进船舶总装建造智能化转型升级与创新发展。</w:t>
      </w:r>
    </w:p>
    <w:p>
      <w:pPr>
        <w:ind w:firstLine="624" w:firstLineChars="195"/>
        <w:rPr>
          <w:rFonts w:hint="eastAsia" w:ascii="仿宋" w:hAnsi="仿宋" w:eastAsia="仿宋"/>
          <w:sz w:val="32"/>
          <w:szCs w:val="32"/>
          <w:lang w:eastAsia="zh-CN"/>
        </w:rPr>
      </w:pPr>
      <w:r>
        <w:rPr>
          <w:rFonts w:hint="eastAsia" w:ascii="仿宋" w:hAnsi="仿宋" w:eastAsia="仿宋"/>
          <w:sz w:val="32"/>
          <w:szCs w:val="32"/>
        </w:rPr>
        <w:t>到202</w:t>
      </w:r>
      <w:r>
        <w:rPr>
          <w:rFonts w:ascii="仿宋" w:hAnsi="仿宋" w:eastAsia="仿宋"/>
          <w:sz w:val="32"/>
          <w:szCs w:val="32"/>
        </w:rPr>
        <w:t>0</w:t>
      </w:r>
      <w:r>
        <w:rPr>
          <w:rFonts w:hint="eastAsia" w:ascii="仿宋" w:hAnsi="仿宋" w:eastAsia="仿宋"/>
          <w:sz w:val="32"/>
          <w:szCs w:val="32"/>
        </w:rPr>
        <w:t>年，船舶总装建造智能化标准体系初步建立，累计制修订</w:t>
      </w:r>
      <w:r>
        <w:rPr>
          <w:rFonts w:ascii="仿宋" w:hAnsi="仿宋" w:eastAsia="仿宋"/>
          <w:sz w:val="32"/>
          <w:szCs w:val="32"/>
        </w:rPr>
        <w:t>3</w:t>
      </w:r>
      <w:r>
        <w:rPr>
          <w:rFonts w:hint="eastAsia" w:ascii="仿宋" w:hAnsi="仿宋" w:eastAsia="仿宋"/>
          <w:sz w:val="32"/>
          <w:szCs w:val="32"/>
        </w:rPr>
        <w:t>0项以上船舶智能制造急需标准，基本覆盖基础共性标准、关键技术标准和船厂应用标准</w:t>
      </w:r>
      <w:r>
        <w:rPr>
          <w:rFonts w:hint="eastAsia" w:ascii="仿宋" w:hAnsi="仿宋" w:eastAsia="仿宋"/>
          <w:sz w:val="32"/>
          <w:szCs w:val="32"/>
          <w:lang w:eastAsia="zh-CN"/>
        </w:rPr>
        <w:t>。</w:t>
      </w:r>
    </w:p>
    <w:p>
      <w:pPr>
        <w:ind w:firstLine="624" w:firstLineChars="195"/>
        <w:rPr>
          <w:rFonts w:ascii="仿宋" w:hAnsi="仿宋" w:eastAsia="仿宋"/>
          <w:sz w:val="32"/>
          <w:szCs w:val="32"/>
        </w:rPr>
      </w:pPr>
      <w:r>
        <w:rPr>
          <w:rFonts w:hint="eastAsia" w:ascii="仿宋" w:hAnsi="仿宋" w:eastAsia="仿宋"/>
          <w:sz w:val="32"/>
          <w:szCs w:val="32"/>
        </w:rPr>
        <w:t>到202</w:t>
      </w:r>
      <w:r>
        <w:rPr>
          <w:rFonts w:ascii="仿宋" w:hAnsi="仿宋" w:eastAsia="仿宋"/>
          <w:sz w:val="32"/>
          <w:szCs w:val="32"/>
        </w:rPr>
        <w:t>5</w:t>
      </w:r>
      <w:r>
        <w:rPr>
          <w:rFonts w:hint="eastAsia" w:ascii="仿宋" w:hAnsi="仿宋" w:eastAsia="仿宋"/>
          <w:sz w:val="32"/>
          <w:szCs w:val="32"/>
        </w:rPr>
        <w:t>年，船舶总装建造智能化标准体系基本建成，全面覆盖基础共性标准、关键技术标准和船厂应用标准，逐步建立起较为完善的船舶总装建造智能化标准体系。</w:t>
      </w:r>
    </w:p>
    <w:p>
      <w:pPr>
        <w:ind w:firstLine="712" w:firstLineChars="198"/>
        <w:outlineLvl w:val="0"/>
        <w:rPr>
          <w:rFonts w:ascii="黑体" w:hAnsi="黑体" w:eastAsia="黑体"/>
          <w:sz w:val="36"/>
          <w:szCs w:val="36"/>
        </w:rPr>
      </w:pPr>
      <w:bookmarkStart w:id="5" w:name="_Toc12880262"/>
      <w:bookmarkStart w:id="6" w:name="_Toc8978167"/>
      <w:r>
        <w:rPr>
          <w:rFonts w:hint="eastAsia" w:ascii="黑体" w:hAnsi="黑体" w:eastAsia="黑体"/>
          <w:sz w:val="36"/>
          <w:szCs w:val="36"/>
        </w:rPr>
        <w:t>二、建设思想</w:t>
      </w:r>
      <w:bookmarkEnd w:id="5"/>
      <w:bookmarkEnd w:id="6"/>
    </w:p>
    <w:p>
      <w:pPr>
        <w:ind w:firstLine="642" w:firstLineChars="200"/>
        <w:outlineLvl w:val="1"/>
        <w:rPr>
          <w:rFonts w:ascii="仿宋" w:hAnsi="仿宋" w:eastAsia="仿宋"/>
          <w:b/>
          <w:sz w:val="32"/>
          <w:szCs w:val="32"/>
        </w:rPr>
      </w:pPr>
      <w:bookmarkStart w:id="7" w:name="OLE_LINK2"/>
      <w:bookmarkStart w:id="8" w:name="OLE_LINK1"/>
      <w:bookmarkStart w:id="9" w:name="_Toc12880263"/>
      <w:r>
        <w:rPr>
          <w:rFonts w:hint="eastAsia" w:ascii="仿宋" w:hAnsi="仿宋" w:eastAsia="仿宋"/>
          <w:b/>
          <w:sz w:val="32"/>
          <w:szCs w:val="32"/>
        </w:rPr>
        <w:t>（一）体系</w:t>
      </w:r>
      <w:bookmarkEnd w:id="7"/>
      <w:bookmarkEnd w:id="8"/>
      <w:r>
        <w:rPr>
          <w:rFonts w:hint="eastAsia" w:ascii="仿宋" w:hAnsi="仿宋" w:eastAsia="仿宋"/>
          <w:b/>
          <w:sz w:val="32"/>
          <w:szCs w:val="32"/>
        </w:rPr>
        <w:t>结构图</w:t>
      </w:r>
      <w:bookmarkEnd w:id="9"/>
    </w:p>
    <w:p>
      <w:pPr>
        <w:ind w:firstLine="640" w:firstLineChars="200"/>
        <w:rPr>
          <w:rFonts w:ascii="仿宋" w:hAnsi="仿宋" w:eastAsia="仿宋"/>
          <w:sz w:val="32"/>
          <w:szCs w:val="32"/>
        </w:rPr>
      </w:pPr>
      <w:r>
        <w:rPr>
          <w:rFonts w:hint="eastAsia" w:ascii="仿宋" w:hAnsi="仿宋" w:eastAsia="仿宋"/>
          <w:sz w:val="32"/>
          <w:szCs w:val="32"/>
        </w:rPr>
        <w:t>依据《推进船舶总装建造智能化转型行动计划（2019—2021年）》中建立船舶智能制造标准体系的相关要求，基于船舶总装建造的特点，</w:t>
      </w:r>
      <w:r>
        <w:rPr>
          <w:rFonts w:ascii="仿宋" w:hAnsi="仿宋" w:eastAsia="仿宋"/>
          <w:sz w:val="32"/>
          <w:szCs w:val="32"/>
        </w:rPr>
        <w:t>对接国家智能制造标准体系，</w:t>
      </w:r>
      <w:r>
        <w:rPr>
          <w:rFonts w:hint="eastAsia" w:ascii="仿宋" w:hAnsi="仿宋" w:eastAsia="仿宋"/>
          <w:sz w:val="32"/>
          <w:szCs w:val="32"/>
        </w:rPr>
        <w:t>按照“基础共性”、“关键技术”和“船厂应用”三项大类条目，在“关键技术”条目下，细分为：“互联互通与系统集成”、“新一代信息技术应用”、“智能服务”、“智能船厂”等中类条目，构成船舶总装建造和柔性建造智能化标准体系结构，如图1所示。</w:t>
      </w:r>
    </w:p>
    <w:p>
      <w:pPr>
        <w:jc w:val="center"/>
        <w:rPr>
          <w:rFonts w:ascii="黑体" w:hAnsi="黑体" w:eastAsia="黑体"/>
          <w:sz w:val="28"/>
          <w:szCs w:val="28"/>
        </w:rPr>
      </w:pPr>
      <w:r>
        <w:object>
          <v:shape id="_x0000_i1025" o:spt="75" type="#_x0000_t75" style="height:291pt;width:415.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r>
        <w:rPr>
          <w:rFonts w:ascii="黑体" w:hAnsi="黑体" w:eastAsia="黑体"/>
          <w:sz w:val="28"/>
          <w:szCs w:val="28"/>
        </w:rPr>
        <w:t>图</w:t>
      </w:r>
      <w:r>
        <w:rPr>
          <w:rFonts w:hint="eastAsia" w:ascii="黑体" w:hAnsi="黑体" w:eastAsia="黑体"/>
          <w:sz w:val="28"/>
          <w:szCs w:val="28"/>
        </w:rPr>
        <w:t>1</w:t>
      </w:r>
      <w:r>
        <w:rPr>
          <w:rFonts w:ascii="黑体" w:hAnsi="黑体" w:eastAsia="黑体"/>
          <w:sz w:val="28"/>
          <w:szCs w:val="28"/>
        </w:rPr>
        <w:t xml:space="preserve"> </w:t>
      </w:r>
      <w:r>
        <w:rPr>
          <w:rFonts w:hint="eastAsia" w:ascii="黑体" w:hAnsi="黑体" w:eastAsia="黑体"/>
          <w:sz w:val="28"/>
          <w:szCs w:val="28"/>
        </w:rPr>
        <w:t>船舶智能制造标准体系结构</w:t>
      </w:r>
    </w:p>
    <w:p>
      <w:pPr>
        <w:ind w:firstLine="642" w:firstLineChars="200"/>
        <w:outlineLvl w:val="1"/>
        <w:rPr>
          <w:rFonts w:ascii="仿宋" w:hAnsi="仿宋" w:eastAsia="仿宋"/>
          <w:b/>
          <w:sz w:val="32"/>
          <w:szCs w:val="32"/>
        </w:rPr>
      </w:pPr>
      <w:bookmarkStart w:id="10" w:name="_Toc12880264"/>
      <w:r>
        <w:rPr>
          <w:rFonts w:hint="eastAsia" w:ascii="仿宋" w:hAnsi="仿宋" w:eastAsia="仿宋"/>
          <w:b/>
          <w:sz w:val="32"/>
          <w:szCs w:val="32"/>
        </w:rPr>
        <w:t>（二）体系框架</w:t>
      </w:r>
      <w:bookmarkEnd w:id="10"/>
    </w:p>
    <w:p>
      <w:pPr>
        <w:ind w:firstLine="640" w:firstLineChars="200"/>
        <w:rPr>
          <w:rFonts w:ascii="仿宋" w:hAnsi="仿宋" w:eastAsia="仿宋"/>
          <w:sz w:val="32"/>
          <w:szCs w:val="32"/>
        </w:rPr>
      </w:pPr>
      <w:r>
        <w:rPr>
          <w:rFonts w:hint="eastAsia" w:ascii="仿宋" w:hAnsi="仿宋" w:eastAsia="仿宋"/>
          <w:sz w:val="32"/>
          <w:szCs w:val="32"/>
        </w:rPr>
        <w:t>船舶智能制造标准体系框架由体系结构向下映射而成，是形成智能制造标准体系的基本组成单元。船舶智能制造标准体系框架包括“基础共性”、“关键技术”和“船厂应用”三个部分，形成四层架构框架，如图2所示。</w:t>
      </w:r>
    </w:p>
    <w:p>
      <w:pPr>
        <w:ind w:firstLine="636" w:firstLineChars="198"/>
        <w:outlineLvl w:val="0"/>
        <w:rPr>
          <w:rFonts w:ascii="仿宋" w:hAnsi="仿宋" w:eastAsia="仿宋"/>
          <w:b/>
          <w:sz w:val="32"/>
          <w:szCs w:val="32"/>
        </w:rPr>
        <w:sectPr>
          <w:footerReference r:id="rId6" w:type="default"/>
          <w:pgSz w:w="11906" w:h="16838"/>
          <w:pgMar w:top="1440" w:right="1800" w:bottom="1440" w:left="1800" w:header="851" w:footer="992" w:gutter="0"/>
          <w:pgNumType w:start="1"/>
          <w:cols w:space="425" w:num="1"/>
          <w:docGrid w:type="lines" w:linePitch="312" w:charSpace="0"/>
        </w:sectPr>
      </w:pPr>
    </w:p>
    <w:p>
      <w:pPr>
        <w:jc w:val="center"/>
        <w:rPr>
          <w:rFonts w:ascii="黑体" w:hAnsi="黑体" w:eastAsia="黑体"/>
          <w:sz w:val="28"/>
          <w:szCs w:val="28"/>
        </w:rPr>
      </w:pPr>
      <w:bookmarkStart w:id="11" w:name="_Toc7855648"/>
      <w:r>
        <w:object>
          <v:shape id="_x0000_i1026" o:spt="75" type="#_x0000_t75" style="height:225pt;width:696.75pt;" o:ole="t" filled="f" o:preferrelative="t" stroked="f" coordsize="21600,21600">
            <v:path/>
            <v:fill on="f" focussize="0,0"/>
            <v:stroke on="f" joinstyle="miter"/>
            <v:imagedata r:id="rId11" o:title=""/>
            <o:lock v:ext="edit" aspectratio="t"/>
            <w10:wrap type="none"/>
            <w10:anchorlock/>
          </v:shape>
          <o:OLEObject Type="Embed" ProgID="Visio.Drawing.15" ShapeID="_x0000_i1026" DrawAspect="Content" ObjectID="_1468075726" r:id="rId10">
            <o:LockedField>false</o:LockedField>
          </o:OLEObject>
        </w:object>
      </w:r>
      <w:r>
        <w:rPr>
          <w:rFonts w:ascii="黑体" w:hAnsi="黑体" w:eastAsia="黑体"/>
          <w:sz w:val="28"/>
          <w:szCs w:val="28"/>
        </w:rPr>
        <w:t>图</w:t>
      </w:r>
      <w:r>
        <w:rPr>
          <w:rFonts w:hint="eastAsia" w:ascii="黑体" w:hAnsi="黑体" w:eastAsia="黑体"/>
          <w:sz w:val="28"/>
          <w:szCs w:val="28"/>
        </w:rPr>
        <w:t>2</w:t>
      </w:r>
      <w:r>
        <w:rPr>
          <w:rFonts w:ascii="黑体" w:hAnsi="黑体" w:eastAsia="黑体"/>
          <w:sz w:val="28"/>
          <w:szCs w:val="28"/>
        </w:rPr>
        <w:t xml:space="preserve"> </w:t>
      </w:r>
      <w:r>
        <w:rPr>
          <w:rFonts w:hint="eastAsia" w:ascii="黑体" w:hAnsi="黑体" w:eastAsia="黑体"/>
          <w:sz w:val="28"/>
          <w:szCs w:val="28"/>
        </w:rPr>
        <w:t>船舶智能制造标准体系</w:t>
      </w:r>
      <w:bookmarkEnd w:id="11"/>
      <w:r>
        <w:rPr>
          <w:rFonts w:hint="eastAsia" w:ascii="黑体" w:hAnsi="黑体" w:eastAsia="黑体"/>
          <w:sz w:val="28"/>
          <w:szCs w:val="28"/>
        </w:rPr>
        <w:t>框架</w:t>
      </w:r>
    </w:p>
    <w:p>
      <w:pPr>
        <w:ind w:firstLine="633" w:firstLineChars="198"/>
        <w:outlineLvl w:val="0"/>
        <w:rPr>
          <w:rFonts w:ascii="仿宋" w:hAnsi="仿宋" w:eastAsia="仿宋"/>
          <w:b/>
          <w:sz w:val="32"/>
          <w:szCs w:val="32"/>
        </w:rPr>
        <w:sectPr>
          <w:pgSz w:w="16839" w:h="11907" w:orient="landscape"/>
          <w:pgMar w:top="1797" w:right="1440" w:bottom="1797" w:left="1440" w:header="851" w:footer="992" w:gutter="0"/>
          <w:cols w:space="425" w:num="1"/>
          <w:docGrid w:type="linesAndChars" w:linePitch="312" w:charSpace="0"/>
        </w:sectPr>
      </w:pPr>
    </w:p>
    <w:p>
      <w:pPr>
        <w:ind w:firstLine="712" w:firstLineChars="198"/>
        <w:outlineLvl w:val="0"/>
        <w:rPr>
          <w:rFonts w:ascii="黑体" w:hAnsi="黑体" w:eastAsia="黑体"/>
          <w:sz w:val="36"/>
          <w:szCs w:val="36"/>
        </w:rPr>
      </w:pPr>
      <w:bookmarkStart w:id="12" w:name="_Toc12880265"/>
      <w:bookmarkStart w:id="13" w:name="_Toc8978168"/>
      <w:r>
        <w:rPr>
          <w:rFonts w:hint="eastAsia" w:ascii="黑体" w:hAnsi="黑体" w:eastAsia="黑体"/>
          <w:sz w:val="36"/>
          <w:szCs w:val="36"/>
        </w:rPr>
        <w:t>三、建设内容</w:t>
      </w:r>
      <w:bookmarkEnd w:id="12"/>
      <w:bookmarkEnd w:id="13"/>
    </w:p>
    <w:p>
      <w:pPr>
        <w:ind w:firstLine="636" w:firstLineChars="198"/>
        <w:outlineLvl w:val="1"/>
        <w:rPr>
          <w:rFonts w:ascii="仿宋" w:hAnsi="仿宋" w:eastAsia="仿宋"/>
          <w:b/>
          <w:sz w:val="32"/>
          <w:szCs w:val="32"/>
        </w:rPr>
      </w:pPr>
      <w:bookmarkStart w:id="14" w:name="_Toc12880266"/>
      <w:r>
        <w:rPr>
          <w:rFonts w:hint="eastAsia" w:ascii="仿宋" w:hAnsi="仿宋" w:eastAsia="仿宋"/>
          <w:b/>
          <w:sz w:val="32"/>
          <w:szCs w:val="32"/>
        </w:rPr>
        <w:t>（一）</w:t>
      </w:r>
      <w:r>
        <w:rPr>
          <w:rFonts w:hint="eastAsia" w:ascii="仿宋" w:hAnsi="仿宋" w:eastAsia="仿宋"/>
          <w:b/>
          <w:bCs/>
          <w:sz w:val="32"/>
          <w:szCs w:val="32"/>
        </w:rPr>
        <w:t>基础共性标准</w:t>
      </w:r>
      <w:bookmarkEnd w:id="14"/>
    </w:p>
    <w:p>
      <w:pPr>
        <w:ind w:firstLine="640" w:firstLineChars="200"/>
        <w:rPr>
          <w:rFonts w:ascii="仿宋" w:hAnsi="仿宋" w:eastAsia="仿宋"/>
          <w:bCs/>
          <w:sz w:val="32"/>
          <w:szCs w:val="32"/>
        </w:rPr>
      </w:pPr>
      <w:r>
        <w:rPr>
          <w:rFonts w:hint="eastAsia" w:ascii="仿宋" w:hAnsi="仿宋" w:eastAsia="仿宋"/>
          <w:bCs/>
          <w:sz w:val="32"/>
          <w:szCs w:val="32"/>
        </w:rPr>
        <w:t>基础共性标准用于统一船舶智能制造相关概念，解决船舶智能制造基础共性问题，包括“通用标准”、“检测标准”、“评价标准”与“安全标准”，如图3所示。</w:t>
      </w:r>
    </w:p>
    <w:p>
      <w:pPr>
        <w:ind w:firstLine="420" w:firstLineChars="200"/>
        <w:jc w:val="center"/>
      </w:pPr>
      <w:r>
        <w:object>
          <v:shape id="_x0000_i1027" o:spt="75" type="#_x0000_t75" style="height:335.25pt;width:375pt;" o:ole="t" filled="f" o:preferrelative="t" stroked="f" coordsize="21600,21600">
            <v:path/>
            <v:fill on="f" focussize="0,0"/>
            <v:stroke on="f" joinstyle="miter"/>
            <v:imagedata r:id="rId13" o:title=""/>
            <o:lock v:ext="edit" aspectratio="t"/>
            <w10:wrap type="none"/>
            <w10:anchorlock/>
          </v:shape>
          <o:OLEObject Type="Embed" ProgID="Visio.Drawing.15" ShapeID="_x0000_i1027" DrawAspect="Content" ObjectID="_1468075727" r:id="rId12">
            <o:LockedField>false</o:LockedField>
          </o:OLEObject>
        </w:object>
      </w:r>
    </w:p>
    <w:p>
      <w:pPr>
        <w:jc w:val="center"/>
        <w:rPr>
          <w:rFonts w:ascii="黑体" w:hAnsi="黑体" w:eastAsia="黑体"/>
          <w:sz w:val="28"/>
          <w:szCs w:val="28"/>
        </w:rPr>
      </w:pPr>
      <w:r>
        <w:rPr>
          <w:rFonts w:hint="eastAsia" w:ascii="黑体" w:hAnsi="黑体" w:eastAsia="黑体"/>
          <w:sz w:val="28"/>
          <w:szCs w:val="28"/>
        </w:rPr>
        <w:t>图3</w:t>
      </w:r>
      <w:r>
        <w:rPr>
          <w:rFonts w:ascii="黑体" w:hAnsi="黑体" w:eastAsia="黑体"/>
          <w:sz w:val="28"/>
          <w:szCs w:val="28"/>
        </w:rPr>
        <w:t xml:space="preserve"> </w:t>
      </w:r>
      <w:r>
        <w:rPr>
          <w:rFonts w:hint="eastAsia" w:ascii="黑体" w:hAnsi="黑体" w:eastAsia="黑体"/>
          <w:sz w:val="28"/>
          <w:szCs w:val="28"/>
        </w:rPr>
        <w:t>基础共性标准子体系</w:t>
      </w:r>
    </w:p>
    <w:p>
      <w:pPr>
        <w:ind w:firstLine="640" w:firstLineChars="200"/>
        <w:outlineLvl w:val="2"/>
        <w:rPr>
          <w:rFonts w:ascii="仿宋" w:hAnsi="仿宋" w:eastAsia="仿宋"/>
          <w:bCs/>
          <w:sz w:val="32"/>
          <w:szCs w:val="32"/>
        </w:rPr>
      </w:pPr>
      <w:bookmarkStart w:id="15" w:name="_Toc12880267"/>
      <w:r>
        <w:rPr>
          <w:rFonts w:hint="eastAsia" w:ascii="仿宋" w:hAnsi="仿宋" w:eastAsia="仿宋"/>
          <w:bCs/>
          <w:sz w:val="32"/>
          <w:szCs w:val="32"/>
        </w:rPr>
        <w:t>1、通用标准</w:t>
      </w:r>
      <w:bookmarkEnd w:id="15"/>
    </w:p>
    <w:p>
      <w:pPr>
        <w:ind w:firstLine="640" w:firstLineChars="200"/>
        <w:rPr>
          <w:rFonts w:ascii="仿宋" w:hAnsi="仿宋" w:eastAsia="仿宋"/>
          <w:bCs/>
          <w:sz w:val="32"/>
          <w:szCs w:val="32"/>
        </w:rPr>
      </w:pPr>
      <w:r>
        <w:rPr>
          <w:rFonts w:hint="eastAsia" w:ascii="仿宋" w:hAnsi="仿宋" w:eastAsia="仿宋"/>
          <w:bCs/>
          <w:sz w:val="32"/>
          <w:szCs w:val="32"/>
        </w:rPr>
        <w:t>主要包括船舶智能制造术语、参考模型、标识与编码、元数据与数据字典标准等四个部分。术语标准用于对船舶智能制造相关术语、定义（或解释性说明）及所对应的英文名称等进行规定，说明其内涵或外延，统一相关概念。参考模型标准用于对船舶智能制造标准化实体或虚拟对象的形态结构、边界范围、层级关系和内在联系等属性进行规定。标识与编码标准用于对船舶智能制造中各类对象进行唯一标识与解析，建立既与船舶制造企业已有标识编码体系兼容，又能满足船舶智能制造发展要求的标识编码体系。元数据与数据字典标准用于对船舶智能制造产品设计、生产、流通等各环节所涉及的元数据命名、数据项、数据结构、数据类型、数据流、数据处理、数据储存、计算机应用等进行定义和描述，为船舶智能制造资源、信息和数据的系统集成、交互共享奠定基础。</w:t>
      </w:r>
    </w:p>
    <w:p>
      <w:pPr>
        <w:ind w:firstLine="640" w:firstLineChars="200"/>
        <w:outlineLvl w:val="2"/>
        <w:rPr>
          <w:rFonts w:ascii="仿宋" w:hAnsi="仿宋" w:eastAsia="仿宋"/>
          <w:bCs/>
          <w:sz w:val="32"/>
          <w:szCs w:val="32"/>
        </w:rPr>
      </w:pPr>
      <w:bookmarkStart w:id="16" w:name="_Toc12880268"/>
      <w:r>
        <w:rPr>
          <w:rFonts w:hint="eastAsia" w:ascii="仿宋" w:hAnsi="仿宋" w:eastAsia="仿宋"/>
          <w:bCs/>
          <w:sz w:val="32"/>
          <w:szCs w:val="32"/>
        </w:rPr>
        <w:t>2、检测标准</w:t>
      </w:r>
      <w:bookmarkEnd w:id="16"/>
    </w:p>
    <w:p>
      <w:pPr>
        <w:ind w:firstLine="640" w:firstLineChars="200"/>
        <w:rPr>
          <w:rFonts w:ascii="仿宋" w:hAnsi="仿宋" w:eastAsia="仿宋"/>
          <w:bCs/>
          <w:sz w:val="32"/>
          <w:szCs w:val="32"/>
        </w:rPr>
      </w:pPr>
      <w:r>
        <w:rPr>
          <w:rFonts w:hint="eastAsia" w:ascii="仿宋" w:hAnsi="仿宋" w:eastAsia="仿宋"/>
          <w:bCs/>
          <w:sz w:val="32"/>
          <w:szCs w:val="32"/>
        </w:rPr>
        <w:t>主要包括船舶智能制造检测项目、检测方法标准等两个部分。检测项目标准主要对船舶智能制造不同类型装备和系统的一致性、互联互通互操作、系统集成、综合能效等测试项目进行规定，用于指导装备和系统的科学检测与检测管理。检测方法标准主要对船舶智能制造装备和系统检测的准备、环境、内容、方式、程序、计算分析等进行规定，用于指导和规范装备及系统的检测流程与方法。</w:t>
      </w:r>
    </w:p>
    <w:p>
      <w:pPr>
        <w:ind w:firstLine="640" w:firstLineChars="200"/>
        <w:outlineLvl w:val="2"/>
        <w:rPr>
          <w:rFonts w:ascii="仿宋" w:hAnsi="仿宋" w:eastAsia="仿宋"/>
          <w:bCs/>
          <w:sz w:val="32"/>
          <w:szCs w:val="32"/>
        </w:rPr>
      </w:pPr>
      <w:bookmarkStart w:id="17" w:name="_Toc12880269"/>
      <w:r>
        <w:rPr>
          <w:rFonts w:hint="eastAsia" w:ascii="仿宋" w:hAnsi="仿宋" w:eastAsia="仿宋"/>
          <w:bCs/>
          <w:sz w:val="32"/>
          <w:szCs w:val="32"/>
        </w:rPr>
        <w:t>3、评价标准</w:t>
      </w:r>
      <w:bookmarkEnd w:id="17"/>
    </w:p>
    <w:p>
      <w:pPr>
        <w:ind w:firstLine="640" w:firstLineChars="200"/>
        <w:rPr>
          <w:rFonts w:ascii="仿宋" w:hAnsi="仿宋" w:eastAsia="仿宋"/>
          <w:bCs/>
          <w:sz w:val="32"/>
          <w:szCs w:val="32"/>
        </w:rPr>
      </w:pPr>
      <w:r>
        <w:rPr>
          <w:rFonts w:hint="eastAsia" w:ascii="仿宋" w:hAnsi="仿宋" w:eastAsia="仿宋"/>
          <w:bCs/>
          <w:sz w:val="32"/>
          <w:szCs w:val="32"/>
        </w:rPr>
        <w:t>主要包括船舶智能制造指标体系、能力要求、评估评价、实施指南等四个部分。指标体系标准主要对表征船舶智能制造各方面、各领域特性及其相互关联的多个指标所构成的有机整体进行规定，可为船舶智能制造各方面、各领域指标的设立、考核与评估提供依据。能力要求标准主要对船舶制造企业、车间或生产线等数字化、网络化、智能化制造能力等级以及各等级对应核心要素在制造资源感知与识别、互联互通、系统集成、综合管控等方面的能力要求进行规定，为企业识别技术与管理差距、确立改进目标、加快升级改造提供参考。评估评价标准主要对船舶智能制造指标、能力、水平的评价方法、评价过程、综合判定等进行规定，可为有关各方评估评价工作的开展提供指导依据。实施指南主要给出船舶智能制造相关一般性、原则性、方向性指导和建议，可为企业开展船舶智能制造相关活动提供方向性指导。</w:t>
      </w:r>
    </w:p>
    <w:p>
      <w:pPr>
        <w:ind w:firstLine="640" w:firstLineChars="200"/>
        <w:outlineLvl w:val="2"/>
        <w:rPr>
          <w:rFonts w:ascii="仿宋" w:hAnsi="仿宋" w:eastAsia="仿宋"/>
          <w:bCs/>
          <w:sz w:val="32"/>
          <w:szCs w:val="32"/>
        </w:rPr>
      </w:pPr>
      <w:bookmarkStart w:id="18" w:name="_Toc12880270"/>
      <w:r>
        <w:rPr>
          <w:rFonts w:hint="eastAsia" w:ascii="仿宋" w:hAnsi="仿宋" w:eastAsia="仿宋"/>
          <w:bCs/>
          <w:sz w:val="32"/>
          <w:szCs w:val="32"/>
        </w:rPr>
        <w:t>4、安全标准</w:t>
      </w:r>
      <w:bookmarkEnd w:id="18"/>
    </w:p>
    <w:p>
      <w:pPr>
        <w:ind w:firstLine="640" w:firstLineChars="200"/>
        <w:rPr>
          <w:rFonts w:ascii="仿宋" w:hAnsi="仿宋" w:eastAsia="仿宋"/>
          <w:bCs/>
          <w:sz w:val="32"/>
          <w:szCs w:val="32"/>
        </w:rPr>
      </w:pPr>
      <w:r>
        <w:rPr>
          <w:rFonts w:hint="eastAsia" w:ascii="仿宋" w:hAnsi="仿宋" w:eastAsia="仿宋"/>
          <w:bCs/>
          <w:sz w:val="32"/>
          <w:szCs w:val="32"/>
        </w:rPr>
        <w:t>主要包括船舶智能制造功能安全、信息安全、人因安全等三个部分。功能安全标准主要对功能安全要求、功能安全系统设计、功能安全测试与评估、功能安全管理等进行规定，用于保障控制系统在危险发生时能正确执行其安全功能，避免因设备故障或系统功能失效而导致生产事故。信息安全标准主要对船舶智能制造设备信息、网络信息、软件及数据的安全要求以及安全防护与评估方法等进行规定，用于保障船舶智能制造领域相关信息系统及其数据不被破坏、篡改和泄露，确保系统安全可靠运行。人因安全标准主要对船舶智能制造人员的工作任务、工作环境、人员能力、管理支持等要求进行规定，用于避免因人为因素造成安全隐患或威胁，保障人身安全，预防误操作。</w:t>
      </w:r>
    </w:p>
    <w:p>
      <w:pPr>
        <w:ind w:firstLine="642" w:firstLineChars="200"/>
        <w:outlineLvl w:val="1"/>
        <w:rPr>
          <w:rFonts w:ascii="仿宋" w:hAnsi="仿宋" w:eastAsia="仿宋"/>
          <w:b/>
          <w:bCs/>
          <w:sz w:val="32"/>
          <w:szCs w:val="32"/>
        </w:rPr>
      </w:pPr>
      <w:bookmarkStart w:id="19" w:name="_Toc12880271"/>
      <w:r>
        <w:rPr>
          <w:rFonts w:hint="eastAsia" w:ascii="仿宋" w:hAnsi="仿宋" w:eastAsia="仿宋"/>
          <w:b/>
          <w:bCs/>
          <w:sz w:val="32"/>
          <w:szCs w:val="32"/>
        </w:rPr>
        <w:t>（二）关键技术标准</w:t>
      </w:r>
      <w:bookmarkEnd w:id="19"/>
    </w:p>
    <w:p>
      <w:pPr>
        <w:ind w:firstLine="640" w:firstLineChars="200"/>
        <w:rPr>
          <w:rFonts w:ascii="仿宋" w:hAnsi="仿宋" w:eastAsia="仿宋"/>
          <w:bCs/>
          <w:sz w:val="32"/>
          <w:szCs w:val="32"/>
        </w:rPr>
      </w:pPr>
      <w:r>
        <w:rPr>
          <w:rFonts w:hint="eastAsia" w:ascii="仿宋" w:hAnsi="仿宋" w:eastAsia="仿宋"/>
          <w:bCs/>
          <w:sz w:val="32"/>
          <w:szCs w:val="32"/>
        </w:rPr>
        <w:t>关键技术标准主要包括“互联互通与系统集成”、“智能船厂”、“智能服务”、“新一代信息技术应用”等四个部分。</w:t>
      </w:r>
    </w:p>
    <w:p>
      <w:pPr>
        <w:ind w:firstLine="800" w:firstLineChars="250"/>
        <w:outlineLvl w:val="2"/>
        <w:rPr>
          <w:rFonts w:ascii="仿宋" w:hAnsi="仿宋" w:eastAsia="仿宋"/>
          <w:bCs/>
          <w:sz w:val="32"/>
          <w:szCs w:val="32"/>
        </w:rPr>
      </w:pPr>
      <w:bookmarkStart w:id="20" w:name="_Toc12880272"/>
      <w:r>
        <w:rPr>
          <w:rFonts w:hint="eastAsia" w:ascii="仿宋" w:hAnsi="仿宋" w:eastAsia="仿宋"/>
          <w:bCs/>
          <w:sz w:val="32"/>
          <w:szCs w:val="32"/>
        </w:rPr>
        <w:t>1、互联互通与系统集成</w:t>
      </w:r>
      <w:bookmarkEnd w:id="20"/>
      <w:r>
        <w:rPr>
          <w:rFonts w:hint="eastAsia" w:ascii="仿宋" w:hAnsi="仿宋" w:eastAsia="仿宋"/>
          <w:bCs/>
          <w:sz w:val="32"/>
          <w:szCs w:val="32"/>
        </w:rPr>
        <w:t>标准</w:t>
      </w:r>
    </w:p>
    <w:p>
      <w:pPr>
        <w:ind w:firstLine="640" w:firstLineChars="200"/>
        <w:rPr>
          <w:rFonts w:ascii="仿宋" w:hAnsi="仿宋" w:eastAsia="仿宋"/>
          <w:bCs/>
          <w:sz w:val="32"/>
          <w:szCs w:val="32"/>
        </w:rPr>
      </w:pPr>
      <w:r>
        <w:rPr>
          <w:rFonts w:hint="eastAsia" w:ascii="仿宋" w:hAnsi="仿宋" w:eastAsia="仿宋"/>
          <w:bCs/>
          <w:sz w:val="32"/>
          <w:szCs w:val="32"/>
        </w:rPr>
        <w:t>主要包括全厂通信网络架构、各系统间的接口规范、知识管理、工业APP等四个部分，如图4所示。</w:t>
      </w:r>
    </w:p>
    <w:p>
      <w:pPr>
        <w:jc w:val="center"/>
        <w:rPr>
          <w:rFonts w:ascii="仿宋" w:hAnsi="仿宋" w:eastAsia="仿宋"/>
          <w:bCs/>
          <w:sz w:val="32"/>
          <w:szCs w:val="32"/>
        </w:rPr>
      </w:pPr>
      <w:r>
        <w:object>
          <v:shape id="_x0000_i1028" o:spt="75" type="#_x0000_t75" style="height:387pt;width:315.75pt;" o:ole="t" filled="f" o:preferrelative="t" stroked="f" coordsize="21600,21600">
            <v:path/>
            <v:fill on="f" focussize="0,0"/>
            <v:stroke on="f" joinstyle="miter"/>
            <v:imagedata r:id="rId15" o:title=""/>
            <o:lock v:ext="edit" aspectratio="t"/>
            <w10:wrap type="none"/>
            <w10:anchorlock/>
          </v:shape>
          <o:OLEObject Type="Embed" ProgID="Visio.Drawing.15" ShapeID="_x0000_i1028" DrawAspect="Content" ObjectID="_1468075728" r:id="rId14">
            <o:LockedField>false</o:LockedField>
          </o:OLEObject>
        </w:object>
      </w:r>
    </w:p>
    <w:p>
      <w:pPr>
        <w:jc w:val="center"/>
        <w:rPr>
          <w:rFonts w:ascii="黑体" w:hAnsi="黑体" w:eastAsia="黑体"/>
          <w:sz w:val="28"/>
          <w:szCs w:val="28"/>
        </w:rPr>
      </w:pPr>
      <w:r>
        <w:rPr>
          <w:rFonts w:hint="eastAsia" w:ascii="黑体" w:hAnsi="黑体" w:eastAsia="黑体"/>
          <w:sz w:val="28"/>
          <w:szCs w:val="28"/>
        </w:rPr>
        <w:t>图4</w:t>
      </w:r>
      <w:r>
        <w:rPr>
          <w:rFonts w:ascii="黑体" w:hAnsi="黑体" w:eastAsia="黑体"/>
          <w:sz w:val="28"/>
          <w:szCs w:val="28"/>
        </w:rPr>
        <w:t xml:space="preserve"> </w:t>
      </w:r>
      <w:r>
        <w:rPr>
          <w:rFonts w:hint="eastAsia" w:ascii="黑体" w:hAnsi="黑体" w:eastAsia="黑体"/>
          <w:sz w:val="28"/>
          <w:szCs w:val="28"/>
        </w:rPr>
        <w:t>互联互通与系统集成子体系</w:t>
      </w:r>
    </w:p>
    <w:p>
      <w:pPr>
        <w:ind w:firstLine="640" w:firstLineChars="200"/>
        <w:outlineLvl w:val="3"/>
        <w:rPr>
          <w:rFonts w:ascii="仿宋" w:hAnsi="仿宋" w:eastAsia="仿宋"/>
          <w:bCs/>
          <w:sz w:val="32"/>
          <w:szCs w:val="32"/>
        </w:rPr>
      </w:pPr>
      <w:r>
        <w:rPr>
          <w:rFonts w:hint="eastAsia" w:ascii="仿宋" w:hAnsi="仿宋" w:eastAsia="仿宋"/>
          <w:bCs/>
          <w:sz w:val="32"/>
          <w:szCs w:val="32"/>
        </w:rPr>
        <w:t>（1</w:t>
      </w:r>
      <w:r>
        <w:rPr>
          <w:rFonts w:ascii="仿宋" w:hAnsi="仿宋" w:eastAsia="仿宋"/>
          <w:bCs/>
          <w:sz w:val="32"/>
          <w:szCs w:val="32"/>
        </w:rPr>
        <w:t>）</w:t>
      </w:r>
      <w:r>
        <w:rPr>
          <w:rFonts w:hint="eastAsia" w:ascii="仿宋" w:hAnsi="仿宋" w:eastAsia="仿宋"/>
          <w:bCs/>
          <w:sz w:val="32"/>
          <w:szCs w:val="32"/>
        </w:rPr>
        <w:t>全厂通信网络架构标准</w:t>
      </w:r>
    </w:p>
    <w:p>
      <w:pPr>
        <w:ind w:firstLine="640" w:firstLineChars="200"/>
        <w:rPr>
          <w:rFonts w:ascii="仿宋" w:hAnsi="仿宋" w:eastAsia="仿宋"/>
          <w:bCs/>
          <w:sz w:val="32"/>
          <w:szCs w:val="32"/>
        </w:rPr>
      </w:pPr>
      <w:r>
        <w:rPr>
          <w:rFonts w:hint="eastAsia" w:ascii="仿宋" w:hAnsi="仿宋" w:eastAsia="仿宋"/>
          <w:bCs/>
          <w:sz w:val="32"/>
          <w:szCs w:val="32"/>
        </w:rPr>
        <w:t>主要包括船厂内部各层级网络互联、船厂外部网络互联、生产车间网络互联、生产设备网络互联等标准，主要用于规范和指导构建贯穿全厂各层级的厂内网络和厂外网络，实现建造全过程信息追踪和管理，满足全厂内部智能化、网络化以及与外部交换需求。</w:t>
      </w:r>
    </w:p>
    <w:p>
      <w:pPr>
        <w:ind w:firstLine="640" w:firstLineChars="200"/>
        <w:outlineLvl w:val="3"/>
        <w:rPr>
          <w:rFonts w:ascii="仿宋" w:hAnsi="仿宋" w:eastAsia="仿宋"/>
          <w:bCs/>
          <w:sz w:val="32"/>
          <w:szCs w:val="32"/>
        </w:rPr>
      </w:pPr>
      <w:r>
        <w:rPr>
          <w:rFonts w:hint="eastAsia" w:ascii="仿宋" w:hAnsi="仿宋" w:eastAsia="仿宋"/>
          <w:bCs/>
          <w:sz w:val="32"/>
          <w:szCs w:val="32"/>
        </w:rPr>
        <w:t>（2）各系统间的接口规范</w:t>
      </w:r>
    </w:p>
    <w:p>
      <w:pPr>
        <w:ind w:firstLine="640" w:firstLineChars="200"/>
        <w:rPr>
          <w:rFonts w:ascii="仿宋" w:hAnsi="仿宋" w:eastAsia="仿宋"/>
          <w:bCs/>
          <w:sz w:val="32"/>
          <w:szCs w:val="32"/>
        </w:rPr>
      </w:pPr>
      <w:r>
        <w:rPr>
          <w:rFonts w:hint="eastAsia" w:ascii="仿宋" w:hAnsi="仿宋" w:eastAsia="仿宋"/>
          <w:bCs/>
          <w:sz w:val="32"/>
          <w:szCs w:val="32"/>
        </w:rPr>
        <w:t>主要包括船厂信息系统间交互、生产车间信息交互、生产设备间信息等模型标准，主要用于实现设计信息系统、企业管理信息系统、物流系统、制造执行系统等信息系统之间的信息流交互；零部件制造车间、中小组立车间、分段制造车间、涂装车间、管加工车间、舾装件车间等数字化车间信息交互；切割、焊接、打磨、涂装等船舶制造过程中智能装备信息模型统一。</w:t>
      </w:r>
    </w:p>
    <w:p>
      <w:pPr>
        <w:ind w:firstLine="640" w:firstLineChars="200"/>
        <w:outlineLvl w:val="3"/>
        <w:rPr>
          <w:rFonts w:ascii="仿宋" w:hAnsi="仿宋" w:eastAsia="仿宋"/>
          <w:bCs/>
          <w:sz w:val="32"/>
          <w:szCs w:val="32"/>
        </w:rPr>
      </w:pPr>
      <w:r>
        <w:rPr>
          <w:rFonts w:hint="eastAsia" w:ascii="仿宋" w:hAnsi="仿宋" w:eastAsia="仿宋"/>
          <w:bCs/>
          <w:sz w:val="32"/>
          <w:szCs w:val="32"/>
        </w:rPr>
        <w:t>（3）知识管理标准</w:t>
      </w:r>
    </w:p>
    <w:p>
      <w:pPr>
        <w:ind w:firstLine="640" w:firstLineChars="200"/>
        <w:rPr>
          <w:rFonts w:ascii="仿宋" w:hAnsi="仿宋" w:eastAsia="仿宋"/>
          <w:bCs/>
          <w:sz w:val="32"/>
          <w:szCs w:val="32"/>
        </w:rPr>
      </w:pPr>
      <w:r>
        <w:rPr>
          <w:rFonts w:hint="eastAsia" w:ascii="仿宋" w:hAnsi="仿宋" w:eastAsia="仿宋"/>
          <w:bCs/>
          <w:sz w:val="32"/>
          <w:szCs w:val="32"/>
        </w:rPr>
        <w:t>主要包括船厂知识的产生、储存、调用过程标准，主要用于规范船厂知识管理，实现各生产系统产生知识信息的完整、有序储存和快速、准确调用等功能。</w:t>
      </w:r>
    </w:p>
    <w:p>
      <w:pPr>
        <w:ind w:firstLine="640" w:firstLineChars="200"/>
        <w:rPr>
          <w:rFonts w:ascii="仿宋" w:hAnsi="仿宋" w:eastAsia="仿宋"/>
          <w:bCs/>
          <w:sz w:val="32"/>
          <w:szCs w:val="32"/>
        </w:rPr>
      </w:pPr>
      <w:r>
        <w:rPr>
          <w:rFonts w:hint="eastAsia" w:ascii="仿宋" w:hAnsi="仿宋" w:eastAsia="仿宋"/>
          <w:bCs/>
          <w:sz w:val="32"/>
          <w:szCs w:val="32"/>
        </w:rPr>
        <w:t>（4）工业APP标准</w:t>
      </w:r>
    </w:p>
    <w:p>
      <w:pPr>
        <w:ind w:firstLine="640" w:firstLineChars="200"/>
        <w:rPr>
          <w:rFonts w:ascii="仿宋" w:hAnsi="仿宋" w:eastAsia="仿宋"/>
          <w:bCs/>
          <w:sz w:val="32"/>
          <w:szCs w:val="32"/>
        </w:rPr>
      </w:pPr>
      <w:r>
        <w:rPr>
          <w:rFonts w:hint="eastAsia" w:ascii="仿宋" w:hAnsi="仿宋" w:eastAsia="仿宋"/>
          <w:bCs/>
          <w:sz w:val="32"/>
          <w:szCs w:val="32"/>
        </w:rPr>
        <w:t>主要包括工业APP的功能、权限以及与工厂设备的信息交互方式、与内外网的信息交互安全等标准，主要用于规范工业APP的开发过程和质量要求，确保数据通讯的及时性、功能多样性、网络信息的安全性，以及APP本身的可靠性。</w:t>
      </w:r>
    </w:p>
    <w:p>
      <w:pPr>
        <w:ind w:left="640"/>
        <w:outlineLvl w:val="2"/>
        <w:rPr>
          <w:rFonts w:ascii="仿宋" w:hAnsi="仿宋" w:eastAsia="仿宋"/>
          <w:bCs/>
          <w:sz w:val="32"/>
          <w:szCs w:val="32"/>
        </w:rPr>
      </w:pPr>
      <w:bookmarkStart w:id="21" w:name="_Toc12880273"/>
      <w:r>
        <w:rPr>
          <w:rFonts w:hint="eastAsia" w:ascii="仿宋" w:hAnsi="仿宋" w:eastAsia="仿宋"/>
          <w:bCs/>
          <w:sz w:val="32"/>
          <w:szCs w:val="32"/>
        </w:rPr>
        <w:t>2、智能船厂</w:t>
      </w:r>
      <w:bookmarkEnd w:id="21"/>
      <w:r>
        <w:rPr>
          <w:rFonts w:hint="eastAsia" w:ascii="仿宋" w:hAnsi="仿宋" w:eastAsia="仿宋"/>
          <w:bCs/>
          <w:sz w:val="32"/>
          <w:szCs w:val="32"/>
        </w:rPr>
        <w:t>标准</w:t>
      </w:r>
    </w:p>
    <w:p>
      <w:pPr>
        <w:ind w:firstLine="640" w:firstLineChars="200"/>
        <w:rPr>
          <w:rFonts w:ascii="仿宋" w:hAnsi="仿宋" w:eastAsia="仿宋"/>
          <w:bCs/>
          <w:sz w:val="32"/>
          <w:szCs w:val="32"/>
        </w:rPr>
      </w:pPr>
      <w:r>
        <w:rPr>
          <w:rFonts w:hint="eastAsia" w:ascii="仿宋" w:hAnsi="仿宋" w:eastAsia="仿宋"/>
          <w:bCs/>
          <w:sz w:val="32"/>
          <w:szCs w:val="32"/>
        </w:rPr>
        <w:t>主要包括智能船厂总体规划、设计、工艺、装备、物流、管理等六部分，如图5所示。</w:t>
      </w:r>
    </w:p>
    <w:p>
      <w:pPr>
        <w:jc w:val="center"/>
      </w:pPr>
      <w:r>
        <w:object>
          <v:shape id="_x0000_i1029" o:spt="75" type="#_x0000_t75" style="height:441pt;width:385.5pt;" o:ole="t" filled="f" o:preferrelative="t" stroked="f" coordsize="21600,21600">
            <v:path/>
            <v:fill on="f" focussize="0,0"/>
            <v:stroke on="f" joinstyle="miter"/>
            <v:imagedata r:id="rId17" o:title=""/>
            <o:lock v:ext="edit" aspectratio="t"/>
            <w10:wrap type="none"/>
            <w10:anchorlock/>
          </v:shape>
          <o:OLEObject Type="Embed" ProgID="Visio.Drawing.15" ShapeID="_x0000_i1029" DrawAspect="Content" ObjectID="_1468075729" r:id="rId16">
            <o:LockedField>false</o:LockedField>
          </o:OLEObject>
        </w:object>
      </w:r>
    </w:p>
    <w:p>
      <w:pPr>
        <w:jc w:val="center"/>
        <w:rPr>
          <w:rFonts w:ascii="黑体" w:hAnsi="黑体" w:eastAsia="黑体"/>
          <w:sz w:val="28"/>
          <w:szCs w:val="28"/>
        </w:rPr>
      </w:pPr>
      <w:r>
        <w:rPr>
          <w:rFonts w:hint="eastAsia" w:ascii="黑体" w:hAnsi="黑体" w:eastAsia="黑体"/>
          <w:sz w:val="28"/>
          <w:szCs w:val="28"/>
        </w:rPr>
        <w:t>图5</w:t>
      </w:r>
      <w:r>
        <w:rPr>
          <w:rFonts w:ascii="黑体" w:hAnsi="黑体" w:eastAsia="黑体"/>
          <w:sz w:val="28"/>
          <w:szCs w:val="28"/>
        </w:rPr>
        <w:t xml:space="preserve"> </w:t>
      </w:r>
      <w:r>
        <w:rPr>
          <w:rFonts w:hint="eastAsia" w:ascii="黑体" w:hAnsi="黑体" w:eastAsia="黑体"/>
          <w:sz w:val="28"/>
          <w:szCs w:val="28"/>
        </w:rPr>
        <w:t>智能船厂标准子体系</w:t>
      </w:r>
    </w:p>
    <w:p>
      <w:pPr>
        <w:ind w:firstLine="640" w:firstLineChars="200"/>
        <w:outlineLvl w:val="3"/>
        <w:rPr>
          <w:rFonts w:ascii="仿宋" w:hAnsi="仿宋" w:eastAsia="仿宋"/>
          <w:bCs/>
          <w:sz w:val="32"/>
          <w:szCs w:val="32"/>
        </w:rPr>
      </w:pPr>
      <w:r>
        <w:rPr>
          <w:rFonts w:hint="eastAsia" w:ascii="仿宋" w:hAnsi="仿宋" w:eastAsia="仿宋"/>
          <w:bCs/>
          <w:sz w:val="32"/>
          <w:szCs w:val="32"/>
        </w:rPr>
        <w:t>（1</w:t>
      </w:r>
      <w:r>
        <w:rPr>
          <w:rFonts w:ascii="仿宋" w:hAnsi="仿宋" w:eastAsia="仿宋"/>
          <w:bCs/>
          <w:sz w:val="32"/>
          <w:szCs w:val="32"/>
        </w:rPr>
        <w:t>）</w:t>
      </w:r>
      <w:r>
        <w:rPr>
          <w:rFonts w:hint="eastAsia" w:ascii="仿宋" w:hAnsi="仿宋" w:eastAsia="仿宋"/>
          <w:bCs/>
          <w:sz w:val="32"/>
          <w:szCs w:val="32"/>
        </w:rPr>
        <w:t>总体规划标准</w:t>
      </w:r>
    </w:p>
    <w:p>
      <w:pPr>
        <w:ind w:firstLine="640" w:firstLineChars="200"/>
        <w:rPr>
          <w:rFonts w:ascii="仿宋" w:hAnsi="仿宋" w:eastAsia="仿宋"/>
          <w:bCs/>
          <w:sz w:val="32"/>
          <w:szCs w:val="32"/>
        </w:rPr>
      </w:pPr>
      <w:r>
        <w:rPr>
          <w:rFonts w:hint="eastAsia" w:ascii="仿宋" w:hAnsi="仿宋" w:eastAsia="仿宋"/>
          <w:bCs/>
          <w:sz w:val="32"/>
          <w:szCs w:val="32"/>
        </w:rPr>
        <w:t>主要包括智能船厂的基本功能、工艺设计、系统架构等实体工厂规划设计标准；三维工厂信息模型、虚拟工厂仿真设计、虚实结合系统平台、虚拟工厂规划设计等工厂布局建模与仿真标准。主要用于规定智能船厂规划设计、工厂布局建模与仿真，确保智能船厂的数字化、网络化和智能化水平。</w:t>
      </w:r>
    </w:p>
    <w:p>
      <w:pPr>
        <w:ind w:firstLine="640" w:firstLineChars="200"/>
        <w:rPr>
          <w:rFonts w:ascii="仿宋" w:hAnsi="仿宋" w:eastAsia="仿宋"/>
          <w:bCs/>
          <w:sz w:val="32"/>
          <w:szCs w:val="32"/>
        </w:rPr>
      </w:pPr>
      <w:bookmarkStart w:id="22" w:name="_Toc8978193"/>
      <w:r>
        <w:rPr>
          <w:rFonts w:hint="eastAsia" w:ascii="仿宋" w:hAnsi="仿宋" w:eastAsia="仿宋"/>
          <w:bCs/>
          <w:sz w:val="32"/>
          <w:szCs w:val="32"/>
        </w:rPr>
        <w:t>（2）设计标准</w:t>
      </w:r>
    </w:p>
    <w:bookmarkEnd w:id="22"/>
    <w:p>
      <w:pPr>
        <w:ind w:firstLine="640" w:firstLineChars="200"/>
        <w:rPr>
          <w:rFonts w:ascii="仿宋" w:hAnsi="仿宋" w:eastAsia="仿宋"/>
          <w:bCs/>
          <w:sz w:val="32"/>
          <w:szCs w:val="32"/>
        </w:rPr>
      </w:pPr>
      <w:r>
        <w:rPr>
          <w:rFonts w:hint="eastAsia" w:ascii="仿宋" w:hAnsi="仿宋" w:eastAsia="仿宋"/>
          <w:bCs/>
          <w:sz w:val="32"/>
          <w:szCs w:val="32"/>
        </w:rPr>
        <w:t>主要包括模型命名、模型定义与分类、模型构建、模型输出等船舶三维模型设计标准；船舶产品数据的组织、集成、管理等船舶产品数据标准；船舶产品并行设计、厂所协同设计、数据协同共享等船舶并行协同设计标准；船舶产品设计相关项目管理、计划管理、质量管理、文件管理等船舶设计管理标准。主要用于规范和指导船舶三维模型设计技术要求，并行协调设计数据共享，实现数字模型对设计全周期的管理。</w:t>
      </w:r>
    </w:p>
    <w:p>
      <w:pPr>
        <w:ind w:firstLine="640" w:firstLineChars="200"/>
        <w:rPr>
          <w:rFonts w:ascii="仿宋" w:hAnsi="仿宋" w:eastAsia="仿宋"/>
          <w:bCs/>
          <w:sz w:val="32"/>
          <w:szCs w:val="32"/>
        </w:rPr>
      </w:pPr>
      <w:r>
        <w:rPr>
          <w:rFonts w:hint="eastAsia" w:ascii="仿宋" w:hAnsi="仿宋" w:eastAsia="仿宋"/>
          <w:bCs/>
          <w:sz w:val="32"/>
          <w:szCs w:val="32"/>
        </w:rPr>
        <w:t>（3）工艺标准</w:t>
      </w:r>
    </w:p>
    <w:p>
      <w:pPr>
        <w:ind w:firstLine="640" w:firstLineChars="200"/>
        <w:rPr>
          <w:rFonts w:ascii="仿宋" w:hAnsi="仿宋" w:eastAsia="仿宋"/>
          <w:bCs/>
          <w:sz w:val="32"/>
          <w:szCs w:val="32"/>
        </w:rPr>
      </w:pPr>
      <w:r>
        <w:rPr>
          <w:rFonts w:hint="eastAsia" w:ascii="仿宋" w:hAnsi="仿宋" w:eastAsia="仿宋"/>
          <w:bCs/>
          <w:sz w:val="32"/>
          <w:szCs w:val="32"/>
        </w:rPr>
        <w:t>主要包括建造过程工艺仿真、面向现场作业的三维作业指导书编制等数字化工艺设计完整性标准；面向智能制造的钢材预处理工艺、船体构件切割和成形工艺、中小组立焊接工艺、船体分段涂装工艺、船舶分段搭载工艺、船舶总段合拢工艺、船体结构件装配工艺、管子装配焊接工艺、舾装件安装工艺、数字化精度控制、数字化检测工艺等数字化建造工艺标准；工艺知识建模、工艺知识数据库设计、工艺知识信息管理、工艺知识信息集成、工艺知识系统决策评价等工艺设计全过程管理标准。主要用于规范和指导船舶建造过程中数字化工艺设计、数字化建造工艺，实现工艺知识建模、收集、集成和应用全过程管理。</w:t>
      </w:r>
    </w:p>
    <w:p>
      <w:pPr>
        <w:ind w:firstLine="640" w:firstLineChars="200"/>
        <w:rPr>
          <w:rFonts w:ascii="仿宋" w:hAnsi="仿宋" w:eastAsia="仿宋"/>
          <w:bCs/>
          <w:sz w:val="32"/>
          <w:szCs w:val="32"/>
        </w:rPr>
      </w:pPr>
      <w:bookmarkStart w:id="23" w:name="_Toc8978195"/>
      <w:r>
        <w:rPr>
          <w:rFonts w:hint="eastAsia" w:ascii="仿宋" w:hAnsi="仿宋" w:eastAsia="仿宋"/>
          <w:bCs/>
          <w:sz w:val="32"/>
          <w:szCs w:val="32"/>
        </w:rPr>
        <w:t>（4</w:t>
      </w:r>
      <w:r>
        <w:rPr>
          <w:rFonts w:ascii="仿宋" w:hAnsi="仿宋" w:eastAsia="仿宋"/>
          <w:bCs/>
          <w:sz w:val="32"/>
          <w:szCs w:val="32"/>
        </w:rPr>
        <w:t>）</w:t>
      </w:r>
      <w:r>
        <w:rPr>
          <w:rFonts w:hint="eastAsia" w:ascii="仿宋" w:hAnsi="仿宋" w:eastAsia="仿宋"/>
          <w:bCs/>
          <w:sz w:val="32"/>
          <w:szCs w:val="32"/>
        </w:rPr>
        <w:t>装备</w:t>
      </w:r>
      <w:bookmarkEnd w:id="23"/>
      <w:r>
        <w:rPr>
          <w:rFonts w:hint="eastAsia" w:ascii="仿宋" w:hAnsi="仿宋" w:eastAsia="仿宋"/>
          <w:bCs/>
          <w:sz w:val="32"/>
          <w:szCs w:val="32"/>
        </w:rPr>
        <w:t>标准</w:t>
      </w:r>
    </w:p>
    <w:p>
      <w:pPr>
        <w:ind w:firstLine="640" w:firstLineChars="200"/>
        <w:rPr>
          <w:rFonts w:ascii="仿宋" w:hAnsi="仿宋" w:eastAsia="仿宋"/>
          <w:bCs/>
          <w:sz w:val="32"/>
          <w:szCs w:val="32"/>
        </w:rPr>
      </w:pPr>
      <w:r>
        <w:rPr>
          <w:rFonts w:hint="eastAsia" w:ascii="仿宋" w:hAnsi="仿宋" w:eastAsia="仿宋"/>
          <w:bCs/>
          <w:sz w:val="32"/>
          <w:szCs w:val="32"/>
        </w:rPr>
        <w:t>主要包括控制方法、数据采集及存储、人机界面的可视化、通信、柔性化、智能化等通用技术以及控制设备集成、时钟同步、系统互联等集成技术的装备控制系统标准；船舶制造智能装备的数据格式、通信协议、通信接口、通信架构、控制语义等通信技术，编程和用户接口、编程系统和机器人控制间的接口等装备接口标准；切割、焊接、打磨、涂装等船舶制造过程中智能装备与人、智能装备与智能装备、智能装备与生产环境间的协同应用标准。主要用于指导和规范船舶智能制造装备设计、研制和应用，解决船舶智能制造过程中智能装备之间、智能装备与其他系统接口、集成和互联互通，以及与人、装备之间、与生产环境协同应用的问题。</w:t>
      </w:r>
    </w:p>
    <w:p>
      <w:pPr>
        <w:ind w:firstLine="640" w:firstLineChars="200"/>
        <w:rPr>
          <w:rFonts w:ascii="仿宋" w:hAnsi="仿宋" w:eastAsia="仿宋"/>
          <w:bCs/>
          <w:sz w:val="32"/>
          <w:szCs w:val="32"/>
        </w:rPr>
      </w:pPr>
      <w:bookmarkStart w:id="24" w:name="_Toc8978196"/>
      <w:r>
        <w:rPr>
          <w:rFonts w:hint="eastAsia" w:ascii="仿宋" w:hAnsi="仿宋" w:eastAsia="仿宋"/>
          <w:bCs/>
          <w:sz w:val="32"/>
          <w:szCs w:val="32"/>
        </w:rPr>
        <w:t>（5</w:t>
      </w:r>
      <w:r>
        <w:rPr>
          <w:rFonts w:ascii="仿宋" w:hAnsi="仿宋" w:eastAsia="仿宋"/>
          <w:bCs/>
          <w:sz w:val="32"/>
          <w:szCs w:val="32"/>
        </w:rPr>
        <w:t>）</w:t>
      </w:r>
      <w:r>
        <w:rPr>
          <w:rFonts w:hint="eastAsia" w:ascii="仿宋" w:hAnsi="仿宋" w:eastAsia="仿宋"/>
          <w:bCs/>
          <w:sz w:val="32"/>
          <w:szCs w:val="32"/>
        </w:rPr>
        <w:t>物流</w:t>
      </w:r>
      <w:bookmarkEnd w:id="24"/>
      <w:r>
        <w:rPr>
          <w:rFonts w:hint="eastAsia" w:ascii="仿宋" w:hAnsi="仿宋" w:eastAsia="仿宋"/>
          <w:bCs/>
          <w:sz w:val="32"/>
          <w:szCs w:val="32"/>
        </w:rPr>
        <w:t>标准</w:t>
      </w:r>
    </w:p>
    <w:p>
      <w:pPr>
        <w:ind w:firstLine="640" w:firstLineChars="200"/>
        <w:rPr>
          <w:rFonts w:ascii="仿宋" w:hAnsi="仿宋" w:eastAsia="仿宋"/>
          <w:bCs/>
          <w:sz w:val="32"/>
          <w:szCs w:val="32"/>
        </w:rPr>
      </w:pPr>
      <w:r>
        <w:rPr>
          <w:rFonts w:hint="eastAsia" w:ascii="仿宋" w:hAnsi="仿宋" w:eastAsia="仿宋"/>
          <w:bCs/>
          <w:sz w:val="32"/>
          <w:szCs w:val="32"/>
        </w:rPr>
        <w:t>主要包括船舶总装建造重要设施设备全生命周期身份识别与信息追踪的船舶制造全过程标识系统标准；船舶制造过程中适应大件物料多、钢板屏蔽、环境多变等特点的物料定位技术标准；物料存储输送过程中建模仿真、信息识别、状态监控、作业管理、优化调度等智能仓储与配送标准。主要用于规范智能制造环境下船厂物流各环节准确定位及跟踪，指导智能物流系统的设计与开发，保证物料仓储与配送准确高效。</w:t>
      </w:r>
    </w:p>
    <w:p>
      <w:pPr>
        <w:ind w:firstLine="640" w:firstLineChars="200"/>
        <w:rPr>
          <w:rFonts w:ascii="仿宋" w:hAnsi="仿宋" w:eastAsia="仿宋"/>
          <w:bCs/>
          <w:sz w:val="32"/>
          <w:szCs w:val="32"/>
        </w:rPr>
      </w:pPr>
      <w:bookmarkStart w:id="25" w:name="_Toc12880274"/>
      <w:bookmarkStart w:id="26" w:name="_Toc8978200"/>
      <w:r>
        <w:rPr>
          <w:rFonts w:hint="eastAsia" w:ascii="仿宋" w:hAnsi="仿宋" w:eastAsia="仿宋"/>
          <w:bCs/>
          <w:sz w:val="32"/>
          <w:szCs w:val="32"/>
        </w:rPr>
        <w:t>（6）管理标准</w:t>
      </w:r>
    </w:p>
    <w:p>
      <w:pPr>
        <w:ind w:firstLine="640" w:firstLineChars="200"/>
        <w:rPr>
          <w:rFonts w:ascii="仿宋" w:hAnsi="仿宋" w:eastAsia="仿宋"/>
          <w:bCs/>
          <w:sz w:val="32"/>
          <w:szCs w:val="32"/>
        </w:rPr>
      </w:pPr>
      <w:r>
        <w:rPr>
          <w:rFonts w:hint="eastAsia" w:ascii="仿宋" w:hAnsi="仿宋" w:eastAsia="仿宋"/>
          <w:bCs/>
          <w:sz w:val="32"/>
          <w:szCs w:val="32"/>
        </w:rPr>
        <w:t>主要包括制造资源、生产场地、关键装备、生产工艺建模与仿真等管理模型与仿真标准；生产资源可视化、生产工艺可视化、关键装备状态可视化的数字化运行和可视化标准。主要用于分析建造工艺的可行性、制造资源的合理性，校验生产物流的效率和关键制造装备的效能，对生产资源与生产过程进行数字化展现，以信息数字化及数据流动为主要特征，对生产资源、生产设备、生产设施以及生产过程进行精细、精准、敏捷、高效地管理。</w:t>
      </w:r>
    </w:p>
    <w:p>
      <w:pPr>
        <w:ind w:firstLine="640" w:firstLineChars="200"/>
        <w:outlineLvl w:val="2"/>
        <w:rPr>
          <w:rFonts w:ascii="仿宋" w:hAnsi="仿宋" w:eastAsia="仿宋"/>
          <w:bCs/>
          <w:sz w:val="32"/>
          <w:szCs w:val="32"/>
        </w:rPr>
      </w:pPr>
      <w:r>
        <w:rPr>
          <w:rFonts w:hint="eastAsia" w:ascii="仿宋" w:hAnsi="仿宋" w:eastAsia="仿宋"/>
          <w:bCs/>
          <w:sz w:val="32"/>
          <w:szCs w:val="32"/>
        </w:rPr>
        <w:t>3、智能服务</w:t>
      </w:r>
      <w:bookmarkEnd w:id="25"/>
      <w:r>
        <w:rPr>
          <w:rFonts w:hint="eastAsia" w:ascii="仿宋" w:hAnsi="仿宋" w:eastAsia="仿宋"/>
          <w:bCs/>
          <w:sz w:val="32"/>
          <w:szCs w:val="32"/>
        </w:rPr>
        <w:t>标准</w:t>
      </w:r>
    </w:p>
    <w:p>
      <w:pPr>
        <w:ind w:firstLine="640" w:firstLineChars="200"/>
        <w:rPr>
          <w:rFonts w:ascii="仿宋" w:hAnsi="仿宋" w:eastAsia="仿宋"/>
          <w:bCs/>
          <w:sz w:val="32"/>
          <w:szCs w:val="32"/>
        </w:rPr>
      </w:pPr>
      <w:r>
        <w:rPr>
          <w:rFonts w:hint="eastAsia" w:ascii="仿宋" w:hAnsi="仿宋" w:eastAsia="仿宋"/>
          <w:bCs/>
          <w:sz w:val="32"/>
          <w:szCs w:val="32"/>
        </w:rPr>
        <w:t>主要包括供应链协同标准、远程运维标准等两部分，如图6所示。</w:t>
      </w:r>
    </w:p>
    <w:p>
      <w:pPr>
        <w:ind w:firstLine="420" w:firstLineChars="200"/>
        <w:jc w:val="center"/>
      </w:pPr>
      <w:r>
        <w:object>
          <v:shape id="_x0000_i1030" o:spt="75" type="#_x0000_t75" style="height:360pt;width:229.5pt;" o:ole="t" filled="f" o:preferrelative="t" stroked="f" coordsize="21600,21600">
            <v:path/>
            <v:fill on="f" focussize="0,0"/>
            <v:stroke on="f" joinstyle="miter"/>
            <v:imagedata r:id="rId19" o:title=""/>
            <o:lock v:ext="edit" aspectratio="t"/>
            <w10:wrap type="none"/>
            <w10:anchorlock/>
          </v:shape>
          <o:OLEObject Type="Embed" ProgID="Visio.Drawing.15" ShapeID="_x0000_i1030" DrawAspect="Content" ObjectID="_1468075730" r:id="rId18">
            <o:LockedField>false</o:LockedField>
          </o:OLEObject>
        </w:object>
      </w:r>
    </w:p>
    <w:p>
      <w:pPr>
        <w:jc w:val="center"/>
        <w:rPr>
          <w:rFonts w:ascii="黑体" w:hAnsi="黑体" w:eastAsia="黑体"/>
          <w:sz w:val="28"/>
          <w:szCs w:val="28"/>
        </w:rPr>
      </w:pPr>
      <w:r>
        <w:rPr>
          <w:rFonts w:hint="eastAsia" w:ascii="黑体" w:hAnsi="黑体" w:eastAsia="黑体"/>
          <w:sz w:val="28"/>
          <w:szCs w:val="28"/>
        </w:rPr>
        <w:t>图6</w:t>
      </w:r>
      <w:r>
        <w:rPr>
          <w:rFonts w:ascii="黑体" w:hAnsi="黑体" w:eastAsia="黑体"/>
          <w:sz w:val="28"/>
          <w:szCs w:val="28"/>
        </w:rPr>
        <w:t xml:space="preserve"> </w:t>
      </w:r>
      <w:r>
        <w:rPr>
          <w:rFonts w:hint="eastAsia" w:ascii="黑体" w:hAnsi="黑体" w:eastAsia="黑体"/>
          <w:sz w:val="28"/>
          <w:szCs w:val="28"/>
        </w:rPr>
        <w:t>智能服务标准子体系</w:t>
      </w:r>
    </w:p>
    <w:p>
      <w:pPr>
        <w:ind w:firstLine="640" w:firstLineChars="200"/>
        <w:rPr>
          <w:rFonts w:ascii="仿宋" w:hAnsi="仿宋" w:eastAsia="仿宋"/>
          <w:bCs/>
          <w:sz w:val="32"/>
          <w:szCs w:val="32"/>
        </w:rPr>
      </w:pPr>
      <w:r>
        <w:rPr>
          <w:rFonts w:hint="eastAsia" w:ascii="仿宋" w:hAnsi="仿宋" w:eastAsia="仿宋"/>
          <w:bCs/>
          <w:sz w:val="32"/>
          <w:szCs w:val="32"/>
        </w:rPr>
        <w:t>（1</w:t>
      </w:r>
      <w:r>
        <w:rPr>
          <w:rFonts w:ascii="仿宋" w:hAnsi="仿宋" w:eastAsia="仿宋"/>
          <w:bCs/>
          <w:sz w:val="32"/>
          <w:szCs w:val="32"/>
        </w:rPr>
        <w:t>）</w:t>
      </w:r>
      <w:r>
        <w:rPr>
          <w:rFonts w:hint="eastAsia" w:ascii="仿宋" w:hAnsi="仿宋" w:eastAsia="仿宋"/>
          <w:bCs/>
          <w:sz w:val="32"/>
          <w:szCs w:val="32"/>
        </w:rPr>
        <w:t>供应链协同标准</w:t>
      </w:r>
    </w:p>
    <w:p>
      <w:pPr>
        <w:ind w:firstLine="640" w:firstLineChars="200"/>
        <w:rPr>
          <w:rFonts w:ascii="仿宋" w:hAnsi="仿宋" w:eastAsia="仿宋"/>
          <w:bCs/>
          <w:sz w:val="32"/>
          <w:szCs w:val="32"/>
        </w:rPr>
      </w:pPr>
      <w:r>
        <w:rPr>
          <w:rFonts w:hint="eastAsia" w:ascii="仿宋" w:hAnsi="仿宋" w:eastAsia="仿宋"/>
          <w:bCs/>
          <w:sz w:val="32"/>
          <w:szCs w:val="32"/>
        </w:rPr>
        <w:t>主要包括平台通用要求、业务流程、资源优化与配置、交互流程等供应链协同标准。主要用于指导和规范船舶制造型企业建立并持续改进供应链协同管理平台，通过整合供应链各阶段资源、生产能力、服务能力等相关技术能力，实现供应链资源不断优化，为船舶制造供应链各企业提供供应链全程服务，进一步满足船舶行业供应链上下游物流管理、船舶分段制造等相关需求。</w:t>
      </w:r>
    </w:p>
    <w:p>
      <w:pPr>
        <w:ind w:firstLine="640" w:firstLineChars="200"/>
        <w:rPr>
          <w:rFonts w:ascii="仿宋" w:hAnsi="仿宋" w:eastAsia="仿宋"/>
          <w:bCs/>
          <w:sz w:val="32"/>
          <w:szCs w:val="32"/>
        </w:rPr>
      </w:pPr>
      <w:r>
        <w:rPr>
          <w:rFonts w:hint="eastAsia" w:ascii="仿宋" w:hAnsi="仿宋" w:eastAsia="仿宋"/>
          <w:bCs/>
          <w:sz w:val="32"/>
          <w:szCs w:val="32"/>
        </w:rPr>
        <w:t>（2</w:t>
      </w:r>
      <w:r>
        <w:rPr>
          <w:rFonts w:ascii="仿宋" w:hAnsi="仿宋" w:eastAsia="仿宋"/>
          <w:bCs/>
          <w:sz w:val="32"/>
          <w:szCs w:val="32"/>
        </w:rPr>
        <w:t>）</w:t>
      </w:r>
      <w:r>
        <w:rPr>
          <w:rFonts w:hint="eastAsia" w:ascii="仿宋" w:hAnsi="仿宋" w:eastAsia="仿宋"/>
          <w:bCs/>
          <w:sz w:val="32"/>
          <w:szCs w:val="32"/>
        </w:rPr>
        <w:t>远程运维标准</w:t>
      </w:r>
    </w:p>
    <w:p>
      <w:pPr>
        <w:ind w:firstLine="640" w:firstLineChars="200"/>
        <w:rPr>
          <w:rFonts w:ascii="仿宋" w:hAnsi="仿宋" w:eastAsia="仿宋"/>
          <w:bCs/>
          <w:sz w:val="32"/>
          <w:szCs w:val="32"/>
        </w:rPr>
      </w:pPr>
      <w:r>
        <w:rPr>
          <w:rFonts w:hint="eastAsia" w:ascii="仿宋" w:hAnsi="仿宋" w:eastAsia="仿宋"/>
          <w:bCs/>
          <w:sz w:val="32"/>
          <w:szCs w:val="32"/>
        </w:rPr>
        <w:t>主要包括船厂远程运维通用体系架构、接口要求、业务需求、知识库、状态监测、故障诊断等远程运维标准。主要用于指导船舶企业开展远程运维系统建设和管理，通过对船厂运行状态的远程监测和健康诊断，实现对船舶建造装备/系统快速、及时、正确诊断和维护。</w:t>
      </w:r>
    </w:p>
    <w:p>
      <w:pPr>
        <w:ind w:firstLine="640" w:firstLineChars="200"/>
        <w:outlineLvl w:val="2"/>
        <w:rPr>
          <w:rFonts w:ascii="仿宋" w:hAnsi="仿宋" w:eastAsia="仿宋"/>
          <w:bCs/>
          <w:sz w:val="32"/>
          <w:szCs w:val="32"/>
        </w:rPr>
      </w:pPr>
      <w:bookmarkStart w:id="27" w:name="_Toc12880275"/>
      <w:r>
        <w:rPr>
          <w:rFonts w:hint="eastAsia" w:ascii="仿宋" w:hAnsi="仿宋" w:eastAsia="仿宋"/>
          <w:bCs/>
          <w:sz w:val="32"/>
          <w:szCs w:val="32"/>
        </w:rPr>
        <w:t>4、新一代信息技术应用</w:t>
      </w:r>
      <w:bookmarkEnd w:id="27"/>
      <w:r>
        <w:rPr>
          <w:rFonts w:hint="eastAsia" w:ascii="仿宋" w:hAnsi="仿宋" w:eastAsia="仿宋"/>
          <w:bCs/>
          <w:sz w:val="32"/>
          <w:szCs w:val="32"/>
        </w:rPr>
        <w:t>标准</w:t>
      </w:r>
    </w:p>
    <w:bookmarkEnd w:id="26"/>
    <w:p>
      <w:pPr>
        <w:ind w:firstLine="640" w:firstLineChars="200"/>
        <w:rPr>
          <w:rFonts w:ascii="仿宋" w:hAnsi="仿宋" w:eastAsia="仿宋"/>
          <w:bCs/>
          <w:sz w:val="32"/>
          <w:szCs w:val="32"/>
        </w:rPr>
      </w:pPr>
      <w:r>
        <w:rPr>
          <w:rFonts w:hint="eastAsia" w:ascii="仿宋" w:hAnsi="仿宋" w:eastAsia="仿宋"/>
          <w:bCs/>
          <w:sz w:val="32"/>
          <w:szCs w:val="32"/>
        </w:rPr>
        <w:t>主要包括人工智能在船舶制造中的应用、AR/VR在船舶制造中的应用、边缘计算在船舶制造中的应用、5G应用等四部分，如图7所示。</w:t>
      </w:r>
    </w:p>
    <w:p>
      <w:pPr>
        <w:ind w:firstLine="420" w:firstLineChars="200"/>
        <w:jc w:val="center"/>
      </w:pPr>
      <w:r>
        <w:object>
          <v:shape id="_x0000_i1031" o:spt="75" type="#_x0000_t75" style="height:416.25pt;width:366pt;" o:ole="t" filled="f" o:preferrelative="t" stroked="f" coordsize="21600,21600">
            <v:path/>
            <v:fill on="f" focussize="0,0"/>
            <v:stroke on="f" joinstyle="miter"/>
            <v:imagedata r:id="rId21" o:title=""/>
            <o:lock v:ext="edit" aspectratio="t"/>
            <w10:wrap type="none"/>
            <w10:anchorlock/>
          </v:shape>
          <o:OLEObject Type="Embed" ProgID="Visio.Drawing.15" ShapeID="_x0000_i1031" DrawAspect="Content" ObjectID="_1468075731" r:id="rId20">
            <o:LockedField>false</o:LockedField>
          </o:OLEObject>
        </w:object>
      </w:r>
    </w:p>
    <w:p>
      <w:pPr>
        <w:jc w:val="center"/>
        <w:rPr>
          <w:rFonts w:ascii="黑体" w:hAnsi="黑体" w:eastAsia="黑体"/>
          <w:sz w:val="28"/>
          <w:szCs w:val="28"/>
        </w:rPr>
      </w:pPr>
      <w:r>
        <w:rPr>
          <w:rFonts w:hint="eastAsia" w:ascii="黑体" w:hAnsi="黑体" w:eastAsia="黑体"/>
          <w:sz w:val="28"/>
          <w:szCs w:val="28"/>
        </w:rPr>
        <w:t>图7</w:t>
      </w:r>
      <w:r>
        <w:rPr>
          <w:rFonts w:ascii="黑体" w:hAnsi="黑体" w:eastAsia="黑体"/>
          <w:sz w:val="28"/>
          <w:szCs w:val="28"/>
        </w:rPr>
        <w:t xml:space="preserve"> </w:t>
      </w:r>
      <w:r>
        <w:rPr>
          <w:rFonts w:hint="eastAsia" w:ascii="黑体" w:hAnsi="黑体" w:eastAsia="黑体"/>
          <w:sz w:val="28"/>
          <w:szCs w:val="28"/>
        </w:rPr>
        <w:t>新一代信息技术应用标准子体系</w:t>
      </w:r>
    </w:p>
    <w:p>
      <w:pPr>
        <w:ind w:firstLine="640" w:firstLineChars="200"/>
        <w:outlineLvl w:val="3"/>
        <w:rPr>
          <w:rFonts w:ascii="仿宋" w:hAnsi="仿宋" w:eastAsia="仿宋"/>
          <w:bCs/>
          <w:sz w:val="32"/>
          <w:szCs w:val="32"/>
        </w:rPr>
      </w:pPr>
      <w:r>
        <w:rPr>
          <w:rFonts w:hint="eastAsia" w:ascii="仿宋" w:hAnsi="仿宋" w:eastAsia="仿宋"/>
          <w:bCs/>
          <w:sz w:val="32"/>
          <w:szCs w:val="32"/>
        </w:rPr>
        <w:t>（1</w:t>
      </w:r>
      <w:r>
        <w:rPr>
          <w:rFonts w:ascii="仿宋" w:hAnsi="仿宋" w:eastAsia="仿宋"/>
          <w:bCs/>
          <w:sz w:val="32"/>
          <w:szCs w:val="32"/>
        </w:rPr>
        <w:t>）</w:t>
      </w:r>
      <w:r>
        <w:rPr>
          <w:rFonts w:hint="eastAsia" w:ascii="仿宋" w:hAnsi="仿宋" w:eastAsia="仿宋"/>
          <w:bCs/>
          <w:sz w:val="32"/>
          <w:szCs w:val="32"/>
        </w:rPr>
        <w:t>人工智能应用标准</w:t>
      </w:r>
    </w:p>
    <w:p>
      <w:pPr>
        <w:ind w:firstLine="640" w:firstLineChars="200"/>
        <w:rPr>
          <w:rFonts w:ascii="仿宋" w:hAnsi="仿宋" w:eastAsia="仿宋"/>
          <w:bCs/>
          <w:sz w:val="32"/>
          <w:szCs w:val="32"/>
        </w:rPr>
      </w:pPr>
      <w:r>
        <w:rPr>
          <w:rFonts w:hint="eastAsia" w:ascii="仿宋" w:hAnsi="仿宋" w:eastAsia="仿宋"/>
          <w:bCs/>
          <w:sz w:val="32"/>
          <w:szCs w:val="32"/>
        </w:rPr>
        <w:t>主要包括船舶总装建造场景的数字化描述与定义标准、知识库构建的标准、数据驱动性能评估等通用要求标准；船舶总装建造过程中现场数据采集，数据分析与挖掘，智能决策和协同控制等人工智能关键技术要求标准。</w:t>
      </w:r>
    </w:p>
    <w:p>
      <w:pPr>
        <w:ind w:firstLine="640" w:firstLineChars="200"/>
        <w:rPr>
          <w:rFonts w:ascii="仿宋" w:hAnsi="仿宋" w:eastAsia="仿宋"/>
          <w:bCs/>
          <w:sz w:val="32"/>
          <w:szCs w:val="32"/>
        </w:rPr>
      </w:pPr>
      <w:r>
        <w:rPr>
          <w:rFonts w:hint="eastAsia" w:ascii="仿宋" w:hAnsi="仿宋" w:eastAsia="仿宋"/>
          <w:bCs/>
          <w:sz w:val="32"/>
          <w:szCs w:val="32"/>
        </w:rPr>
        <w:t>（2）AR/VR应用标准</w:t>
      </w:r>
    </w:p>
    <w:p>
      <w:pPr>
        <w:ind w:firstLine="640" w:firstLineChars="200"/>
        <w:rPr>
          <w:rFonts w:ascii="Times New Roman" w:hAnsi="Times New Roman" w:eastAsia="仿宋_GB2312"/>
          <w:bCs/>
          <w:kern w:val="0"/>
          <w:sz w:val="30"/>
          <w:szCs w:val="30"/>
        </w:rPr>
      </w:pPr>
      <w:r>
        <w:rPr>
          <w:rFonts w:hint="eastAsia" w:ascii="仿宋" w:hAnsi="仿宋" w:eastAsia="仿宋"/>
          <w:bCs/>
          <w:sz w:val="32"/>
          <w:szCs w:val="32"/>
        </w:rPr>
        <w:t>主要包括面向船舶总装建造的AR/VR通用要求、互联互通、系统集成、人机交互、性能测试、虚拟现实软件及数据处理的应用标准等。主要用于规范基于AR/VR的船舶总装建造相关人员与信息系统多通道、多模式和多维度的交互途径、模式、方法和技术要求，解决包括AR/VR高可靠性和安全性交互模式，及与现有设备的融合协调和高效集成的问题。</w:t>
      </w:r>
    </w:p>
    <w:p>
      <w:pPr>
        <w:ind w:firstLine="640" w:firstLineChars="200"/>
        <w:rPr>
          <w:rFonts w:ascii="仿宋" w:hAnsi="仿宋" w:eastAsia="仿宋"/>
          <w:bCs/>
          <w:sz w:val="32"/>
          <w:szCs w:val="32"/>
        </w:rPr>
      </w:pPr>
      <w:r>
        <w:rPr>
          <w:rFonts w:hint="eastAsia" w:ascii="仿宋" w:hAnsi="仿宋" w:eastAsia="仿宋"/>
          <w:bCs/>
          <w:sz w:val="32"/>
          <w:szCs w:val="32"/>
        </w:rPr>
        <w:t>（3）边缘计算应用标准</w:t>
      </w:r>
    </w:p>
    <w:p>
      <w:pPr>
        <w:ind w:firstLine="640" w:firstLineChars="200"/>
        <w:rPr>
          <w:rFonts w:ascii="仿宋" w:hAnsi="仿宋" w:eastAsia="仿宋"/>
          <w:bCs/>
          <w:sz w:val="32"/>
          <w:szCs w:val="32"/>
        </w:rPr>
      </w:pPr>
      <w:r>
        <w:rPr>
          <w:rFonts w:hint="eastAsia" w:ascii="仿宋" w:hAnsi="仿宋" w:eastAsia="仿宋"/>
          <w:bCs/>
          <w:sz w:val="32"/>
          <w:szCs w:val="32"/>
        </w:rPr>
        <w:t>主要包括船舶制造边缘计算应用所涉及的架构、计算及存储、安全等标准。主要用于指导船舶制造行业中边缘计算技术、设备或产品的研发和应用，规范边缘计算技术在船舶制造过程中的技术要求。</w:t>
      </w:r>
    </w:p>
    <w:p>
      <w:pPr>
        <w:ind w:firstLine="640" w:firstLineChars="200"/>
        <w:rPr>
          <w:rFonts w:ascii="仿宋" w:hAnsi="仿宋" w:eastAsia="仿宋"/>
          <w:bCs/>
          <w:sz w:val="32"/>
          <w:szCs w:val="32"/>
        </w:rPr>
      </w:pPr>
      <w:r>
        <w:rPr>
          <w:rFonts w:hint="eastAsia" w:ascii="仿宋" w:hAnsi="仿宋" w:eastAsia="仿宋"/>
          <w:bCs/>
          <w:sz w:val="32"/>
          <w:szCs w:val="32"/>
        </w:rPr>
        <w:t>（4</w:t>
      </w:r>
      <w:r>
        <w:rPr>
          <w:rFonts w:ascii="仿宋" w:hAnsi="仿宋" w:eastAsia="仿宋"/>
          <w:bCs/>
          <w:sz w:val="32"/>
          <w:szCs w:val="32"/>
        </w:rPr>
        <w:t>）</w:t>
      </w:r>
      <w:r>
        <w:rPr>
          <w:rFonts w:hint="eastAsia" w:ascii="仿宋" w:hAnsi="仿宋" w:eastAsia="仿宋"/>
          <w:bCs/>
          <w:sz w:val="32"/>
          <w:szCs w:val="32"/>
        </w:rPr>
        <w:t>5G应用标准</w:t>
      </w:r>
    </w:p>
    <w:p>
      <w:pPr>
        <w:ind w:firstLine="640" w:firstLineChars="200"/>
        <w:rPr>
          <w:rFonts w:ascii="仿宋" w:hAnsi="仿宋" w:eastAsia="仿宋"/>
          <w:bCs/>
          <w:sz w:val="32"/>
          <w:szCs w:val="32"/>
        </w:rPr>
      </w:pPr>
      <w:r>
        <w:rPr>
          <w:rFonts w:hint="eastAsia" w:ascii="仿宋" w:hAnsi="仿宋" w:eastAsia="仿宋"/>
          <w:bCs/>
          <w:sz w:val="32"/>
          <w:szCs w:val="32"/>
        </w:rPr>
        <w:t>主要包括面向船舶总装建造的5G环境构建标准(船厂的网络节点布置，数据传输速度和稳定性)；新一代支持5G的设备终端与技术要求标准。</w:t>
      </w:r>
    </w:p>
    <w:p>
      <w:pPr>
        <w:ind w:firstLine="642" w:firstLineChars="200"/>
        <w:outlineLvl w:val="1"/>
        <w:rPr>
          <w:rFonts w:ascii="仿宋" w:hAnsi="仿宋" w:eastAsia="仿宋"/>
          <w:b/>
          <w:bCs/>
          <w:sz w:val="32"/>
          <w:szCs w:val="32"/>
        </w:rPr>
      </w:pPr>
      <w:bookmarkStart w:id="28" w:name="_Toc12880276"/>
      <w:r>
        <w:rPr>
          <w:rFonts w:hint="eastAsia" w:ascii="仿宋" w:hAnsi="仿宋" w:eastAsia="仿宋"/>
          <w:b/>
          <w:bCs/>
          <w:sz w:val="32"/>
          <w:szCs w:val="32"/>
        </w:rPr>
        <w:t>（三）船厂应用标准</w:t>
      </w:r>
      <w:bookmarkEnd w:id="28"/>
    </w:p>
    <w:p>
      <w:pPr>
        <w:ind w:firstLine="640" w:firstLineChars="200"/>
        <w:rPr>
          <w:rFonts w:ascii="仿宋" w:hAnsi="仿宋" w:eastAsia="仿宋"/>
          <w:bCs/>
          <w:sz w:val="32"/>
          <w:szCs w:val="32"/>
        </w:rPr>
      </w:pPr>
      <w:r>
        <w:rPr>
          <w:rFonts w:hint="eastAsia" w:ascii="仿宋" w:hAnsi="仿宋" w:eastAsia="仿宋"/>
          <w:bCs/>
          <w:sz w:val="32"/>
          <w:szCs w:val="32"/>
        </w:rPr>
        <w:t>主要包括材料堆场标准、零件制造标准、中小组立车间标准、分段制造标准、喷涂车间标准、管加工车间标准、舾装件制造车间标准、智能仓库标准、总装区域标准、船坞区域标准和码头区域标准等十一个部分，如图8所示。</w:t>
      </w:r>
    </w:p>
    <w:p>
      <w:r>
        <w:object>
          <v:shape id="_x0000_i1032" o:spt="75" type="#_x0000_t75" style="height:168.75pt;width:415.5pt;" o:ole="t" filled="f" o:preferrelative="t" stroked="f" coordsize="21600,21600">
            <v:path/>
            <v:fill on="f" focussize="0,0"/>
            <v:stroke on="f" joinstyle="miter"/>
            <v:imagedata r:id="rId23" o:title=""/>
            <o:lock v:ext="edit" aspectratio="t"/>
            <w10:wrap type="none"/>
            <w10:anchorlock/>
          </v:shape>
          <o:OLEObject Type="Embed" ProgID="Visio.Drawing.11" ShapeID="_x0000_i1032" DrawAspect="Content" ObjectID="_1468075732" r:id="rId22">
            <o:LockedField>false</o:LockedField>
          </o:OLEObject>
        </w:object>
      </w:r>
    </w:p>
    <w:p>
      <w:pPr>
        <w:jc w:val="center"/>
        <w:rPr>
          <w:rFonts w:ascii="黑体" w:hAnsi="黑体" w:eastAsia="黑体"/>
          <w:sz w:val="28"/>
          <w:szCs w:val="28"/>
        </w:rPr>
      </w:pPr>
      <w:r>
        <w:rPr>
          <w:rFonts w:hint="eastAsia" w:ascii="黑体" w:hAnsi="黑体" w:eastAsia="黑体"/>
          <w:sz w:val="28"/>
          <w:szCs w:val="28"/>
        </w:rPr>
        <w:t>图8</w:t>
      </w:r>
      <w:r>
        <w:rPr>
          <w:rFonts w:ascii="黑体" w:hAnsi="黑体" w:eastAsia="黑体"/>
          <w:sz w:val="28"/>
          <w:szCs w:val="28"/>
        </w:rPr>
        <w:t xml:space="preserve"> </w:t>
      </w:r>
      <w:r>
        <w:rPr>
          <w:rFonts w:hint="eastAsia" w:ascii="黑体" w:hAnsi="黑体" w:eastAsia="黑体"/>
          <w:sz w:val="28"/>
          <w:szCs w:val="28"/>
        </w:rPr>
        <w:t>船厂应用标准子体系</w:t>
      </w:r>
    </w:p>
    <w:p>
      <w:pPr>
        <w:ind w:firstLine="640" w:firstLineChars="200"/>
        <w:outlineLvl w:val="2"/>
        <w:rPr>
          <w:rFonts w:ascii="仿宋" w:hAnsi="仿宋" w:eastAsia="仿宋"/>
          <w:bCs/>
          <w:sz w:val="32"/>
          <w:szCs w:val="32"/>
        </w:rPr>
      </w:pPr>
      <w:bookmarkStart w:id="29" w:name="_Toc12880277"/>
      <w:r>
        <w:rPr>
          <w:rFonts w:hint="eastAsia" w:ascii="仿宋" w:hAnsi="仿宋" w:eastAsia="仿宋"/>
          <w:bCs/>
          <w:sz w:val="32"/>
          <w:szCs w:val="32"/>
        </w:rPr>
        <w:t>1、材料堆场标准</w:t>
      </w:r>
      <w:bookmarkEnd w:id="29"/>
    </w:p>
    <w:p>
      <w:pPr>
        <w:ind w:firstLine="640" w:firstLineChars="200"/>
        <w:rPr>
          <w:rFonts w:ascii="仿宋" w:hAnsi="仿宋" w:eastAsia="仿宋"/>
          <w:bCs/>
          <w:sz w:val="32"/>
          <w:szCs w:val="32"/>
        </w:rPr>
      </w:pPr>
      <w:r>
        <w:rPr>
          <w:rFonts w:hint="eastAsia" w:ascii="仿宋" w:hAnsi="仿宋" w:eastAsia="仿宋"/>
          <w:bCs/>
          <w:sz w:val="32"/>
          <w:szCs w:val="32"/>
        </w:rPr>
        <w:t>主要包括材料堆场总体规划、材料堆场工艺流程分析、材料堆场智能装备、材料堆场物资智能定位、材料堆场智能调度、材料堆场智能转运、材料堆场智能安全辅助、材料堆场物资异动智能提醒、材料堆场管理等标准。</w:t>
      </w:r>
    </w:p>
    <w:p>
      <w:pPr>
        <w:ind w:firstLine="640" w:firstLineChars="200"/>
        <w:outlineLvl w:val="2"/>
        <w:rPr>
          <w:rFonts w:ascii="仿宋" w:hAnsi="仿宋" w:eastAsia="仿宋"/>
          <w:bCs/>
          <w:sz w:val="32"/>
          <w:szCs w:val="32"/>
        </w:rPr>
      </w:pPr>
      <w:bookmarkStart w:id="30" w:name="_Toc12880278"/>
      <w:r>
        <w:rPr>
          <w:rFonts w:hint="eastAsia" w:ascii="仿宋" w:hAnsi="仿宋" w:eastAsia="仿宋"/>
          <w:bCs/>
          <w:sz w:val="32"/>
          <w:szCs w:val="32"/>
        </w:rPr>
        <w:t>2、零件制造车间标准</w:t>
      </w:r>
      <w:bookmarkEnd w:id="30"/>
    </w:p>
    <w:p>
      <w:pPr>
        <w:ind w:firstLine="640" w:firstLineChars="200"/>
        <w:rPr>
          <w:rFonts w:ascii="仿宋" w:hAnsi="仿宋" w:eastAsia="仿宋"/>
          <w:bCs/>
          <w:sz w:val="32"/>
          <w:szCs w:val="32"/>
        </w:rPr>
      </w:pPr>
      <w:r>
        <w:rPr>
          <w:rFonts w:hint="eastAsia" w:ascii="仿宋" w:hAnsi="仿宋" w:eastAsia="仿宋"/>
          <w:bCs/>
          <w:sz w:val="32"/>
          <w:szCs w:val="32"/>
        </w:rPr>
        <w:t>主要包括零件制造车间总体规划、零部件分类、产品流向编码、钢材预处理工艺流程、加工工艺流程、钢材预处理装备、智能切割装备、智能加工装备、智能打码划线装备、智能零件分拣装备、设备数字化联网、质量在线检测、零件托盘数字化物流管理系统、零部件制造管理等标准。</w:t>
      </w:r>
    </w:p>
    <w:p>
      <w:pPr>
        <w:ind w:firstLine="640" w:firstLineChars="200"/>
        <w:outlineLvl w:val="2"/>
        <w:rPr>
          <w:rFonts w:ascii="仿宋" w:hAnsi="仿宋" w:eastAsia="仿宋"/>
          <w:bCs/>
          <w:sz w:val="32"/>
          <w:szCs w:val="32"/>
        </w:rPr>
      </w:pPr>
      <w:bookmarkStart w:id="31" w:name="_Toc12880279"/>
      <w:r>
        <w:rPr>
          <w:rFonts w:hint="eastAsia" w:ascii="仿宋" w:hAnsi="仿宋" w:eastAsia="仿宋"/>
          <w:bCs/>
          <w:sz w:val="32"/>
          <w:szCs w:val="32"/>
        </w:rPr>
        <w:t>3、中小组立车间标准</w:t>
      </w:r>
      <w:bookmarkEnd w:id="31"/>
    </w:p>
    <w:p>
      <w:pPr>
        <w:ind w:firstLine="640" w:firstLineChars="200"/>
        <w:rPr>
          <w:rFonts w:ascii="仿宋" w:hAnsi="仿宋" w:eastAsia="仿宋"/>
          <w:bCs/>
          <w:sz w:val="32"/>
          <w:szCs w:val="32"/>
        </w:rPr>
      </w:pPr>
      <w:r>
        <w:rPr>
          <w:rFonts w:hint="eastAsia" w:ascii="仿宋" w:hAnsi="仿宋" w:eastAsia="仿宋"/>
          <w:bCs/>
          <w:sz w:val="32"/>
          <w:szCs w:val="32"/>
        </w:rPr>
        <w:t>主要包括中小组立车间总体规划、中小组立分类、组立流向编码、中小组立工艺流程、通用件机器人制作装备、先行小组立机器人装备、小组立机器人生产线、中组立移动式机器人装备、中组立固定工位式机器人装备、智能组立背烧装备、工件识别定位技术、焊机联网管理系统、质量在线检测、部件托盘数字化物流管理系统、中小组立制造管理等标准。</w:t>
      </w:r>
    </w:p>
    <w:p>
      <w:pPr>
        <w:ind w:firstLine="640" w:firstLineChars="200"/>
        <w:outlineLvl w:val="2"/>
        <w:rPr>
          <w:rFonts w:ascii="仿宋" w:hAnsi="仿宋" w:eastAsia="仿宋"/>
          <w:bCs/>
          <w:sz w:val="32"/>
          <w:szCs w:val="32"/>
        </w:rPr>
      </w:pPr>
      <w:bookmarkStart w:id="32" w:name="_Toc12880280"/>
      <w:r>
        <w:rPr>
          <w:rFonts w:hint="eastAsia" w:ascii="仿宋" w:hAnsi="仿宋" w:eastAsia="仿宋"/>
          <w:bCs/>
          <w:sz w:val="32"/>
          <w:szCs w:val="32"/>
        </w:rPr>
        <w:t>4、分段制造标准</w:t>
      </w:r>
      <w:bookmarkEnd w:id="32"/>
    </w:p>
    <w:p>
      <w:pPr>
        <w:ind w:firstLine="640" w:firstLineChars="200"/>
        <w:rPr>
          <w:rFonts w:ascii="仿宋" w:hAnsi="仿宋" w:eastAsia="仿宋"/>
          <w:bCs/>
          <w:sz w:val="32"/>
          <w:szCs w:val="32"/>
        </w:rPr>
      </w:pPr>
      <w:bookmarkStart w:id="33" w:name="_Toc12880281"/>
      <w:r>
        <w:rPr>
          <w:rFonts w:hint="eastAsia" w:ascii="仿宋" w:hAnsi="仿宋" w:eastAsia="仿宋"/>
          <w:bCs/>
          <w:sz w:val="32"/>
          <w:szCs w:val="32"/>
        </w:rPr>
        <w:t>主要包括分段车间总体规划、分段分类、分段制作工艺流程、平面分段流水线、曲面分段焊接工作站、分段精度在线检测装备、分段制作装备联网管控、质量在线检测、分段智能化物流、分段制造管理等标准。</w:t>
      </w:r>
    </w:p>
    <w:p>
      <w:pPr>
        <w:ind w:firstLine="640" w:firstLineChars="200"/>
        <w:outlineLvl w:val="2"/>
        <w:rPr>
          <w:rFonts w:ascii="仿宋" w:hAnsi="仿宋" w:eastAsia="仿宋"/>
          <w:bCs/>
          <w:sz w:val="32"/>
          <w:szCs w:val="32"/>
        </w:rPr>
      </w:pPr>
      <w:r>
        <w:rPr>
          <w:rFonts w:hint="eastAsia" w:ascii="仿宋" w:hAnsi="仿宋" w:eastAsia="仿宋"/>
          <w:bCs/>
          <w:sz w:val="32"/>
          <w:szCs w:val="32"/>
        </w:rPr>
        <w:t>5、喷涂车间标准</w:t>
      </w:r>
      <w:bookmarkEnd w:id="33"/>
    </w:p>
    <w:p>
      <w:pPr>
        <w:ind w:firstLine="640" w:firstLineChars="200"/>
        <w:rPr>
          <w:rFonts w:ascii="仿宋" w:hAnsi="仿宋" w:eastAsia="仿宋"/>
          <w:bCs/>
          <w:sz w:val="32"/>
          <w:szCs w:val="32"/>
        </w:rPr>
      </w:pPr>
      <w:r>
        <w:rPr>
          <w:rFonts w:hint="eastAsia" w:ascii="仿宋" w:hAnsi="仿宋" w:eastAsia="仿宋"/>
          <w:bCs/>
          <w:sz w:val="32"/>
          <w:szCs w:val="32"/>
        </w:rPr>
        <w:t>主要包括喷涂车间总体规划、喷涂工艺流程、带结构面分段机器人喷砂装备、带结构面分段机器人喷涂装备、涂装在线检测装备、喷涂装备联网管控、喷涂智能化物流、喷涂管理等标准。</w:t>
      </w:r>
    </w:p>
    <w:p>
      <w:pPr>
        <w:ind w:firstLine="640" w:firstLineChars="200"/>
        <w:outlineLvl w:val="2"/>
        <w:rPr>
          <w:rFonts w:ascii="仿宋" w:hAnsi="仿宋" w:eastAsia="仿宋"/>
          <w:bCs/>
          <w:sz w:val="32"/>
          <w:szCs w:val="32"/>
        </w:rPr>
      </w:pPr>
      <w:bookmarkStart w:id="34" w:name="_Toc12880282"/>
      <w:r>
        <w:rPr>
          <w:rFonts w:hint="eastAsia" w:ascii="仿宋" w:hAnsi="仿宋" w:eastAsia="仿宋"/>
          <w:bCs/>
          <w:sz w:val="32"/>
          <w:szCs w:val="32"/>
        </w:rPr>
        <w:t>6、管加工车间标准</w:t>
      </w:r>
      <w:bookmarkEnd w:id="34"/>
    </w:p>
    <w:p>
      <w:pPr>
        <w:ind w:firstLine="640" w:firstLineChars="200"/>
        <w:rPr>
          <w:rFonts w:ascii="仿宋" w:hAnsi="仿宋" w:eastAsia="仿宋"/>
          <w:bCs/>
          <w:sz w:val="32"/>
          <w:szCs w:val="32"/>
        </w:rPr>
      </w:pPr>
      <w:r>
        <w:rPr>
          <w:rFonts w:hint="eastAsia" w:ascii="仿宋" w:hAnsi="仿宋" w:eastAsia="仿宋"/>
          <w:bCs/>
          <w:sz w:val="32"/>
          <w:szCs w:val="32"/>
        </w:rPr>
        <w:t>主要包括管加工车间总体规划、管件分类、管加工工艺流程、材料仓储、自动切料设备、管法兰智能焊接设备、后弯机设备、成品管自动打码设备、合拢管测量及再现装备、管加工质量检测装备、管加工设备联网管控、成品管托盘物流管理标准、管加工管理等标准。</w:t>
      </w:r>
    </w:p>
    <w:p>
      <w:pPr>
        <w:ind w:firstLine="640" w:firstLineChars="200"/>
        <w:outlineLvl w:val="2"/>
        <w:rPr>
          <w:rFonts w:ascii="仿宋" w:hAnsi="仿宋" w:eastAsia="仿宋"/>
          <w:bCs/>
          <w:sz w:val="32"/>
          <w:szCs w:val="32"/>
        </w:rPr>
      </w:pPr>
      <w:bookmarkStart w:id="35" w:name="_Toc12880283"/>
      <w:r>
        <w:rPr>
          <w:rFonts w:hint="eastAsia" w:ascii="仿宋" w:hAnsi="仿宋" w:eastAsia="仿宋"/>
          <w:bCs/>
          <w:sz w:val="32"/>
          <w:szCs w:val="32"/>
        </w:rPr>
        <w:t>7、舾装件制造车间标准</w:t>
      </w:r>
      <w:bookmarkEnd w:id="35"/>
    </w:p>
    <w:p>
      <w:pPr>
        <w:ind w:firstLine="640" w:firstLineChars="200"/>
        <w:rPr>
          <w:rFonts w:ascii="仿宋" w:hAnsi="仿宋" w:eastAsia="仿宋"/>
          <w:bCs/>
          <w:sz w:val="32"/>
          <w:szCs w:val="32"/>
        </w:rPr>
      </w:pPr>
      <w:r>
        <w:rPr>
          <w:rFonts w:hint="eastAsia" w:ascii="仿宋" w:hAnsi="仿宋" w:eastAsia="仿宋"/>
          <w:bCs/>
          <w:sz w:val="32"/>
          <w:szCs w:val="32"/>
        </w:rPr>
        <w:t>主要包括舾装件车间总体规划、舾装件分类、舾装件制作工艺流程、舾装件编码、通用件机器人制作装备、智能编码打码装备、舾装件加工设备数字化联网、质量在线检测、舾装件托盘物流、舾装件智能管理等标准。</w:t>
      </w:r>
    </w:p>
    <w:p>
      <w:pPr>
        <w:ind w:firstLine="640" w:firstLineChars="200"/>
        <w:outlineLvl w:val="2"/>
        <w:rPr>
          <w:rFonts w:ascii="仿宋" w:hAnsi="仿宋" w:eastAsia="仿宋"/>
          <w:bCs/>
          <w:sz w:val="32"/>
          <w:szCs w:val="32"/>
        </w:rPr>
      </w:pPr>
      <w:bookmarkStart w:id="36" w:name="_Toc12880284"/>
      <w:r>
        <w:rPr>
          <w:rFonts w:hint="eastAsia" w:ascii="仿宋" w:hAnsi="仿宋" w:eastAsia="仿宋"/>
          <w:bCs/>
          <w:sz w:val="32"/>
          <w:szCs w:val="32"/>
        </w:rPr>
        <w:t>8、智能仓库标准</w:t>
      </w:r>
      <w:bookmarkEnd w:id="36"/>
    </w:p>
    <w:p>
      <w:pPr>
        <w:ind w:firstLine="640" w:firstLineChars="200"/>
        <w:rPr>
          <w:rFonts w:ascii="仿宋" w:hAnsi="仿宋" w:eastAsia="仿宋"/>
          <w:bCs/>
          <w:sz w:val="32"/>
          <w:szCs w:val="32"/>
        </w:rPr>
      </w:pPr>
      <w:r>
        <w:rPr>
          <w:rFonts w:hint="eastAsia" w:ascii="仿宋" w:hAnsi="仿宋" w:eastAsia="仿宋"/>
          <w:bCs/>
          <w:sz w:val="32"/>
          <w:szCs w:val="32"/>
        </w:rPr>
        <w:t>主要包括智能仓库总体规划、智能仓库建造、智能仓库交付、智能仓库作业流程、智能仓库装备、智能仓库识别及传感、智能仓库物资信息协同、智能仓库人工智能应用、智能仓库有线及无线通信、智能仓库物流集配、智能仓库集成优化、智能仓库管理等标准。</w:t>
      </w:r>
    </w:p>
    <w:p>
      <w:pPr>
        <w:ind w:firstLine="640" w:firstLineChars="200"/>
        <w:outlineLvl w:val="2"/>
        <w:rPr>
          <w:rFonts w:ascii="仿宋" w:hAnsi="仿宋" w:eastAsia="仿宋"/>
          <w:bCs/>
          <w:sz w:val="32"/>
          <w:szCs w:val="32"/>
        </w:rPr>
      </w:pPr>
      <w:bookmarkStart w:id="37" w:name="_Toc12880285"/>
      <w:r>
        <w:rPr>
          <w:rFonts w:hint="eastAsia" w:ascii="仿宋" w:hAnsi="仿宋" w:eastAsia="仿宋"/>
          <w:bCs/>
          <w:sz w:val="32"/>
          <w:szCs w:val="32"/>
        </w:rPr>
        <w:t>9、总装区域标准</w:t>
      </w:r>
      <w:bookmarkEnd w:id="37"/>
    </w:p>
    <w:p>
      <w:pPr>
        <w:ind w:firstLine="640" w:firstLineChars="200"/>
        <w:rPr>
          <w:rFonts w:ascii="仿宋" w:hAnsi="仿宋" w:eastAsia="仿宋"/>
          <w:bCs/>
          <w:sz w:val="32"/>
          <w:szCs w:val="32"/>
        </w:rPr>
      </w:pPr>
      <w:r>
        <w:rPr>
          <w:rFonts w:hint="eastAsia" w:ascii="仿宋" w:hAnsi="仿宋" w:eastAsia="仿宋"/>
          <w:bCs/>
          <w:sz w:val="32"/>
          <w:szCs w:val="32"/>
        </w:rPr>
        <w:t>主要包括总装区域总体规划、总装工艺流程、总装自动化装备、智能胎位管理系统、智能分段/总段物流管理、总装区域管理等标准。</w:t>
      </w:r>
    </w:p>
    <w:p>
      <w:pPr>
        <w:ind w:firstLine="640" w:firstLineChars="200"/>
        <w:outlineLvl w:val="2"/>
        <w:rPr>
          <w:rFonts w:ascii="仿宋" w:hAnsi="仿宋" w:eastAsia="仿宋"/>
          <w:bCs/>
          <w:sz w:val="32"/>
          <w:szCs w:val="32"/>
        </w:rPr>
      </w:pPr>
      <w:bookmarkStart w:id="38" w:name="_Toc12880286"/>
      <w:r>
        <w:rPr>
          <w:rFonts w:hint="eastAsia" w:ascii="仿宋" w:hAnsi="仿宋" w:eastAsia="仿宋"/>
          <w:bCs/>
          <w:sz w:val="32"/>
          <w:szCs w:val="32"/>
        </w:rPr>
        <w:t>10、船坞区域标准</w:t>
      </w:r>
      <w:bookmarkEnd w:id="38"/>
    </w:p>
    <w:p>
      <w:pPr>
        <w:ind w:firstLine="640" w:firstLineChars="200"/>
        <w:rPr>
          <w:rFonts w:ascii="仿宋" w:hAnsi="仿宋" w:eastAsia="仿宋"/>
          <w:bCs/>
          <w:sz w:val="32"/>
          <w:szCs w:val="32"/>
        </w:rPr>
      </w:pPr>
      <w:r>
        <w:rPr>
          <w:rFonts w:hint="eastAsia" w:ascii="仿宋" w:hAnsi="仿宋" w:eastAsia="仿宋"/>
          <w:bCs/>
          <w:sz w:val="32"/>
          <w:szCs w:val="32"/>
        </w:rPr>
        <w:t>主要包括船坞区域总体规划、船坞区域作业流程、船坞区域装备、智能精度控制系统、质量管理自动化系统、起重设备管控、搭载网络自动化管理、登船人员智能管理等标准。</w:t>
      </w:r>
    </w:p>
    <w:p>
      <w:pPr>
        <w:ind w:firstLine="640" w:firstLineChars="200"/>
        <w:outlineLvl w:val="2"/>
        <w:rPr>
          <w:rFonts w:ascii="仿宋" w:hAnsi="仿宋" w:eastAsia="仿宋"/>
          <w:bCs/>
          <w:sz w:val="32"/>
          <w:szCs w:val="32"/>
        </w:rPr>
      </w:pPr>
      <w:bookmarkStart w:id="39" w:name="_Toc12880287"/>
      <w:r>
        <w:rPr>
          <w:rFonts w:hint="eastAsia" w:ascii="仿宋" w:hAnsi="仿宋" w:eastAsia="仿宋"/>
          <w:bCs/>
          <w:sz w:val="32"/>
          <w:szCs w:val="32"/>
        </w:rPr>
        <w:t>11、码头区域标准</w:t>
      </w:r>
      <w:bookmarkEnd w:id="39"/>
    </w:p>
    <w:p>
      <w:pPr>
        <w:ind w:firstLine="640" w:firstLineChars="200"/>
        <w:rPr>
          <w:rFonts w:ascii="仿宋" w:hAnsi="仿宋" w:eastAsia="仿宋"/>
          <w:bCs/>
          <w:sz w:val="32"/>
          <w:szCs w:val="32"/>
        </w:rPr>
      </w:pPr>
      <w:r>
        <w:rPr>
          <w:rFonts w:hint="eastAsia" w:ascii="仿宋" w:hAnsi="仿宋" w:eastAsia="仿宋"/>
          <w:bCs/>
          <w:sz w:val="32"/>
          <w:szCs w:val="32"/>
        </w:rPr>
        <w:t>主要包括码头区域总体规划、码头区域作业流程、码头区域装备、质量管理自动化系统、起重设备管理系统、关重设备智能管控、登船人员智能定位管理等标准。</w:t>
      </w:r>
    </w:p>
    <w:p>
      <w:pPr>
        <w:ind w:firstLine="712" w:firstLineChars="198"/>
        <w:outlineLvl w:val="0"/>
        <w:rPr>
          <w:rFonts w:ascii="黑体" w:hAnsi="黑体" w:eastAsia="黑体"/>
          <w:sz w:val="36"/>
          <w:szCs w:val="36"/>
        </w:rPr>
      </w:pPr>
      <w:bookmarkStart w:id="40" w:name="_Toc8978169"/>
      <w:bookmarkStart w:id="41" w:name="_Toc12880288"/>
      <w:r>
        <w:rPr>
          <w:rFonts w:hint="eastAsia" w:ascii="黑体" w:hAnsi="黑体" w:eastAsia="黑体"/>
          <w:sz w:val="36"/>
          <w:szCs w:val="36"/>
        </w:rPr>
        <w:t>四、组织</w:t>
      </w:r>
      <w:bookmarkEnd w:id="40"/>
      <w:r>
        <w:rPr>
          <w:rFonts w:hint="eastAsia" w:ascii="黑体" w:hAnsi="黑体" w:eastAsia="黑体"/>
          <w:sz w:val="36"/>
          <w:szCs w:val="36"/>
        </w:rPr>
        <w:t>实施</w:t>
      </w:r>
      <w:bookmarkEnd w:id="41"/>
    </w:p>
    <w:p>
      <w:pPr>
        <w:ind w:firstLine="642" w:firstLineChars="200"/>
        <w:rPr>
          <w:rFonts w:eastAsia="仿宋_GB2312"/>
          <w:color w:val="000000"/>
          <w:sz w:val="32"/>
          <w:szCs w:val="32"/>
        </w:rPr>
      </w:pPr>
      <w:r>
        <w:rPr>
          <w:rFonts w:eastAsia="仿宋_GB2312"/>
          <w:b/>
          <w:color w:val="000000"/>
          <w:sz w:val="32"/>
          <w:szCs w:val="32"/>
        </w:rPr>
        <w:t>加强统筹协调</w:t>
      </w:r>
      <w:r>
        <w:rPr>
          <w:rFonts w:eastAsia="仿宋_GB2312"/>
          <w:color w:val="000000"/>
          <w:sz w:val="32"/>
          <w:szCs w:val="32"/>
        </w:rPr>
        <w:t>。</w:t>
      </w:r>
      <w:r>
        <w:rPr>
          <w:rFonts w:hint="eastAsia" w:eastAsia="仿宋_GB2312"/>
          <w:color w:val="000000"/>
          <w:sz w:val="32"/>
          <w:szCs w:val="32"/>
        </w:rPr>
        <w:t>鼓励和支持地方行业主管部门、造船企业</w:t>
      </w:r>
      <w:r>
        <w:rPr>
          <w:rFonts w:hint="eastAsia" w:eastAsia="仿宋_GB2312"/>
          <w:color w:val="000000"/>
          <w:sz w:val="32"/>
          <w:szCs w:val="32"/>
          <w:lang w:eastAsia="zh-CN"/>
        </w:rPr>
        <w:t>（集团）</w:t>
      </w:r>
      <w:r>
        <w:rPr>
          <w:rFonts w:hint="eastAsia" w:eastAsia="仿宋_GB2312"/>
          <w:color w:val="000000"/>
          <w:sz w:val="32"/>
          <w:szCs w:val="32"/>
        </w:rPr>
        <w:t>、科研院所等建立统一的协调机制。推动加强船舶总装建造标准化技术支撑力量，整体统筹协调推进船舶智能制造标准制定与实施。</w:t>
      </w:r>
    </w:p>
    <w:p>
      <w:pPr>
        <w:ind w:firstLine="642" w:firstLineChars="200"/>
        <w:rPr>
          <w:rFonts w:eastAsia="仿宋_GB2312"/>
          <w:color w:val="000000"/>
          <w:sz w:val="32"/>
          <w:szCs w:val="32"/>
        </w:rPr>
      </w:pPr>
      <w:r>
        <w:rPr>
          <w:rFonts w:eastAsia="仿宋_GB2312"/>
          <w:b/>
          <w:color w:val="000000"/>
          <w:sz w:val="32"/>
          <w:szCs w:val="32"/>
        </w:rPr>
        <w:t>加快标准研制。</w:t>
      </w:r>
      <w:r>
        <w:rPr>
          <w:rFonts w:hint="eastAsia" w:eastAsia="仿宋_GB2312"/>
          <w:color w:val="000000"/>
          <w:sz w:val="32"/>
          <w:szCs w:val="32"/>
        </w:rPr>
        <w:t>加快基础共性、关键技术、船厂应用方面共性和急需标准的研究制定，实现标准与船舶智能制造技术发展的同步推进，积极</w:t>
      </w:r>
      <w:r>
        <w:rPr>
          <w:rFonts w:eastAsia="仿宋_GB2312"/>
          <w:color w:val="000000"/>
          <w:sz w:val="32"/>
          <w:szCs w:val="32"/>
        </w:rPr>
        <w:t>推动标准试验验证平台和公共服务平台建设</w:t>
      </w:r>
      <w:r>
        <w:rPr>
          <w:rFonts w:hint="eastAsia" w:eastAsia="仿宋_GB2312"/>
          <w:color w:val="000000"/>
          <w:sz w:val="32"/>
          <w:szCs w:val="32"/>
        </w:rPr>
        <w:t>，开展标准全过程试验验证，形成有力标准支撑。</w:t>
      </w:r>
    </w:p>
    <w:p>
      <w:pPr>
        <w:ind w:firstLine="642" w:firstLineChars="200"/>
        <w:rPr>
          <w:rFonts w:eastAsia="仿宋_GB2312"/>
          <w:color w:val="000000"/>
          <w:sz w:val="32"/>
          <w:szCs w:val="32"/>
        </w:rPr>
      </w:pPr>
      <w:r>
        <w:rPr>
          <w:rFonts w:eastAsia="仿宋_GB2312"/>
          <w:b/>
          <w:color w:val="000000"/>
          <w:sz w:val="32"/>
          <w:szCs w:val="32"/>
        </w:rPr>
        <w:t>加强宣贯培训</w:t>
      </w:r>
      <w:r>
        <w:rPr>
          <w:rFonts w:eastAsia="仿宋_GB2312"/>
          <w:color w:val="000000"/>
          <w:sz w:val="32"/>
          <w:szCs w:val="32"/>
        </w:rPr>
        <w:t>。充分发挥地方主管部门、行业协会</w:t>
      </w:r>
      <w:r>
        <w:rPr>
          <w:rFonts w:hint="eastAsia" w:eastAsia="仿宋_GB2312"/>
          <w:color w:val="000000"/>
          <w:sz w:val="32"/>
          <w:szCs w:val="32"/>
        </w:rPr>
        <w:t>/学会、产业发展联盟等</w:t>
      </w:r>
      <w:r>
        <w:rPr>
          <w:rFonts w:eastAsia="仿宋_GB2312"/>
          <w:color w:val="000000"/>
          <w:sz w:val="32"/>
          <w:szCs w:val="32"/>
        </w:rPr>
        <w:t>的</w:t>
      </w:r>
      <w:r>
        <w:rPr>
          <w:rFonts w:hint="eastAsia" w:eastAsia="仿宋_GB2312"/>
          <w:color w:val="000000"/>
          <w:sz w:val="32"/>
          <w:szCs w:val="32"/>
        </w:rPr>
        <w:t>引导</w:t>
      </w:r>
      <w:r>
        <w:rPr>
          <w:rFonts w:eastAsia="仿宋_GB2312"/>
          <w:color w:val="000000"/>
          <w:sz w:val="32"/>
          <w:szCs w:val="32"/>
        </w:rPr>
        <w:t>作用，</w:t>
      </w:r>
      <w:r>
        <w:rPr>
          <w:rFonts w:hint="eastAsia" w:eastAsia="仿宋_GB2312"/>
          <w:color w:val="000000"/>
          <w:sz w:val="32"/>
          <w:szCs w:val="32"/>
        </w:rPr>
        <w:t>组织召开标准体系宣贯会，进行标准试点应用，总结并宣传船舶总装智能化研究成果和应用案例，加强对重点标准的应用咨询和服务工作。</w:t>
      </w:r>
    </w:p>
    <w:p>
      <w:pPr>
        <w:ind w:firstLine="642" w:firstLineChars="200"/>
        <w:rPr>
          <w:rFonts w:eastAsia="仿宋_GB2312"/>
          <w:color w:val="000000"/>
          <w:sz w:val="32"/>
          <w:szCs w:val="32"/>
        </w:rPr>
      </w:pPr>
      <w:r>
        <w:rPr>
          <w:rFonts w:hint="eastAsia" w:eastAsia="仿宋_GB2312"/>
          <w:b/>
          <w:color w:val="000000"/>
          <w:sz w:val="32"/>
          <w:szCs w:val="32"/>
        </w:rPr>
        <w:t>加强交流与合作</w:t>
      </w:r>
      <w:r>
        <w:rPr>
          <w:rFonts w:hint="eastAsia" w:eastAsia="仿宋_GB2312"/>
          <w:color w:val="000000"/>
          <w:sz w:val="32"/>
          <w:szCs w:val="32"/>
        </w:rPr>
        <w:t>。鼓励造船企业、科研院所、高等院校加强与国内外相关标准化组织机构开展多层面、全方位、跨行业的技术交流与合作。同时，积极参与相关国际规则规范标准制定工作。</w:t>
      </w:r>
    </w:p>
    <w:p>
      <w:pPr>
        <w:ind w:firstLine="642" w:firstLineChars="200"/>
        <w:rPr>
          <w:rFonts w:eastAsia="仿宋_GB2312"/>
          <w:b/>
          <w:color w:val="000000"/>
          <w:sz w:val="32"/>
          <w:szCs w:val="32"/>
        </w:rPr>
      </w:pPr>
      <w:bookmarkStart w:id="42" w:name="_Toc1571728"/>
      <w:bookmarkStart w:id="43" w:name="_Toc535590738"/>
      <w:r>
        <w:rPr>
          <w:rFonts w:hint="eastAsia" w:eastAsia="仿宋_GB2312"/>
          <w:b/>
          <w:color w:val="000000"/>
          <w:sz w:val="32"/>
          <w:szCs w:val="32"/>
        </w:rPr>
        <w:t>加大人才引进与培养</w:t>
      </w:r>
      <w:bookmarkEnd w:id="42"/>
      <w:bookmarkEnd w:id="43"/>
      <w:r>
        <w:rPr>
          <w:rFonts w:hint="eastAsia" w:eastAsia="仿宋_GB2312"/>
          <w:b/>
          <w:color w:val="000000"/>
          <w:sz w:val="32"/>
          <w:szCs w:val="32"/>
        </w:rPr>
        <w:t>。</w:t>
      </w:r>
      <w:r>
        <w:rPr>
          <w:rFonts w:hint="eastAsia" w:ascii="仿宋_GB2312" w:eastAsia="仿宋_GB2312"/>
          <w:sz w:val="32"/>
          <w:szCs w:val="32"/>
        </w:rPr>
        <w:t>建立健全船舶智能制造人才引进、培养、使用、激励等专项政策和机制，培养和造就一批既具备智能制造理念、技术和思维，又熟悉船舶总装建造流程的复合型、实用型、现代型的智能制造高级管理人才、科技领军人才和专业技能人才。</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panose1 w:val="020B0603030804020204"/>
    <w:charset w:val="00"/>
    <w:family w:val="roman"/>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0000019F" w:csb1="00000000"/>
  </w:font>
  <w:font w:name="仿宋">
    <w:panose1 w:val="02010609060101010101"/>
    <w:charset w:val="86"/>
    <w:family w:val="modern"/>
    <w:pitch w:val="default"/>
    <w:sig w:usb0="800002BF" w:usb1="38CF7CFA" w:usb2="00000016" w:usb3="00000000" w:csb0="00040001" w:csb1="00000000"/>
  </w:font>
  <w:font w:name="黑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A574C"/>
    <w:rsid w:val="00002789"/>
    <w:rsid w:val="000041B6"/>
    <w:rsid w:val="0001433B"/>
    <w:rsid w:val="00016093"/>
    <w:rsid w:val="00017355"/>
    <w:rsid w:val="00030AFF"/>
    <w:rsid w:val="0003170E"/>
    <w:rsid w:val="00032CCC"/>
    <w:rsid w:val="00033312"/>
    <w:rsid w:val="00034AFB"/>
    <w:rsid w:val="00040F8E"/>
    <w:rsid w:val="0004514B"/>
    <w:rsid w:val="00045CFF"/>
    <w:rsid w:val="000564FE"/>
    <w:rsid w:val="0006222A"/>
    <w:rsid w:val="00065B81"/>
    <w:rsid w:val="0007749C"/>
    <w:rsid w:val="00077E29"/>
    <w:rsid w:val="0008266C"/>
    <w:rsid w:val="00083B63"/>
    <w:rsid w:val="00086306"/>
    <w:rsid w:val="00087D05"/>
    <w:rsid w:val="000A254D"/>
    <w:rsid w:val="000A2FF0"/>
    <w:rsid w:val="000A461A"/>
    <w:rsid w:val="000B245A"/>
    <w:rsid w:val="000B69C4"/>
    <w:rsid w:val="000C0B48"/>
    <w:rsid w:val="000C18AA"/>
    <w:rsid w:val="000C2D76"/>
    <w:rsid w:val="000C3C0F"/>
    <w:rsid w:val="000D0306"/>
    <w:rsid w:val="000D228C"/>
    <w:rsid w:val="000D273C"/>
    <w:rsid w:val="000D56EA"/>
    <w:rsid w:val="000E0AC7"/>
    <w:rsid w:val="000E27CA"/>
    <w:rsid w:val="000E5926"/>
    <w:rsid w:val="001205F3"/>
    <w:rsid w:val="0012214C"/>
    <w:rsid w:val="00124CCE"/>
    <w:rsid w:val="00125D38"/>
    <w:rsid w:val="00133228"/>
    <w:rsid w:val="00141AB5"/>
    <w:rsid w:val="00142235"/>
    <w:rsid w:val="0016460D"/>
    <w:rsid w:val="00172749"/>
    <w:rsid w:val="00180488"/>
    <w:rsid w:val="00180BCE"/>
    <w:rsid w:val="00182668"/>
    <w:rsid w:val="00183AD9"/>
    <w:rsid w:val="00184919"/>
    <w:rsid w:val="001927F0"/>
    <w:rsid w:val="001A694E"/>
    <w:rsid w:val="001B06DE"/>
    <w:rsid w:val="001B618E"/>
    <w:rsid w:val="001D1212"/>
    <w:rsid w:val="001D1694"/>
    <w:rsid w:val="001D4402"/>
    <w:rsid w:val="001D6F9C"/>
    <w:rsid w:val="001E4965"/>
    <w:rsid w:val="001E5242"/>
    <w:rsid w:val="001F0DE5"/>
    <w:rsid w:val="001F11FE"/>
    <w:rsid w:val="001F16BC"/>
    <w:rsid w:val="001F2697"/>
    <w:rsid w:val="00204797"/>
    <w:rsid w:val="00210A24"/>
    <w:rsid w:val="00216B13"/>
    <w:rsid w:val="00223D7A"/>
    <w:rsid w:val="0023077C"/>
    <w:rsid w:val="00232C5C"/>
    <w:rsid w:val="00236C27"/>
    <w:rsid w:val="002577E5"/>
    <w:rsid w:val="00257A6E"/>
    <w:rsid w:val="00263EA7"/>
    <w:rsid w:val="00264AAD"/>
    <w:rsid w:val="002733B4"/>
    <w:rsid w:val="00276CB5"/>
    <w:rsid w:val="002808EC"/>
    <w:rsid w:val="002870A6"/>
    <w:rsid w:val="00287B3C"/>
    <w:rsid w:val="00290A22"/>
    <w:rsid w:val="002927C4"/>
    <w:rsid w:val="00295DEE"/>
    <w:rsid w:val="00297016"/>
    <w:rsid w:val="002A560F"/>
    <w:rsid w:val="002A5848"/>
    <w:rsid w:val="002A76DC"/>
    <w:rsid w:val="002B00A0"/>
    <w:rsid w:val="002B14AF"/>
    <w:rsid w:val="002B19CB"/>
    <w:rsid w:val="002B2A12"/>
    <w:rsid w:val="002B49C8"/>
    <w:rsid w:val="002C24AE"/>
    <w:rsid w:val="002C6788"/>
    <w:rsid w:val="002E7437"/>
    <w:rsid w:val="002F36B7"/>
    <w:rsid w:val="002F72B4"/>
    <w:rsid w:val="00300656"/>
    <w:rsid w:val="00306323"/>
    <w:rsid w:val="00310ADF"/>
    <w:rsid w:val="003137A7"/>
    <w:rsid w:val="00315730"/>
    <w:rsid w:val="0032055A"/>
    <w:rsid w:val="00326991"/>
    <w:rsid w:val="003272FA"/>
    <w:rsid w:val="00327ECF"/>
    <w:rsid w:val="00334658"/>
    <w:rsid w:val="00340894"/>
    <w:rsid w:val="00341479"/>
    <w:rsid w:val="00344518"/>
    <w:rsid w:val="00372E88"/>
    <w:rsid w:val="0037538C"/>
    <w:rsid w:val="0037550D"/>
    <w:rsid w:val="00375C6D"/>
    <w:rsid w:val="003806A5"/>
    <w:rsid w:val="00381D00"/>
    <w:rsid w:val="00382040"/>
    <w:rsid w:val="00384D20"/>
    <w:rsid w:val="00385BDF"/>
    <w:rsid w:val="00390E72"/>
    <w:rsid w:val="0039310E"/>
    <w:rsid w:val="00396A51"/>
    <w:rsid w:val="003A0A9F"/>
    <w:rsid w:val="003A6F47"/>
    <w:rsid w:val="003E1958"/>
    <w:rsid w:val="003E3A9E"/>
    <w:rsid w:val="003E6AB9"/>
    <w:rsid w:val="003F524D"/>
    <w:rsid w:val="004057E5"/>
    <w:rsid w:val="00413249"/>
    <w:rsid w:val="00414119"/>
    <w:rsid w:val="0041499B"/>
    <w:rsid w:val="0041610C"/>
    <w:rsid w:val="00433D99"/>
    <w:rsid w:val="00442BEF"/>
    <w:rsid w:val="004454EF"/>
    <w:rsid w:val="004478FE"/>
    <w:rsid w:val="00447B7A"/>
    <w:rsid w:val="004509C2"/>
    <w:rsid w:val="004541AB"/>
    <w:rsid w:val="004545D2"/>
    <w:rsid w:val="00460E10"/>
    <w:rsid w:val="004618A2"/>
    <w:rsid w:val="0047262D"/>
    <w:rsid w:val="0047762D"/>
    <w:rsid w:val="004872FF"/>
    <w:rsid w:val="004905AE"/>
    <w:rsid w:val="00491536"/>
    <w:rsid w:val="00496BAE"/>
    <w:rsid w:val="004A0AD5"/>
    <w:rsid w:val="004A65F9"/>
    <w:rsid w:val="004B0132"/>
    <w:rsid w:val="004B507C"/>
    <w:rsid w:val="004B7779"/>
    <w:rsid w:val="004B7B97"/>
    <w:rsid w:val="004C41FA"/>
    <w:rsid w:val="004C7291"/>
    <w:rsid w:val="004D0F01"/>
    <w:rsid w:val="004D5170"/>
    <w:rsid w:val="004F5E47"/>
    <w:rsid w:val="00510F96"/>
    <w:rsid w:val="00522FBD"/>
    <w:rsid w:val="00523F4C"/>
    <w:rsid w:val="00525A1F"/>
    <w:rsid w:val="00546D19"/>
    <w:rsid w:val="0056257F"/>
    <w:rsid w:val="00567844"/>
    <w:rsid w:val="00570BF3"/>
    <w:rsid w:val="00582F3A"/>
    <w:rsid w:val="00585BAF"/>
    <w:rsid w:val="00585BB3"/>
    <w:rsid w:val="00586955"/>
    <w:rsid w:val="005953EF"/>
    <w:rsid w:val="005A30AC"/>
    <w:rsid w:val="005B0855"/>
    <w:rsid w:val="005B286E"/>
    <w:rsid w:val="005B6617"/>
    <w:rsid w:val="005B73D9"/>
    <w:rsid w:val="005C272F"/>
    <w:rsid w:val="005C4570"/>
    <w:rsid w:val="005C589F"/>
    <w:rsid w:val="005C6C22"/>
    <w:rsid w:val="005D150D"/>
    <w:rsid w:val="005D226E"/>
    <w:rsid w:val="005D47C7"/>
    <w:rsid w:val="005D5406"/>
    <w:rsid w:val="005E3892"/>
    <w:rsid w:val="005E621A"/>
    <w:rsid w:val="006034CE"/>
    <w:rsid w:val="006101B8"/>
    <w:rsid w:val="006179B7"/>
    <w:rsid w:val="00625608"/>
    <w:rsid w:val="006277D8"/>
    <w:rsid w:val="00632313"/>
    <w:rsid w:val="006338CB"/>
    <w:rsid w:val="00637043"/>
    <w:rsid w:val="006438CA"/>
    <w:rsid w:val="00643BD3"/>
    <w:rsid w:val="006541D5"/>
    <w:rsid w:val="00661132"/>
    <w:rsid w:val="00661DBF"/>
    <w:rsid w:val="00663AAE"/>
    <w:rsid w:val="00677AC5"/>
    <w:rsid w:val="00680313"/>
    <w:rsid w:val="006806D6"/>
    <w:rsid w:val="00683703"/>
    <w:rsid w:val="006950F8"/>
    <w:rsid w:val="006B0CA1"/>
    <w:rsid w:val="006B0FA1"/>
    <w:rsid w:val="006B223E"/>
    <w:rsid w:val="006B3CCD"/>
    <w:rsid w:val="006B4B2A"/>
    <w:rsid w:val="006B7515"/>
    <w:rsid w:val="006C30B0"/>
    <w:rsid w:val="006C3297"/>
    <w:rsid w:val="006C4D88"/>
    <w:rsid w:val="006C6248"/>
    <w:rsid w:val="006E6E9D"/>
    <w:rsid w:val="006F6914"/>
    <w:rsid w:val="006F7F67"/>
    <w:rsid w:val="00701E70"/>
    <w:rsid w:val="00704FFE"/>
    <w:rsid w:val="00711930"/>
    <w:rsid w:val="007139FC"/>
    <w:rsid w:val="007234EE"/>
    <w:rsid w:val="0073055B"/>
    <w:rsid w:val="007344E8"/>
    <w:rsid w:val="00735CE5"/>
    <w:rsid w:val="00736B10"/>
    <w:rsid w:val="007422F7"/>
    <w:rsid w:val="007434B7"/>
    <w:rsid w:val="007434F3"/>
    <w:rsid w:val="00747320"/>
    <w:rsid w:val="00753B50"/>
    <w:rsid w:val="00756A6C"/>
    <w:rsid w:val="0077240C"/>
    <w:rsid w:val="00785E8A"/>
    <w:rsid w:val="00797D57"/>
    <w:rsid w:val="007A2C66"/>
    <w:rsid w:val="007A3BF9"/>
    <w:rsid w:val="007B4149"/>
    <w:rsid w:val="007C0820"/>
    <w:rsid w:val="007C1E47"/>
    <w:rsid w:val="007C2B11"/>
    <w:rsid w:val="007C3FEF"/>
    <w:rsid w:val="007C6BD9"/>
    <w:rsid w:val="007D247C"/>
    <w:rsid w:val="007E00C6"/>
    <w:rsid w:val="007E2C57"/>
    <w:rsid w:val="007E7CCC"/>
    <w:rsid w:val="007F0EA0"/>
    <w:rsid w:val="007F4AC4"/>
    <w:rsid w:val="00804D60"/>
    <w:rsid w:val="008057E3"/>
    <w:rsid w:val="00805B79"/>
    <w:rsid w:val="00810FAC"/>
    <w:rsid w:val="00825DCB"/>
    <w:rsid w:val="00832A61"/>
    <w:rsid w:val="00841C71"/>
    <w:rsid w:val="00845A8B"/>
    <w:rsid w:val="0085658E"/>
    <w:rsid w:val="00857763"/>
    <w:rsid w:val="0086096F"/>
    <w:rsid w:val="00872C81"/>
    <w:rsid w:val="0087426C"/>
    <w:rsid w:val="00877175"/>
    <w:rsid w:val="0089008C"/>
    <w:rsid w:val="008A67E8"/>
    <w:rsid w:val="008B1B1A"/>
    <w:rsid w:val="008B48E1"/>
    <w:rsid w:val="008C55E3"/>
    <w:rsid w:val="008C5D66"/>
    <w:rsid w:val="008E07B9"/>
    <w:rsid w:val="008E2EE6"/>
    <w:rsid w:val="008E4F86"/>
    <w:rsid w:val="008E687A"/>
    <w:rsid w:val="008F500C"/>
    <w:rsid w:val="008F684E"/>
    <w:rsid w:val="00900B70"/>
    <w:rsid w:val="00907466"/>
    <w:rsid w:val="00915384"/>
    <w:rsid w:val="0091556B"/>
    <w:rsid w:val="0091558D"/>
    <w:rsid w:val="009179EF"/>
    <w:rsid w:val="00921D64"/>
    <w:rsid w:val="00932649"/>
    <w:rsid w:val="009330C3"/>
    <w:rsid w:val="00933356"/>
    <w:rsid w:val="00933DAF"/>
    <w:rsid w:val="0093677B"/>
    <w:rsid w:val="0093705E"/>
    <w:rsid w:val="0094310D"/>
    <w:rsid w:val="00943496"/>
    <w:rsid w:val="00945A2A"/>
    <w:rsid w:val="00945ADA"/>
    <w:rsid w:val="00946F05"/>
    <w:rsid w:val="0095302E"/>
    <w:rsid w:val="009545D8"/>
    <w:rsid w:val="00957FAB"/>
    <w:rsid w:val="00971434"/>
    <w:rsid w:val="009722B5"/>
    <w:rsid w:val="009735BD"/>
    <w:rsid w:val="00983730"/>
    <w:rsid w:val="00986345"/>
    <w:rsid w:val="00996E75"/>
    <w:rsid w:val="009A3B85"/>
    <w:rsid w:val="009A574C"/>
    <w:rsid w:val="009B41DC"/>
    <w:rsid w:val="009B4A52"/>
    <w:rsid w:val="009C1109"/>
    <w:rsid w:val="009C1A09"/>
    <w:rsid w:val="009C41CC"/>
    <w:rsid w:val="009C56B0"/>
    <w:rsid w:val="009D2D2D"/>
    <w:rsid w:val="009D5870"/>
    <w:rsid w:val="009D7B4B"/>
    <w:rsid w:val="009E2480"/>
    <w:rsid w:val="009F3A05"/>
    <w:rsid w:val="00A006DE"/>
    <w:rsid w:val="00A11DC9"/>
    <w:rsid w:val="00A12176"/>
    <w:rsid w:val="00A12C7B"/>
    <w:rsid w:val="00A15750"/>
    <w:rsid w:val="00A15A5B"/>
    <w:rsid w:val="00A22A3C"/>
    <w:rsid w:val="00A24B52"/>
    <w:rsid w:val="00A253E1"/>
    <w:rsid w:val="00A265E6"/>
    <w:rsid w:val="00A2662D"/>
    <w:rsid w:val="00A35C8C"/>
    <w:rsid w:val="00A363A2"/>
    <w:rsid w:val="00A40F70"/>
    <w:rsid w:val="00A411E2"/>
    <w:rsid w:val="00A445D4"/>
    <w:rsid w:val="00A455FE"/>
    <w:rsid w:val="00A5063E"/>
    <w:rsid w:val="00A511AF"/>
    <w:rsid w:val="00A523BC"/>
    <w:rsid w:val="00A52F1D"/>
    <w:rsid w:val="00A52F73"/>
    <w:rsid w:val="00A6112A"/>
    <w:rsid w:val="00A620A3"/>
    <w:rsid w:val="00A621C6"/>
    <w:rsid w:val="00A65BD8"/>
    <w:rsid w:val="00A67994"/>
    <w:rsid w:val="00A7347B"/>
    <w:rsid w:val="00A8399E"/>
    <w:rsid w:val="00A85466"/>
    <w:rsid w:val="00A92CAE"/>
    <w:rsid w:val="00A94200"/>
    <w:rsid w:val="00A9747B"/>
    <w:rsid w:val="00AB7CD6"/>
    <w:rsid w:val="00AC3E78"/>
    <w:rsid w:val="00AC4390"/>
    <w:rsid w:val="00AC50E1"/>
    <w:rsid w:val="00AC563F"/>
    <w:rsid w:val="00AC786C"/>
    <w:rsid w:val="00AC7A4A"/>
    <w:rsid w:val="00AD60DE"/>
    <w:rsid w:val="00AE1AC1"/>
    <w:rsid w:val="00AE3A86"/>
    <w:rsid w:val="00AE3F14"/>
    <w:rsid w:val="00AF20BB"/>
    <w:rsid w:val="00AF7E49"/>
    <w:rsid w:val="00B247D9"/>
    <w:rsid w:val="00B32400"/>
    <w:rsid w:val="00B408EC"/>
    <w:rsid w:val="00B453AA"/>
    <w:rsid w:val="00B47DBF"/>
    <w:rsid w:val="00B53227"/>
    <w:rsid w:val="00B57E64"/>
    <w:rsid w:val="00B60D26"/>
    <w:rsid w:val="00B61CE7"/>
    <w:rsid w:val="00B65DF1"/>
    <w:rsid w:val="00B675E5"/>
    <w:rsid w:val="00B73133"/>
    <w:rsid w:val="00B74E87"/>
    <w:rsid w:val="00B751B9"/>
    <w:rsid w:val="00B81BEC"/>
    <w:rsid w:val="00BA3FC1"/>
    <w:rsid w:val="00BB4283"/>
    <w:rsid w:val="00BB5276"/>
    <w:rsid w:val="00BC03BB"/>
    <w:rsid w:val="00BC05E8"/>
    <w:rsid w:val="00BC1ACE"/>
    <w:rsid w:val="00BC341E"/>
    <w:rsid w:val="00BD43B4"/>
    <w:rsid w:val="00BD4E76"/>
    <w:rsid w:val="00BD503A"/>
    <w:rsid w:val="00BD7678"/>
    <w:rsid w:val="00BE10D9"/>
    <w:rsid w:val="00BE1AE9"/>
    <w:rsid w:val="00BE235B"/>
    <w:rsid w:val="00BE2E31"/>
    <w:rsid w:val="00BE75BA"/>
    <w:rsid w:val="00BF3F59"/>
    <w:rsid w:val="00BF56EB"/>
    <w:rsid w:val="00BF6F6F"/>
    <w:rsid w:val="00C029D5"/>
    <w:rsid w:val="00C03AD2"/>
    <w:rsid w:val="00C06B4E"/>
    <w:rsid w:val="00C1058D"/>
    <w:rsid w:val="00C12CAD"/>
    <w:rsid w:val="00C15838"/>
    <w:rsid w:val="00C25D7E"/>
    <w:rsid w:val="00C26341"/>
    <w:rsid w:val="00C26E4E"/>
    <w:rsid w:val="00C30B1A"/>
    <w:rsid w:val="00C40A6B"/>
    <w:rsid w:val="00C4277A"/>
    <w:rsid w:val="00C450D1"/>
    <w:rsid w:val="00C472EC"/>
    <w:rsid w:val="00C50908"/>
    <w:rsid w:val="00C5797C"/>
    <w:rsid w:val="00C664CD"/>
    <w:rsid w:val="00C73772"/>
    <w:rsid w:val="00C822A5"/>
    <w:rsid w:val="00C84F34"/>
    <w:rsid w:val="00C94C84"/>
    <w:rsid w:val="00C97A22"/>
    <w:rsid w:val="00CA4A88"/>
    <w:rsid w:val="00CA787F"/>
    <w:rsid w:val="00CB1B0C"/>
    <w:rsid w:val="00CB39B7"/>
    <w:rsid w:val="00CB3D0A"/>
    <w:rsid w:val="00CB6465"/>
    <w:rsid w:val="00CB6902"/>
    <w:rsid w:val="00CC7AD9"/>
    <w:rsid w:val="00CD4FB6"/>
    <w:rsid w:val="00CE4B49"/>
    <w:rsid w:val="00CE71F0"/>
    <w:rsid w:val="00CF6661"/>
    <w:rsid w:val="00D015EE"/>
    <w:rsid w:val="00D03866"/>
    <w:rsid w:val="00D0411C"/>
    <w:rsid w:val="00D041B1"/>
    <w:rsid w:val="00D1021D"/>
    <w:rsid w:val="00D107A5"/>
    <w:rsid w:val="00D12FA7"/>
    <w:rsid w:val="00D15B97"/>
    <w:rsid w:val="00D1738B"/>
    <w:rsid w:val="00D17BF7"/>
    <w:rsid w:val="00D22314"/>
    <w:rsid w:val="00D2608A"/>
    <w:rsid w:val="00D275E4"/>
    <w:rsid w:val="00D33953"/>
    <w:rsid w:val="00D347A8"/>
    <w:rsid w:val="00D3488F"/>
    <w:rsid w:val="00D45DF2"/>
    <w:rsid w:val="00D50A1D"/>
    <w:rsid w:val="00D50EA4"/>
    <w:rsid w:val="00D50F5A"/>
    <w:rsid w:val="00D54E8E"/>
    <w:rsid w:val="00D619AA"/>
    <w:rsid w:val="00D633E6"/>
    <w:rsid w:val="00D63EE8"/>
    <w:rsid w:val="00D65913"/>
    <w:rsid w:val="00D66B5D"/>
    <w:rsid w:val="00D67093"/>
    <w:rsid w:val="00D675DE"/>
    <w:rsid w:val="00D74D66"/>
    <w:rsid w:val="00D752C2"/>
    <w:rsid w:val="00D809D8"/>
    <w:rsid w:val="00D80A41"/>
    <w:rsid w:val="00D86E2F"/>
    <w:rsid w:val="00D93DAE"/>
    <w:rsid w:val="00D957BB"/>
    <w:rsid w:val="00DA03F2"/>
    <w:rsid w:val="00DA1EF3"/>
    <w:rsid w:val="00DA5483"/>
    <w:rsid w:val="00DA70F6"/>
    <w:rsid w:val="00DB0908"/>
    <w:rsid w:val="00DC0596"/>
    <w:rsid w:val="00DC2670"/>
    <w:rsid w:val="00DC3D9E"/>
    <w:rsid w:val="00DC63EA"/>
    <w:rsid w:val="00DD336E"/>
    <w:rsid w:val="00DE5141"/>
    <w:rsid w:val="00DF3E2F"/>
    <w:rsid w:val="00DF4095"/>
    <w:rsid w:val="00DF4C29"/>
    <w:rsid w:val="00E009CD"/>
    <w:rsid w:val="00E0284B"/>
    <w:rsid w:val="00E051DB"/>
    <w:rsid w:val="00E1187F"/>
    <w:rsid w:val="00E14A29"/>
    <w:rsid w:val="00E15153"/>
    <w:rsid w:val="00E163A7"/>
    <w:rsid w:val="00E35BD6"/>
    <w:rsid w:val="00E446F4"/>
    <w:rsid w:val="00E45B81"/>
    <w:rsid w:val="00E512EF"/>
    <w:rsid w:val="00E62918"/>
    <w:rsid w:val="00E631F8"/>
    <w:rsid w:val="00E6387A"/>
    <w:rsid w:val="00E67AC3"/>
    <w:rsid w:val="00E72FDF"/>
    <w:rsid w:val="00E76796"/>
    <w:rsid w:val="00E9242D"/>
    <w:rsid w:val="00EA214A"/>
    <w:rsid w:val="00EA2720"/>
    <w:rsid w:val="00EA718F"/>
    <w:rsid w:val="00EB7919"/>
    <w:rsid w:val="00EC2627"/>
    <w:rsid w:val="00EC764E"/>
    <w:rsid w:val="00ED0D77"/>
    <w:rsid w:val="00ED478E"/>
    <w:rsid w:val="00ED7AE3"/>
    <w:rsid w:val="00EE441C"/>
    <w:rsid w:val="00EE64CB"/>
    <w:rsid w:val="00EE7595"/>
    <w:rsid w:val="00EF79CC"/>
    <w:rsid w:val="00F021F9"/>
    <w:rsid w:val="00F12790"/>
    <w:rsid w:val="00F13C05"/>
    <w:rsid w:val="00F20242"/>
    <w:rsid w:val="00F229FF"/>
    <w:rsid w:val="00F24A61"/>
    <w:rsid w:val="00F3166E"/>
    <w:rsid w:val="00F3642C"/>
    <w:rsid w:val="00F439ED"/>
    <w:rsid w:val="00F43ED2"/>
    <w:rsid w:val="00F46FE5"/>
    <w:rsid w:val="00F471B1"/>
    <w:rsid w:val="00F50968"/>
    <w:rsid w:val="00F55B3C"/>
    <w:rsid w:val="00F60338"/>
    <w:rsid w:val="00F7058D"/>
    <w:rsid w:val="00F712E4"/>
    <w:rsid w:val="00F75DAE"/>
    <w:rsid w:val="00F91060"/>
    <w:rsid w:val="00F91F5B"/>
    <w:rsid w:val="00FA445D"/>
    <w:rsid w:val="00FA67AF"/>
    <w:rsid w:val="00FC35EF"/>
    <w:rsid w:val="00FD07B7"/>
    <w:rsid w:val="00FD2394"/>
    <w:rsid w:val="00FD37C1"/>
    <w:rsid w:val="00FE05B4"/>
    <w:rsid w:val="00FE20D7"/>
    <w:rsid w:val="00FE2FE1"/>
    <w:rsid w:val="1B6F1F37"/>
    <w:rsid w:val="7FDF7C11"/>
    <w:rsid w:val="FB7668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3">
    <w:name w:val="toc 3"/>
    <w:basedOn w:val="1"/>
    <w:next w:val="1"/>
    <w:unhideWhenUsed/>
    <w:qFormat/>
    <w:uiPriority w:val="39"/>
    <w:pPr>
      <w:ind w:left="840" w:leftChars="400"/>
    </w:pPr>
  </w:style>
  <w:style w:type="paragraph" w:styleId="4">
    <w:name w:val="Balloon Text"/>
    <w:basedOn w:val="1"/>
    <w:link w:val="17"/>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toc 1"/>
    <w:basedOn w:val="1"/>
    <w:next w:val="1"/>
    <w:unhideWhenUsed/>
    <w:qFormat/>
    <w:uiPriority w:val="39"/>
    <w:pPr>
      <w:tabs>
        <w:tab w:val="right" w:leader="dot" w:pos="8296"/>
      </w:tabs>
    </w:pPr>
  </w:style>
  <w:style w:type="paragraph" w:styleId="8">
    <w:name w:val="toc 2"/>
    <w:basedOn w:val="1"/>
    <w:next w:val="1"/>
    <w:unhideWhenUsed/>
    <w:qFormat/>
    <w:uiPriority w:val="39"/>
    <w:pPr>
      <w:ind w:left="420" w:leftChars="200"/>
    </w:p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1">
    <w:name w:val="Hyperlink"/>
    <w:unhideWhenUsed/>
    <w:qFormat/>
    <w:uiPriority w:val="99"/>
    <w:rPr>
      <w:color w:val="0000FF"/>
      <w:u w:val="single"/>
    </w:rPr>
  </w:style>
  <w:style w:type="character" w:customStyle="1" w:styleId="13">
    <w:name w:val="页眉 Char"/>
    <w:basedOn w:val="10"/>
    <w:link w:val="6"/>
    <w:qFormat/>
    <w:uiPriority w:val="99"/>
    <w:rPr>
      <w:sz w:val="18"/>
      <w:szCs w:val="18"/>
    </w:rPr>
  </w:style>
  <w:style w:type="character" w:customStyle="1" w:styleId="14">
    <w:name w:val="页脚 Char"/>
    <w:basedOn w:val="10"/>
    <w:link w:val="5"/>
    <w:qFormat/>
    <w:uiPriority w:val="99"/>
    <w:rPr>
      <w:sz w:val="18"/>
      <w:szCs w:val="18"/>
    </w:rPr>
  </w:style>
  <w:style w:type="character" w:customStyle="1" w:styleId="15">
    <w:name w:val="标题 1 Char"/>
    <w:basedOn w:val="10"/>
    <w:link w:val="2"/>
    <w:qFormat/>
    <w:uiPriority w:val="9"/>
    <w:rPr>
      <w:rFonts w:ascii="Calibri" w:hAnsi="Calibri" w:eastAsia="宋体" w:cs="Times New Roman"/>
      <w:b/>
      <w:bCs/>
      <w:kern w:val="44"/>
      <w:sz w:val="44"/>
      <w:szCs w:val="44"/>
    </w:rPr>
  </w:style>
  <w:style w:type="paragraph" w:customStyle="1" w:styleId="16">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17">
    <w:name w:val="批注框文本 Char"/>
    <w:basedOn w:val="10"/>
    <w:link w:val="4"/>
    <w:semiHidden/>
    <w:qFormat/>
    <w:uiPriority w:val="99"/>
    <w:rPr>
      <w:rFonts w:ascii="Calibri" w:hAnsi="Calibri" w:eastAsia="宋体" w:cs="Times New Roman"/>
      <w:sz w:val="18"/>
      <w:szCs w:val="18"/>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svp</Company>
  <Pages>24</Pages>
  <Words>1289</Words>
  <Characters>7353</Characters>
  <Lines>61</Lines>
  <Paragraphs>17</Paragraphs>
  <TotalTime>110</TotalTime>
  <ScaleCrop>false</ScaleCrop>
  <LinksUpToDate>false</LinksUpToDate>
  <CharactersWithSpaces>8625</CharactersWithSpaces>
  <Application>WPS Office_10.1.0.7411_F1E327BC-269C-435d-A152-05C5408002CA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2019-08-23T03:18:00Z</dcterms:created>
  <dc:creator>姜军</dc:creator>
  <cp:lastModifiedBy>王文军</cp:lastModifiedBy>
  <dcterms:modified xsi:type="dcterms:W3CDTF">2019-12-05T10:16:11Z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2052-10.1.0.7411</vt:lpwstr>
  </property>
</Properties>
</file>