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2D" w:rsidRDefault="00CB7014">
      <w:pPr>
        <w:rPr>
          <w:rFonts w:ascii="黑体" w:eastAsia="黑体" w:hAnsi="黑体"/>
          <w:color w:val="070707"/>
          <w:kern w:val="0"/>
          <w:sz w:val="32"/>
        </w:rPr>
      </w:pPr>
      <w:bookmarkStart w:id="0" w:name="_GoBack"/>
      <w:bookmarkEnd w:id="0"/>
      <w:r>
        <w:rPr>
          <w:rFonts w:ascii="黑体" w:eastAsia="黑体" w:hAnsi="黑体" w:hint="eastAsia"/>
          <w:color w:val="070707"/>
          <w:kern w:val="0"/>
          <w:sz w:val="32"/>
        </w:rPr>
        <w:t>附</w:t>
      </w:r>
      <w:r>
        <w:rPr>
          <w:rFonts w:ascii="黑体" w:eastAsia="黑体" w:hAnsi="黑体"/>
          <w:color w:val="070707"/>
          <w:kern w:val="0"/>
          <w:sz w:val="32"/>
        </w:rPr>
        <w:t>件</w:t>
      </w:r>
    </w:p>
    <w:p w:rsidR="00211B2D" w:rsidRDefault="00211B2D">
      <w:pPr>
        <w:rPr>
          <w:rFonts w:ascii="仿宋_GB2312" w:eastAsia="仿宋_GB2312" w:hAnsi="宋体"/>
          <w:color w:val="070707"/>
          <w:kern w:val="0"/>
          <w:sz w:val="32"/>
        </w:rPr>
      </w:pPr>
    </w:p>
    <w:p w:rsidR="00211B2D" w:rsidRDefault="00CB7014">
      <w:pPr>
        <w:widowControl/>
        <w:spacing w:line="390" w:lineRule="atLeast"/>
        <w:jc w:val="center"/>
        <w:rPr>
          <w:rFonts w:ascii="方正小标宋简体" w:eastAsia="方正小标宋简体" w:hAnsi="方正小标宋简体" w:cs="方正小标宋简体"/>
          <w:color w:val="070707"/>
          <w:kern w:val="0"/>
          <w:sz w:val="40"/>
        </w:rPr>
      </w:pPr>
      <w:r>
        <w:rPr>
          <w:rFonts w:ascii="方正小标宋简体" w:eastAsia="方正小标宋简体" w:hAnsi="方正小标宋简体" w:cs="方正小标宋简体" w:hint="eastAsia"/>
          <w:color w:val="070707"/>
          <w:kern w:val="0"/>
          <w:sz w:val="40"/>
        </w:rPr>
        <w:t>在</w:t>
      </w:r>
      <w:r>
        <w:rPr>
          <w:rFonts w:ascii="方正小标宋简体" w:eastAsia="方正小标宋简体" w:hAnsi="方正小标宋简体" w:cs="方正小标宋简体" w:hint="eastAsia"/>
          <w:color w:val="070707"/>
          <w:kern w:val="0"/>
          <w:sz w:val="40"/>
        </w:rPr>
        <w:t>29.5-30GHz</w:t>
      </w:r>
      <w:r>
        <w:rPr>
          <w:rFonts w:ascii="方正小标宋简体" w:eastAsia="方正小标宋简体" w:hAnsi="方正小标宋简体" w:cs="方正小标宋简体" w:hint="eastAsia"/>
          <w:color w:val="070707"/>
          <w:kern w:val="0"/>
          <w:sz w:val="40"/>
        </w:rPr>
        <w:t>频段发射信号的动中通</w:t>
      </w:r>
    </w:p>
    <w:p w:rsidR="00211B2D" w:rsidRDefault="00CB7014">
      <w:pPr>
        <w:widowControl/>
        <w:spacing w:line="390" w:lineRule="atLeast"/>
        <w:jc w:val="center"/>
        <w:rPr>
          <w:rFonts w:ascii="方正小标宋简体" w:eastAsia="方正小标宋简体" w:hAnsi="方正小标宋简体" w:cs="方正小标宋简体"/>
          <w:color w:val="070707"/>
          <w:kern w:val="0"/>
          <w:sz w:val="40"/>
        </w:rPr>
      </w:pPr>
      <w:r>
        <w:rPr>
          <w:rFonts w:ascii="方正小标宋简体" w:eastAsia="方正小标宋简体" w:hAnsi="方正小标宋简体" w:cs="方正小标宋简体" w:hint="eastAsia"/>
          <w:color w:val="070707"/>
          <w:kern w:val="0"/>
          <w:sz w:val="40"/>
        </w:rPr>
        <w:t>地球站操作和技术要求</w:t>
      </w:r>
    </w:p>
    <w:p w:rsidR="00211B2D" w:rsidRDefault="00211B2D">
      <w:pPr>
        <w:widowControl/>
        <w:spacing w:line="390" w:lineRule="atLeast"/>
        <w:jc w:val="center"/>
        <w:rPr>
          <w:rFonts w:ascii="仿宋_GB2312" w:eastAsia="仿宋_GB2312" w:hAnsi="宋体"/>
          <w:color w:val="070707"/>
          <w:kern w:val="0"/>
          <w:sz w:val="32"/>
        </w:rPr>
      </w:pPr>
    </w:p>
    <w:p w:rsidR="00211B2D" w:rsidRDefault="00CB7014">
      <w:pPr>
        <w:widowControl/>
        <w:numPr>
          <w:ilvl w:val="0"/>
          <w:numId w:val="2"/>
        </w:numPr>
        <w:spacing w:line="390" w:lineRule="atLeast"/>
        <w:ind w:firstLineChars="200" w:firstLine="640"/>
        <w:rPr>
          <w:rFonts w:ascii="仿宋_GB2312" w:eastAsia="仿宋_GB2312" w:hAnsi="宋体"/>
          <w:color w:val="070707"/>
          <w:kern w:val="0"/>
          <w:sz w:val="32"/>
        </w:rPr>
      </w:pPr>
      <w:r>
        <w:rPr>
          <w:rFonts w:ascii="仿宋_GB2312" w:eastAsia="仿宋_GB2312" w:hAnsi="宋体" w:hint="eastAsia"/>
          <w:color w:val="070707"/>
          <w:kern w:val="0"/>
          <w:sz w:val="32"/>
        </w:rPr>
        <w:t>设置</w:t>
      </w:r>
      <w:r>
        <w:rPr>
          <w:rFonts w:ascii="仿宋_GB2312" w:eastAsia="仿宋_GB2312" w:hAnsi="宋体"/>
          <w:color w:val="070707"/>
          <w:kern w:val="0"/>
          <w:sz w:val="32"/>
        </w:rPr>
        <w:t>、</w:t>
      </w:r>
      <w:r>
        <w:rPr>
          <w:rFonts w:ascii="仿宋_GB2312" w:eastAsia="仿宋_GB2312" w:hAnsi="宋体" w:hint="eastAsia"/>
          <w:color w:val="070707"/>
          <w:kern w:val="0"/>
          <w:sz w:val="32"/>
        </w:rPr>
        <w:t>使用</w:t>
      </w:r>
      <w:r>
        <w:rPr>
          <w:rFonts w:ascii="仿宋_GB2312" w:eastAsia="仿宋_GB2312" w:hAnsi="宋体" w:hint="eastAsia"/>
          <w:color w:val="070707"/>
          <w:kern w:val="0"/>
          <w:sz w:val="32"/>
        </w:rPr>
        <w:t>动中通地球站</w:t>
      </w:r>
      <w:r>
        <w:rPr>
          <w:rFonts w:ascii="仿宋_GB2312" w:eastAsia="仿宋_GB2312" w:hAnsi="宋体"/>
          <w:color w:val="070707"/>
          <w:kern w:val="0"/>
          <w:sz w:val="32"/>
        </w:rPr>
        <w:t>，</w:t>
      </w:r>
      <w:r>
        <w:rPr>
          <w:rFonts w:ascii="仿宋_GB2312" w:eastAsia="仿宋_GB2312" w:hAnsi="宋体" w:hint="eastAsia"/>
          <w:color w:val="070707"/>
          <w:kern w:val="0"/>
          <w:sz w:val="32"/>
        </w:rPr>
        <w:t>应遵守</w:t>
      </w:r>
      <w:r>
        <w:rPr>
          <w:rFonts w:ascii="仿宋_GB2312" w:eastAsia="仿宋_GB2312" w:hAnsi="宋体"/>
          <w:color w:val="070707"/>
          <w:kern w:val="0"/>
          <w:sz w:val="32"/>
        </w:rPr>
        <w:t>所使用</w:t>
      </w:r>
      <w:r>
        <w:rPr>
          <w:rFonts w:ascii="仿宋_GB2312" w:eastAsia="仿宋_GB2312" w:hAnsi="宋体" w:hint="eastAsia"/>
          <w:color w:val="070707"/>
          <w:kern w:val="0"/>
          <w:sz w:val="32"/>
        </w:rPr>
        <w:t>卫星网络与其他卫星网络达成的协调协议。</w:t>
      </w:r>
    </w:p>
    <w:p w:rsidR="00211B2D" w:rsidRDefault="00CB7014">
      <w:pPr>
        <w:widowControl/>
        <w:numPr>
          <w:ilvl w:val="0"/>
          <w:numId w:val="2"/>
        </w:numPr>
        <w:spacing w:line="390" w:lineRule="atLeast"/>
        <w:ind w:firstLineChars="200" w:firstLine="640"/>
        <w:rPr>
          <w:rFonts w:ascii="仿宋_GB2312" w:eastAsia="仿宋_GB2312" w:hAnsi="宋体"/>
          <w:color w:val="070707"/>
          <w:kern w:val="0"/>
          <w:sz w:val="32"/>
        </w:rPr>
      </w:pPr>
      <w:r>
        <w:rPr>
          <w:rFonts w:ascii="仿宋_GB2312" w:eastAsia="仿宋_GB2312" w:hAnsi="宋体" w:hint="eastAsia"/>
          <w:color w:val="070707"/>
          <w:kern w:val="0"/>
          <w:sz w:val="32"/>
        </w:rPr>
        <w:t>晴朗天气条件下，在指向对地静止卫星轨道</w:t>
      </w:r>
      <w:r>
        <w:rPr>
          <w:rFonts w:ascii="仿宋_GB2312" w:eastAsia="仿宋_GB2312" w:hAnsi="宋体"/>
          <w:color w:val="070707"/>
          <w:kern w:val="0"/>
          <w:sz w:val="32"/>
        </w:rPr>
        <w:t>目标卫星</w:t>
      </w:r>
      <w:r>
        <w:rPr>
          <w:rFonts w:ascii="仿宋_GB2312" w:eastAsia="仿宋_GB2312" w:hAnsi="宋体"/>
          <w:color w:val="070707"/>
          <w:kern w:val="0"/>
          <w:sz w:val="32"/>
        </w:rPr>
        <w:t>3</w:t>
      </w:r>
      <w:r>
        <w:rPr>
          <w:rFonts w:ascii="仿宋_GB2312" w:eastAsia="仿宋_GB2312" w:hAnsi="宋体" w:hint="eastAsia"/>
          <w:color w:val="070707"/>
          <w:kern w:val="0"/>
          <w:sz w:val="32"/>
        </w:rPr>
        <w:t>度之内</w:t>
      </w:r>
      <w:r>
        <w:rPr>
          <w:rFonts w:ascii="仿宋_GB2312" w:eastAsia="仿宋_GB2312" w:hAnsi="宋体"/>
          <w:color w:val="070707"/>
          <w:kern w:val="0"/>
          <w:sz w:val="32"/>
        </w:rPr>
        <w:t>的</w:t>
      </w:r>
      <w:r>
        <w:rPr>
          <w:rFonts w:ascii="仿宋_GB2312" w:eastAsia="仿宋_GB2312" w:hAnsi="宋体" w:hint="eastAsia"/>
          <w:color w:val="070707"/>
          <w:kern w:val="0"/>
          <w:sz w:val="32"/>
        </w:rPr>
        <w:t>任何方向偏轴角ψ上的最大等效全向辐射功率谱密度不得超出以下限值：</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211B2D">
        <w:tc>
          <w:tcPr>
            <w:tcW w:w="2840" w:type="dxa"/>
            <w:vMerge w:val="restart"/>
            <w:vAlign w:val="center"/>
          </w:tcPr>
          <w:p w:rsidR="00211B2D" w:rsidRDefault="00CB7014">
            <w:pPr>
              <w:widowControl/>
              <w:spacing w:line="390" w:lineRule="atLeast"/>
              <w:jc w:val="center"/>
              <w:rPr>
                <w:rFonts w:ascii="仿宋_GB2312" w:eastAsia="仿宋_GB2312" w:hAnsi="宋体"/>
                <w:color w:val="070707"/>
                <w:kern w:val="0"/>
                <w:sz w:val="32"/>
              </w:rPr>
            </w:pPr>
            <w:r>
              <w:rPr>
                <w:rFonts w:ascii="仿宋_GB2312" w:eastAsia="仿宋_GB2312" w:hAnsi="仿宋_GB2312" w:hint="eastAsia"/>
                <w:sz w:val="28"/>
              </w:rPr>
              <w:t>偏轴角ψ</w:t>
            </w:r>
          </w:p>
        </w:tc>
        <w:tc>
          <w:tcPr>
            <w:tcW w:w="5682" w:type="dxa"/>
            <w:gridSpan w:val="2"/>
            <w:vAlign w:val="center"/>
          </w:tcPr>
          <w:p w:rsidR="00211B2D" w:rsidRDefault="00CB7014">
            <w:pPr>
              <w:widowControl/>
              <w:spacing w:line="390" w:lineRule="atLeast"/>
              <w:jc w:val="center"/>
              <w:rPr>
                <w:rFonts w:ascii="仿宋_GB2312" w:eastAsia="仿宋_GB2312" w:hAnsi="宋体"/>
                <w:color w:val="070707"/>
                <w:kern w:val="0"/>
                <w:sz w:val="32"/>
              </w:rPr>
            </w:pPr>
            <w:r>
              <w:rPr>
                <w:rFonts w:eastAsia="仿宋_GB2312"/>
                <w:sz w:val="28"/>
              </w:rPr>
              <w:t>每</w:t>
            </w:r>
            <w:r>
              <w:rPr>
                <w:rFonts w:eastAsia="仿宋_GB2312"/>
                <w:sz w:val="28"/>
              </w:rPr>
              <w:t>40kHz</w:t>
            </w:r>
            <w:r>
              <w:rPr>
                <w:rFonts w:eastAsia="仿宋_GB2312"/>
                <w:sz w:val="28"/>
              </w:rPr>
              <w:t>带宽最大等效全向辐射功率谱密度</w:t>
            </w:r>
            <w:r>
              <w:rPr>
                <w:sz w:val="28"/>
              </w:rPr>
              <w:t>[</w:t>
            </w:r>
            <w:r>
              <w:rPr>
                <w:sz w:val="28"/>
              </w:rPr>
              <w:t>dB</w:t>
            </w:r>
            <w:r>
              <w:rPr>
                <w:sz w:val="28"/>
              </w:rPr>
              <w:t>（</w:t>
            </w:r>
            <w:r>
              <w:rPr>
                <w:sz w:val="28"/>
              </w:rPr>
              <w:t>W/40kHz</w:t>
            </w:r>
            <w:r>
              <w:rPr>
                <w:sz w:val="28"/>
              </w:rPr>
              <w:t>）</w:t>
            </w:r>
            <w:r>
              <w:rPr>
                <w:sz w:val="28"/>
              </w:rPr>
              <w:t>]</w:t>
            </w:r>
          </w:p>
        </w:tc>
      </w:tr>
      <w:tr w:rsidR="00211B2D">
        <w:trPr>
          <w:trHeight w:val="599"/>
        </w:trPr>
        <w:tc>
          <w:tcPr>
            <w:tcW w:w="2840" w:type="dxa"/>
            <w:vMerge/>
            <w:vAlign w:val="center"/>
          </w:tcPr>
          <w:p w:rsidR="00211B2D" w:rsidRDefault="00211B2D">
            <w:pPr>
              <w:widowControl/>
              <w:spacing w:line="390" w:lineRule="atLeast"/>
              <w:jc w:val="center"/>
              <w:rPr>
                <w:rFonts w:ascii="仿宋_GB2312" w:eastAsia="仿宋_GB2312" w:hAnsi="宋体"/>
                <w:color w:val="070707"/>
                <w:kern w:val="0"/>
                <w:sz w:val="32"/>
              </w:rPr>
            </w:pP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仿宋_GB2312" w:eastAsia="仿宋_GB2312" w:hAnsi="仿宋_GB2312" w:hint="eastAsia"/>
                <w:sz w:val="28"/>
              </w:rPr>
              <w:t>同</w:t>
            </w:r>
            <w:r>
              <w:rPr>
                <w:rFonts w:ascii="仿宋_GB2312" w:eastAsia="仿宋_GB2312" w:hAnsi="仿宋_GB2312" w:hint="eastAsia"/>
                <w:sz w:val="28"/>
              </w:rPr>
              <w:t>极化</w:t>
            </w: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仿宋_GB2312" w:eastAsia="仿宋_GB2312" w:hAnsi="仿宋_GB2312" w:hint="eastAsia"/>
                <w:sz w:val="28"/>
              </w:rPr>
              <w:t>交叉极化</w:t>
            </w:r>
          </w:p>
        </w:tc>
      </w:tr>
      <w:tr w:rsidR="00211B2D">
        <w:tc>
          <w:tcPr>
            <w:tcW w:w="2840"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2</w:t>
            </w:r>
            <w:r>
              <w:rPr>
                <w:rFonts w:ascii="宋体" w:hAnsi="宋体" w:hint="eastAsia"/>
                <w:sz w:val="28"/>
              </w:rPr>
              <w:t>°≤ψ≤</w:t>
            </w:r>
            <w:r>
              <w:rPr>
                <w:rFonts w:ascii="宋体" w:hAnsi="宋体"/>
                <w:sz w:val="28"/>
              </w:rPr>
              <w:t>7</w:t>
            </w:r>
            <w:r>
              <w:rPr>
                <w:rFonts w:ascii="宋体" w:hAnsi="宋体" w:hint="eastAsia"/>
                <w:sz w:val="28"/>
              </w:rPr>
              <w:t>°</w:t>
            </w: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19-25log</w:t>
            </w:r>
            <w:r>
              <w:rPr>
                <w:rFonts w:ascii="宋体" w:hAnsi="宋体" w:hint="eastAsia"/>
                <w:sz w:val="28"/>
              </w:rPr>
              <w:t>ψ</w:t>
            </w: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9-25log</w:t>
            </w:r>
            <w:r>
              <w:rPr>
                <w:rFonts w:ascii="宋体" w:hAnsi="宋体" w:hint="eastAsia"/>
                <w:sz w:val="28"/>
              </w:rPr>
              <w:t>ψ</w:t>
            </w:r>
          </w:p>
        </w:tc>
      </w:tr>
      <w:tr w:rsidR="00211B2D">
        <w:tc>
          <w:tcPr>
            <w:tcW w:w="2840"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7</w:t>
            </w:r>
            <w:r>
              <w:rPr>
                <w:rFonts w:ascii="宋体" w:hAnsi="宋体" w:hint="eastAsia"/>
                <w:sz w:val="28"/>
              </w:rPr>
              <w:t>°</w:t>
            </w:r>
            <w:r>
              <w:rPr>
                <w:rFonts w:ascii="宋体" w:hAnsi="宋体"/>
                <w:sz w:val="28"/>
              </w:rPr>
              <w:t>&lt;</w:t>
            </w:r>
            <w:r>
              <w:rPr>
                <w:rFonts w:ascii="宋体" w:hAnsi="宋体" w:hint="eastAsia"/>
                <w:sz w:val="28"/>
              </w:rPr>
              <w:t>ψ≤</w:t>
            </w:r>
            <w:r>
              <w:rPr>
                <w:rFonts w:ascii="宋体" w:hAnsi="宋体"/>
                <w:sz w:val="28"/>
              </w:rPr>
              <w:t>9.2</w:t>
            </w:r>
            <w:r>
              <w:rPr>
                <w:rFonts w:ascii="宋体" w:hAnsi="宋体" w:hint="eastAsia"/>
                <w:sz w:val="28"/>
              </w:rPr>
              <w:t>°</w:t>
            </w: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-2</w:t>
            </w: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-12</w:t>
            </w:r>
          </w:p>
        </w:tc>
      </w:tr>
      <w:tr w:rsidR="00211B2D">
        <w:tc>
          <w:tcPr>
            <w:tcW w:w="2840"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9.2</w:t>
            </w:r>
            <w:r>
              <w:rPr>
                <w:rFonts w:ascii="宋体" w:hAnsi="宋体" w:hint="eastAsia"/>
                <w:sz w:val="28"/>
              </w:rPr>
              <w:t>°</w:t>
            </w:r>
            <w:r>
              <w:rPr>
                <w:rFonts w:ascii="宋体" w:hAnsi="宋体"/>
                <w:sz w:val="28"/>
              </w:rPr>
              <w:t>&lt;</w:t>
            </w:r>
            <w:r>
              <w:rPr>
                <w:rFonts w:ascii="宋体" w:hAnsi="宋体" w:hint="eastAsia"/>
                <w:sz w:val="28"/>
              </w:rPr>
              <w:t>ψ≤</w:t>
            </w:r>
            <w:r>
              <w:rPr>
                <w:rFonts w:ascii="宋体" w:hAnsi="宋体"/>
                <w:sz w:val="28"/>
              </w:rPr>
              <w:t>48</w:t>
            </w:r>
            <w:r>
              <w:rPr>
                <w:rFonts w:ascii="宋体" w:hAnsi="宋体" w:hint="eastAsia"/>
                <w:sz w:val="28"/>
              </w:rPr>
              <w:t>°</w:t>
            </w: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22-25log</w:t>
            </w:r>
            <w:r>
              <w:rPr>
                <w:rFonts w:ascii="宋体" w:hAnsi="宋体" w:hint="eastAsia"/>
                <w:sz w:val="28"/>
              </w:rPr>
              <w:t>ψ</w:t>
            </w:r>
          </w:p>
        </w:tc>
        <w:tc>
          <w:tcPr>
            <w:tcW w:w="2841" w:type="dxa"/>
            <w:vAlign w:val="center"/>
          </w:tcPr>
          <w:p w:rsidR="00211B2D" w:rsidRDefault="00211B2D">
            <w:pPr>
              <w:widowControl/>
              <w:spacing w:line="390" w:lineRule="atLeast"/>
              <w:jc w:val="center"/>
              <w:rPr>
                <w:rFonts w:ascii="仿宋_GB2312" w:eastAsia="仿宋_GB2312" w:hAnsi="宋体"/>
                <w:color w:val="070707"/>
                <w:kern w:val="0"/>
                <w:sz w:val="32"/>
              </w:rPr>
            </w:pPr>
          </w:p>
        </w:tc>
      </w:tr>
      <w:tr w:rsidR="00211B2D">
        <w:tc>
          <w:tcPr>
            <w:tcW w:w="2840"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48</w:t>
            </w:r>
            <w:r>
              <w:rPr>
                <w:rFonts w:ascii="宋体" w:hAnsi="宋体" w:hint="eastAsia"/>
                <w:sz w:val="28"/>
              </w:rPr>
              <w:t>°</w:t>
            </w:r>
            <w:r>
              <w:rPr>
                <w:rFonts w:ascii="宋体" w:hAnsi="宋体"/>
                <w:sz w:val="28"/>
              </w:rPr>
              <w:t>&lt;</w:t>
            </w:r>
            <w:r>
              <w:rPr>
                <w:rFonts w:ascii="宋体" w:hAnsi="宋体" w:hint="eastAsia"/>
                <w:sz w:val="28"/>
              </w:rPr>
              <w:t>ψ≤</w:t>
            </w:r>
            <w:r>
              <w:rPr>
                <w:rFonts w:ascii="宋体" w:hAnsi="宋体"/>
                <w:sz w:val="28"/>
              </w:rPr>
              <w:t>180</w:t>
            </w:r>
            <w:r>
              <w:rPr>
                <w:rFonts w:ascii="宋体" w:hAnsi="宋体" w:hint="eastAsia"/>
                <w:sz w:val="28"/>
              </w:rPr>
              <w:t>°</w:t>
            </w:r>
          </w:p>
        </w:tc>
        <w:tc>
          <w:tcPr>
            <w:tcW w:w="2841" w:type="dxa"/>
            <w:vAlign w:val="center"/>
          </w:tcPr>
          <w:p w:rsidR="00211B2D" w:rsidRDefault="00CB7014">
            <w:pPr>
              <w:widowControl/>
              <w:spacing w:line="390" w:lineRule="atLeast"/>
              <w:jc w:val="center"/>
              <w:rPr>
                <w:rFonts w:ascii="仿宋_GB2312" w:eastAsia="仿宋_GB2312" w:hAnsi="宋体"/>
                <w:color w:val="070707"/>
                <w:kern w:val="0"/>
                <w:sz w:val="32"/>
              </w:rPr>
            </w:pPr>
            <w:r>
              <w:rPr>
                <w:rFonts w:ascii="宋体" w:hAnsi="宋体"/>
                <w:sz w:val="28"/>
              </w:rPr>
              <w:t>-10</w:t>
            </w:r>
          </w:p>
        </w:tc>
        <w:tc>
          <w:tcPr>
            <w:tcW w:w="2841" w:type="dxa"/>
            <w:vAlign w:val="center"/>
          </w:tcPr>
          <w:p w:rsidR="00211B2D" w:rsidRDefault="00211B2D">
            <w:pPr>
              <w:widowControl/>
              <w:spacing w:line="390" w:lineRule="atLeast"/>
              <w:jc w:val="center"/>
              <w:rPr>
                <w:rFonts w:ascii="仿宋_GB2312" w:eastAsia="仿宋_GB2312" w:hAnsi="宋体"/>
                <w:color w:val="070707"/>
                <w:kern w:val="0"/>
                <w:sz w:val="32"/>
              </w:rPr>
            </w:pPr>
          </w:p>
        </w:tc>
      </w:tr>
    </w:tbl>
    <w:p w:rsidR="00211B2D" w:rsidRDefault="00CB7014">
      <w:pPr>
        <w:widowControl/>
        <w:spacing w:line="390" w:lineRule="atLeast"/>
        <w:rPr>
          <w:rFonts w:ascii="仿宋_GB2312" w:eastAsia="仿宋_GB2312" w:hAnsi="宋体"/>
          <w:color w:val="070707"/>
          <w:kern w:val="0"/>
          <w:sz w:val="24"/>
        </w:rPr>
      </w:pPr>
      <w:r>
        <w:rPr>
          <w:rFonts w:ascii="仿宋_GB2312" w:eastAsia="仿宋_GB2312" w:hAnsi="宋体"/>
          <w:color w:val="070707"/>
          <w:kern w:val="0"/>
          <w:sz w:val="24"/>
        </w:rPr>
        <w:t>注：偏轴角</w:t>
      </w:r>
      <w:r>
        <w:rPr>
          <w:rFonts w:hint="eastAsia"/>
          <w:kern w:val="0"/>
          <w:sz w:val="24"/>
        </w:rPr>
        <w:t>ψ</w:t>
      </w:r>
      <w:r>
        <w:rPr>
          <w:kern w:val="0"/>
          <w:sz w:val="24"/>
        </w:rPr>
        <w:t>是指地球站天线</w:t>
      </w:r>
      <w:proofErr w:type="gramStart"/>
      <w:r>
        <w:rPr>
          <w:kern w:val="0"/>
          <w:sz w:val="24"/>
        </w:rPr>
        <w:t>到邻星连线</w:t>
      </w:r>
      <w:proofErr w:type="gramEnd"/>
      <w:r>
        <w:rPr>
          <w:rFonts w:hint="eastAsia"/>
          <w:kern w:val="0"/>
          <w:sz w:val="24"/>
        </w:rPr>
        <w:t>与</w:t>
      </w:r>
      <w:r>
        <w:rPr>
          <w:rFonts w:hint="eastAsia"/>
          <w:sz w:val="24"/>
        </w:rPr>
        <w:t>地球站天线到目标卫星连线间的偏离角度</w:t>
      </w:r>
      <w:r>
        <w:rPr>
          <w:sz w:val="24"/>
        </w:rPr>
        <w:t>。</w:t>
      </w:r>
    </w:p>
    <w:p w:rsidR="00211B2D" w:rsidRDefault="00CB7014">
      <w:pPr>
        <w:widowControl/>
        <w:numPr>
          <w:ilvl w:val="0"/>
          <w:numId w:val="2"/>
        </w:numPr>
        <w:spacing w:line="390" w:lineRule="atLeast"/>
        <w:ind w:firstLineChars="200" w:firstLine="640"/>
        <w:rPr>
          <w:rFonts w:ascii="仿宋_GB2312" w:eastAsia="仿宋_GB2312" w:hAnsi="宋体"/>
          <w:color w:val="070707"/>
          <w:kern w:val="0"/>
          <w:sz w:val="32"/>
        </w:rPr>
      </w:pPr>
      <w:r>
        <w:rPr>
          <w:rFonts w:ascii="仿宋_GB2312" w:eastAsia="仿宋_GB2312" w:hAnsi="宋体" w:hint="eastAsia"/>
          <w:color w:val="070707"/>
          <w:kern w:val="0"/>
          <w:sz w:val="32"/>
        </w:rPr>
        <w:t>对于以低仰角</w:t>
      </w:r>
      <w:r>
        <w:rPr>
          <w:rFonts w:ascii="宋体" w:hAnsi="宋体" w:hint="eastAsia"/>
          <w:sz w:val="36"/>
        </w:rPr>
        <w:t>ε</w:t>
      </w:r>
      <w:r>
        <w:rPr>
          <w:rFonts w:ascii="仿宋_GB2312" w:eastAsia="仿宋_GB2312" w:hAnsi="宋体" w:hint="eastAsia"/>
          <w:color w:val="070707"/>
          <w:kern w:val="0"/>
          <w:sz w:val="32"/>
        </w:rPr>
        <w:t>运行的动中通地球站，</w:t>
      </w:r>
      <w:r>
        <w:rPr>
          <w:rFonts w:eastAsia="仿宋_GB2312"/>
          <w:color w:val="070707"/>
          <w:kern w:val="0"/>
          <w:sz w:val="32"/>
        </w:rPr>
        <w:t>当地球站仰角低于</w:t>
      </w:r>
      <w:r>
        <w:rPr>
          <w:rFonts w:eastAsia="仿宋_GB2312"/>
          <w:color w:val="070707"/>
          <w:kern w:val="0"/>
          <w:sz w:val="32"/>
        </w:rPr>
        <w:t>5</w:t>
      </w:r>
      <w:r>
        <w:rPr>
          <w:rFonts w:eastAsia="仿宋_GB2312"/>
          <w:color w:val="070707"/>
          <w:kern w:val="0"/>
          <w:sz w:val="32"/>
        </w:rPr>
        <w:t>度时，每</w:t>
      </w:r>
      <w:r>
        <w:rPr>
          <w:rFonts w:eastAsia="仿宋_GB2312"/>
          <w:color w:val="070707"/>
          <w:kern w:val="0"/>
          <w:sz w:val="32"/>
        </w:rPr>
        <w:t>40kHz</w:t>
      </w:r>
      <w:r>
        <w:rPr>
          <w:rFonts w:eastAsia="仿宋_GB2312"/>
          <w:color w:val="070707"/>
          <w:kern w:val="0"/>
          <w:sz w:val="32"/>
        </w:rPr>
        <w:t>带宽最大等效全向辐射功率谱密度限值可增加</w:t>
      </w:r>
      <w:r>
        <w:rPr>
          <w:rFonts w:eastAsia="仿宋_GB2312"/>
          <w:color w:val="070707"/>
          <w:kern w:val="0"/>
          <w:sz w:val="32"/>
        </w:rPr>
        <w:t>2.5dB</w:t>
      </w:r>
      <w:r>
        <w:rPr>
          <w:rFonts w:eastAsia="仿宋_GB2312"/>
          <w:color w:val="070707"/>
          <w:kern w:val="0"/>
          <w:sz w:val="32"/>
        </w:rPr>
        <w:t>；当地球站仰角在</w:t>
      </w:r>
      <w:r>
        <w:rPr>
          <w:rFonts w:eastAsia="仿宋_GB2312"/>
          <w:color w:val="070707"/>
          <w:kern w:val="0"/>
          <w:sz w:val="32"/>
        </w:rPr>
        <w:t>5</w:t>
      </w:r>
      <w:r>
        <w:rPr>
          <w:rFonts w:eastAsia="仿宋_GB2312"/>
          <w:color w:val="070707"/>
          <w:kern w:val="0"/>
          <w:sz w:val="32"/>
        </w:rPr>
        <w:t>度至</w:t>
      </w:r>
      <w:r>
        <w:rPr>
          <w:rFonts w:eastAsia="仿宋_GB2312"/>
          <w:color w:val="070707"/>
          <w:kern w:val="0"/>
          <w:sz w:val="32"/>
        </w:rPr>
        <w:t>30</w:t>
      </w:r>
      <w:r>
        <w:rPr>
          <w:rFonts w:eastAsia="仿宋_GB2312"/>
          <w:color w:val="070707"/>
          <w:kern w:val="0"/>
          <w:sz w:val="32"/>
        </w:rPr>
        <w:t>度间时，每</w:t>
      </w:r>
      <w:r>
        <w:rPr>
          <w:rFonts w:eastAsia="仿宋_GB2312"/>
          <w:color w:val="070707"/>
          <w:kern w:val="0"/>
          <w:sz w:val="32"/>
        </w:rPr>
        <w:lastRenderedPageBreak/>
        <w:t>40kHz</w:t>
      </w:r>
      <w:r>
        <w:rPr>
          <w:rFonts w:eastAsia="仿宋_GB2312"/>
          <w:color w:val="070707"/>
          <w:kern w:val="0"/>
          <w:sz w:val="32"/>
        </w:rPr>
        <w:t>带宽最大等效全向辐射功率谱密度限值可增加（</w:t>
      </w:r>
      <w:r>
        <w:rPr>
          <w:sz w:val="28"/>
        </w:rPr>
        <w:t>3-0.1</w:t>
      </w:r>
      <w:r>
        <w:rPr>
          <w:rFonts w:ascii="宋体" w:hAnsi="宋体" w:hint="eastAsia"/>
          <w:sz w:val="36"/>
        </w:rPr>
        <w:t>ε</w:t>
      </w:r>
      <w:r>
        <w:rPr>
          <w:rFonts w:ascii="宋体" w:hAnsi="宋体"/>
          <w:sz w:val="36"/>
        </w:rPr>
        <w:t>）</w:t>
      </w:r>
      <w:r>
        <w:rPr>
          <w:sz w:val="28"/>
        </w:rPr>
        <w:t>dB</w:t>
      </w:r>
      <w:r>
        <w:rPr>
          <w:rFonts w:eastAsia="仿宋_GB2312"/>
          <w:color w:val="070707"/>
          <w:kern w:val="0"/>
          <w:sz w:val="32"/>
        </w:rPr>
        <w:t>。</w:t>
      </w:r>
    </w:p>
    <w:p w:rsidR="00211B2D" w:rsidRDefault="00CB7014">
      <w:pPr>
        <w:widowControl/>
        <w:numPr>
          <w:ilvl w:val="0"/>
          <w:numId w:val="2"/>
        </w:numPr>
        <w:spacing w:line="390" w:lineRule="atLeast"/>
        <w:ind w:firstLineChars="200" w:firstLine="640"/>
        <w:rPr>
          <w:rFonts w:eastAsia="仿宋_GB2312"/>
          <w:color w:val="070707"/>
          <w:kern w:val="0"/>
          <w:sz w:val="32"/>
        </w:rPr>
      </w:pPr>
      <w:r>
        <w:rPr>
          <w:rFonts w:eastAsia="仿宋_GB2312"/>
          <w:color w:val="070707"/>
          <w:kern w:val="0"/>
          <w:sz w:val="32"/>
        </w:rPr>
        <w:t>除机载动中通地球站外，其他类型的动中通地球站工作时，天线的主瓣轴向与水平方向夹角应不小于</w:t>
      </w:r>
      <w:r>
        <w:rPr>
          <w:rFonts w:eastAsia="仿宋_GB2312"/>
          <w:color w:val="070707"/>
          <w:kern w:val="0"/>
          <w:sz w:val="32"/>
        </w:rPr>
        <w:t>10</w:t>
      </w:r>
      <w:r>
        <w:rPr>
          <w:rFonts w:eastAsia="仿宋_GB2312"/>
          <w:color w:val="070707"/>
          <w:kern w:val="0"/>
          <w:sz w:val="32"/>
        </w:rPr>
        <w:t>度，天线的交叉极化隔离度应始终大于</w:t>
      </w:r>
      <w:r>
        <w:rPr>
          <w:rFonts w:eastAsia="仿宋_GB2312"/>
          <w:color w:val="070707"/>
          <w:kern w:val="0"/>
          <w:sz w:val="32"/>
        </w:rPr>
        <w:t>20dB</w:t>
      </w:r>
      <w:r>
        <w:rPr>
          <w:rFonts w:eastAsia="仿宋_GB2312"/>
          <w:color w:val="070707"/>
          <w:kern w:val="0"/>
          <w:sz w:val="32"/>
        </w:rPr>
        <w:t>。</w:t>
      </w:r>
    </w:p>
    <w:p w:rsidR="00211B2D" w:rsidRDefault="00CB7014">
      <w:pPr>
        <w:widowControl/>
        <w:numPr>
          <w:ilvl w:val="0"/>
          <w:numId w:val="2"/>
        </w:numPr>
        <w:spacing w:line="390" w:lineRule="atLeast"/>
        <w:ind w:firstLineChars="200" w:firstLine="640"/>
        <w:rPr>
          <w:rFonts w:eastAsia="仿宋_GB2312"/>
          <w:color w:val="070707"/>
          <w:kern w:val="0"/>
          <w:sz w:val="32"/>
        </w:rPr>
      </w:pPr>
      <w:r>
        <w:rPr>
          <w:rFonts w:eastAsia="仿宋_GB2312"/>
          <w:color w:val="070707"/>
          <w:kern w:val="0"/>
          <w:sz w:val="32"/>
        </w:rPr>
        <w:t>所使用的抛物面天线口径或非抛物面天线电性能等效口径均不得小于</w:t>
      </w:r>
      <w:r>
        <w:rPr>
          <w:rFonts w:eastAsia="仿宋_GB2312"/>
          <w:color w:val="070707"/>
          <w:kern w:val="0"/>
          <w:sz w:val="32"/>
        </w:rPr>
        <w:t>0.45</w:t>
      </w:r>
      <w:r>
        <w:rPr>
          <w:rFonts w:eastAsia="仿宋_GB2312"/>
          <w:color w:val="070707"/>
          <w:kern w:val="0"/>
          <w:sz w:val="32"/>
        </w:rPr>
        <w:t>米。</w:t>
      </w:r>
    </w:p>
    <w:p w:rsidR="00211B2D" w:rsidRDefault="00CB7014">
      <w:pPr>
        <w:widowControl/>
        <w:numPr>
          <w:ilvl w:val="0"/>
          <w:numId w:val="2"/>
        </w:numPr>
        <w:spacing w:line="390" w:lineRule="atLeast"/>
        <w:ind w:firstLineChars="200" w:firstLine="640"/>
        <w:rPr>
          <w:rFonts w:eastAsia="仿宋_GB2312"/>
          <w:color w:val="070707"/>
          <w:kern w:val="0"/>
          <w:sz w:val="32"/>
        </w:rPr>
      </w:pPr>
      <w:r>
        <w:rPr>
          <w:rFonts w:eastAsia="仿宋_GB2312"/>
          <w:color w:val="070707"/>
          <w:kern w:val="0"/>
          <w:sz w:val="32"/>
        </w:rPr>
        <w:t>动中通地球站指向目标卫星天线主瓣轴的指向误差应小于</w:t>
      </w:r>
      <w:r>
        <w:rPr>
          <w:rFonts w:eastAsia="仿宋_GB2312"/>
          <w:color w:val="070707"/>
          <w:kern w:val="0"/>
          <w:sz w:val="32"/>
        </w:rPr>
        <w:t>0.2</w:t>
      </w:r>
      <w:r>
        <w:rPr>
          <w:rFonts w:eastAsia="仿宋_GB2312"/>
          <w:color w:val="070707"/>
          <w:kern w:val="0"/>
          <w:sz w:val="32"/>
        </w:rPr>
        <w:t>度。在工作中，一旦指向目标卫星的天线主瓣轴误差大于</w:t>
      </w:r>
      <w:r>
        <w:rPr>
          <w:rFonts w:eastAsia="仿宋_GB2312"/>
          <w:color w:val="070707"/>
          <w:kern w:val="0"/>
          <w:sz w:val="32"/>
        </w:rPr>
        <w:t>0.5</w:t>
      </w:r>
      <w:r>
        <w:rPr>
          <w:rFonts w:eastAsia="仿宋_GB2312"/>
          <w:color w:val="070707"/>
          <w:kern w:val="0"/>
          <w:sz w:val="32"/>
        </w:rPr>
        <w:t>度，应该在</w:t>
      </w:r>
      <w:r>
        <w:rPr>
          <w:rFonts w:eastAsia="仿宋_GB2312"/>
          <w:color w:val="070707"/>
          <w:kern w:val="0"/>
          <w:sz w:val="32"/>
        </w:rPr>
        <w:t>100</w:t>
      </w:r>
      <w:r>
        <w:rPr>
          <w:rFonts w:eastAsia="仿宋_GB2312"/>
          <w:color w:val="070707"/>
          <w:kern w:val="0"/>
          <w:sz w:val="32"/>
        </w:rPr>
        <w:t>毫秒内自动停止一切信号发射，直至误差恢复至小于</w:t>
      </w:r>
      <w:r>
        <w:rPr>
          <w:rFonts w:eastAsia="仿宋_GB2312"/>
          <w:color w:val="070707"/>
          <w:kern w:val="0"/>
          <w:sz w:val="32"/>
        </w:rPr>
        <w:t>0.2</w:t>
      </w:r>
      <w:r>
        <w:rPr>
          <w:rFonts w:eastAsia="仿宋_GB2312"/>
          <w:color w:val="070707"/>
          <w:kern w:val="0"/>
          <w:sz w:val="32"/>
        </w:rPr>
        <w:t>度时，方可继续发射信号。</w:t>
      </w:r>
    </w:p>
    <w:p w:rsidR="00211B2D" w:rsidRDefault="00CB7014">
      <w:pPr>
        <w:widowControl/>
        <w:numPr>
          <w:ilvl w:val="0"/>
          <w:numId w:val="2"/>
        </w:numPr>
        <w:spacing w:line="390" w:lineRule="atLeast"/>
        <w:ind w:firstLineChars="200" w:firstLine="640"/>
        <w:rPr>
          <w:rFonts w:eastAsia="仿宋_GB2312"/>
          <w:color w:val="070707"/>
          <w:kern w:val="0"/>
          <w:sz w:val="32"/>
        </w:rPr>
      </w:pPr>
      <w:r>
        <w:rPr>
          <w:rFonts w:eastAsia="仿宋_GB2312"/>
          <w:color w:val="070707"/>
          <w:kern w:val="0"/>
          <w:sz w:val="32"/>
        </w:rPr>
        <w:t>动中通地球站应具有自动关闭发射信号的功能，该功能可由动中通地球站所属卫星通信网的监测和控制中心控制，或由动中通地球站自行控制。一旦最大等效全向辐射功率谱密度超出限值或与相应卫星通信中断而捕获到其他卫星时，动中通地球站应能自动关闭发射，或由监测和控制中心遥控停止发射。</w:t>
      </w:r>
    </w:p>
    <w:sectPr w:rsidR="00211B2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chineseCounting"/>
      <w:suff w:val="nothing"/>
      <w:lvlText w:val="%1、"/>
      <w:lvlJc w:val="left"/>
      <w:pPr>
        <w:ind w:firstLine="420"/>
      </w:pPr>
      <w:rPr>
        <w:rFonts w:hint="eastAsia"/>
      </w:rPr>
    </w:lvl>
  </w:abstractNum>
  <w:abstractNum w:abstractNumId="1" w15:restartNumberingAfterBreak="0">
    <w:nsid w:val="00000009"/>
    <w:multiLevelType w:val="singleLevel"/>
    <w:tmpl w:val="00000009"/>
    <w:lvl w:ilvl="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C861FF8"/>
    <w:rsid w:val="FB1DFD17"/>
    <w:rsid w:val="00211B2D"/>
    <w:rsid w:val="00CB7014"/>
    <w:rsid w:val="073FE71C"/>
    <w:rsid w:val="1C861FF8"/>
    <w:rsid w:val="5BBE6391"/>
    <w:rsid w:val="6FFE52E4"/>
    <w:rsid w:val="7ACF0E63"/>
    <w:rsid w:val="7AD9E48E"/>
    <w:rsid w:val="7F5D391D"/>
    <w:rsid w:val="935FD357"/>
    <w:rsid w:val="F19FD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739cc3">
      <v:fill color="white" angle="-90" type="gradient">
        <o:fill v:ext="view" type="gradientUnscaled"/>
      </v:fill>
      <v:stroke color="#739cc3" weight="1.25pt" miterlimit="2"/>
    </o:shapedefaults>
    <o:shapelayout v:ext="edit">
      <o:idmap v:ext="edit" data="1"/>
    </o:shapelayout>
  </w:shapeDefaults>
  <w:decimalSymbol w:val="."/>
  <w:listSeparator w:val=","/>
  <w14:docId w14:val="1758968C"/>
  <w15:docId w15:val="{D145DC04-77AB-4D48-9FE8-87C52DBD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现将《关于规范对地静止轨道卫星固定业务Ka频段设置使用动中通地球站相关事宜的通知》印发给你们，请认真贯彻执行。</dc:title>
  <dc:creator>GCYB-PC</dc:creator>
  <cp:lastModifiedBy>zhang</cp:lastModifiedBy>
  <cp:revision>2</cp:revision>
  <dcterms:created xsi:type="dcterms:W3CDTF">2019-06-27T08:20:00Z</dcterms:created>
  <dcterms:modified xsi:type="dcterms:W3CDTF">2019-06-27T08:20:00Z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