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after="0" w:afterLines="0" w:line="240" w:lineRule="auto"/>
        <w:jc w:val="left"/>
        <w:textAlignment w:val="auto"/>
        <w:outlineLvl w:val="9"/>
        <w:rPr>
          <w:rFonts w:hint="eastAsia" w:ascii="黑体" w:hAnsi="黑体" w:eastAsia="黑体" w:cs="黑体"/>
          <w:b w:val="0"/>
          <w:bCs/>
          <w:spacing w:val="2"/>
          <w:position w:val="-4"/>
          <w:sz w:val="32"/>
          <w:szCs w:val="32"/>
          <w:lang w:eastAsia="zh-CN"/>
        </w:rPr>
      </w:pPr>
      <w:r>
        <w:rPr>
          <w:rFonts w:hint="eastAsia" w:ascii="黑体" w:hAnsi="黑体" w:eastAsia="黑体" w:cs="黑体"/>
          <w:b w:val="0"/>
          <w:bCs/>
          <w:spacing w:val="2"/>
          <w:position w:val="-4"/>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outlineLvl w:val="9"/>
        <w:rPr>
          <w:rFonts w:ascii="仿宋" w:hAnsi="仿宋" w:eastAsia="仿宋" w:cs="宋体"/>
          <w:b/>
          <w:spacing w:val="2"/>
          <w:position w:val="-4"/>
          <w:sz w:val="44"/>
          <w:szCs w:val="44"/>
          <w:lang w:eastAsia="zh-CN"/>
        </w:rPr>
      </w:pPr>
      <w:r>
        <w:rPr>
          <w:rFonts w:hint="eastAsia" w:ascii="方正小标宋_GBK" w:hAnsi="方正小标宋_GBK" w:eastAsia="方正小标宋_GBK" w:cs="方正小标宋_GBK"/>
          <w:b w:val="0"/>
          <w:bCs/>
          <w:spacing w:val="2"/>
          <w:position w:val="-4"/>
          <w:sz w:val="44"/>
          <w:szCs w:val="44"/>
          <w:lang w:eastAsia="zh-CN"/>
        </w:rPr>
        <w:t>工业机器人行业规范条件</w:t>
      </w:r>
    </w:p>
    <w:p>
      <w:pPr>
        <w:keepNext w:val="0"/>
        <w:keepLines w:val="0"/>
        <w:pageBreakBefore w:val="0"/>
        <w:widowControl w:val="0"/>
        <w:kinsoku/>
        <w:wordWrap/>
        <w:overflowPunct/>
        <w:topLinePunct w:val="0"/>
        <w:autoSpaceDE/>
        <w:autoSpaceDN/>
        <w:bidi w:val="0"/>
        <w:adjustRightInd/>
        <w:snapToGrid/>
        <w:spacing w:after="0" w:afterLines="0" w:line="240" w:lineRule="auto"/>
        <w:jc w:val="center"/>
        <w:textAlignment w:val="auto"/>
        <w:outlineLvl w:val="9"/>
        <w:rPr>
          <w:rFonts w:ascii="仿宋" w:hAnsi="仿宋" w:eastAsia="仿宋" w:cs="宋体"/>
          <w:spacing w:val="2"/>
          <w:position w:val="-4"/>
          <w:sz w:val="40"/>
          <w:szCs w:val="44"/>
          <w:lang w:eastAsia="zh-CN"/>
        </w:rPr>
      </w:pP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left="0" w:leftChars="0" w:right="-23" w:firstLine="0" w:firstLineChars="0"/>
        <w:textAlignment w:val="auto"/>
        <w:outlineLvl w:val="9"/>
        <w:rPr>
          <w:rFonts w:ascii="仿宋" w:hAnsi="仿宋" w:eastAsia="仿宋" w:cs="宋体"/>
          <w:b/>
          <w:sz w:val="32"/>
          <w:szCs w:val="32"/>
          <w:lang w:eastAsia="zh-CN"/>
        </w:rPr>
      </w:pPr>
      <w:r>
        <w:rPr>
          <w:rFonts w:hint="eastAsia" w:ascii="仿宋" w:hAnsi="仿宋" w:eastAsia="仿宋" w:cs="宋体"/>
          <w:b/>
          <w:position w:val="-3"/>
          <w:sz w:val="32"/>
          <w:szCs w:val="32"/>
          <w:lang w:val="en-US" w:eastAsia="zh-CN"/>
        </w:rPr>
        <w:t xml:space="preserve">    </w:t>
      </w:r>
      <w:r>
        <w:rPr>
          <w:rFonts w:hint="eastAsia" w:ascii="仿宋" w:hAnsi="仿宋" w:eastAsia="仿宋" w:cs="宋体"/>
          <w:b/>
          <w:position w:val="-3"/>
          <w:sz w:val="32"/>
          <w:szCs w:val="32"/>
          <w:lang w:eastAsia="zh-CN"/>
        </w:rPr>
        <w:t xml:space="preserve"> </w:t>
      </w:r>
      <w:r>
        <w:rPr>
          <w:rFonts w:hint="eastAsia" w:ascii="黑体" w:hAnsi="黑体" w:eastAsia="黑体" w:cs="黑体"/>
          <w:b w:val="0"/>
          <w:position w:val="0"/>
          <w:sz w:val="32"/>
          <w:szCs w:val="32"/>
          <w:lang w:eastAsia="zh-CN"/>
        </w:rPr>
        <w:t>一、总则</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（一）为贯彻落实《机器人产业发展规划（2016</w:t>
      </w:r>
      <w:r>
        <w:rPr>
          <w:rFonts w:hint="eastAsia" w:ascii="Times New Roman" w:hAnsi="Times New Roman" w:eastAsia="仿宋" w:cs="Times New Roman"/>
          <w:sz w:val="32"/>
          <w:szCs w:val="32"/>
          <w:lang w:val="en-US" w:eastAsia="zh-CN"/>
        </w:rPr>
        <w:t>-</w:t>
      </w:r>
      <w:r>
        <w:rPr>
          <w:rFonts w:hint="eastAsia" w:ascii="仿宋" w:hAnsi="仿宋" w:eastAsia="仿宋"/>
          <w:sz w:val="32"/>
          <w:szCs w:val="32"/>
          <w:lang w:eastAsia="zh-CN"/>
        </w:rPr>
        <w:t>2020年）》，加强工业机器人产品质量管理，规范行业市场秩序，维护用户合法权益，保护工业机器人本体生产企业和工业机器人集成应用企业科技投入的积极性，按照鼓励技术进步、规范竞争行为、促进安全生产的原则，根据国家有关法律法规和产业政策，制定《工业机器人行业规范条件》（以下简称规范条件）。</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（二）鼓励工业机器人本体生产企业和工业机器人集成应用企业按照本规范条件自愿申请规范条件公告，对符合规范条件的企业以公告的形式向社会发布，引导各类鼓励政策向公告企业集聚。</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（三）本规范条件适用于中华人民共和国境内的工业机器人本体生产企业和工业机器人集成应用企业。</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left="0" w:leftChars="0" w:right="-23" w:firstLine="0" w:firstLineChars="0"/>
        <w:textAlignment w:val="auto"/>
        <w:outlineLvl w:val="9"/>
        <w:rPr>
          <w:rFonts w:ascii="仿宋" w:hAnsi="仿宋" w:eastAsia="仿宋" w:cs="宋体"/>
          <w:b/>
          <w:position w:val="-3"/>
          <w:sz w:val="32"/>
          <w:szCs w:val="32"/>
          <w:lang w:eastAsia="zh-CN"/>
        </w:rPr>
      </w:pPr>
      <w:r>
        <w:rPr>
          <w:rFonts w:hint="eastAsia" w:ascii="仿宋" w:hAnsi="仿宋" w:eastAsia="仿宋" w:cs="宋体"/>
          <w:b/>
          <w:position w:val="-3"/>
          <w:sz w:val="32"/>
          <w:szCs w:val="32"/>
          <w:lang w:eastAsia="zh-CN"/>
        </w:rPr>
        <w:t xml:space="preserve">    </w:t>
      </w:r>
      <w:r>
        <w:rPr>
          <w:rFonts w:hint="eastAsia" w:ascii="黑体" w:hAnsi="黑体" w:eastAsia="黑体" w:cs="黑体"/>
          <w:b w:val="0"/>
          <w:position w:val="0"/>
          <w:sz w:val="32"/>
          <w:szCs w:val="32"/>
          <w:lang w:eastAsia="zh-CN"/>
        </w:rPr>
        <w:t>二、综合条件</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（四）具有独立企业法人资格，并取得营业执照。</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（五）符合国家相关产业政策要求。</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 xml:space="preserve">（六）具有独立研发、生产、专业技术服务能力。 </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（七）有良好的资信和公众形象，有良好的履约能力，依法纳税，近三年无触犯国家法律法规的行为、无不正当竞争行为。</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（八）具备信息化、智能化管理手段。</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（九）工业机器人本体生产企业应具备与所开展的工业机器人研发、生产等活动相适应的研发、生产、起重、运输等设施设备。</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（十）工业机器人集成应用企业应具备与</w:t>
      </w:r>
      <w:r>
        <w:rPr>
          <w:rFonts w:hint="default" w:ascii="仿宋" w:hAnsi="仿宋" w:eastAsia="仿宋"/>
          <w:sz w:val="32"/>
          <w:szCs w:val="32"/>
          <w:lang w:eastAsia="zh-CN"/>
        </w:rPr>
        <w:t>所开</w:t>
      </w:r>
      <w:r>
        <w:rPr>
          <w:rFonts w:hint="eastAsia" w:ascii="仿宋" w:hAnsi="仿宋" w:eastAsia="仿宋"/>
          <w:sz w:val="32"/>
          <w:szCs w:val="32"/>
          <w:highlight w:val="none"/>
          <w:lang w:eastAsia="zh-CN"/>
        </w:rPr>
        <w:t>展</w:t>
      </w:r>
      <w:r>
        <w:rPr>
          <w:rFonts w:hint="eastAsia" w:ascii="仿宋" w:hAnsi="仿宋" w:eastAsia="仿宋"/>
          <w:sz w:val="32"/>
          <w:szCs w:val="32"/>
          <w:lang w:eastAsia="zh-CN"/>
        </w:rPr>
        <w:t>的工业机器人系统集成、专业技术服务等活动相适应的研发、设计、生产、装配、起重、运输等设施设备。</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left="119" w:right="-23" w:firstLine="0" w:firstLineChars="0"/>
        <w:textAlignment w:val="auto"/>
        <w:outlineLvl w:val="9"/>
        <w:rPr>
          <w:rFonts w:ascii="仿宋" w:hAnsi="仿宋" w:eastAsia="仿宋" w:cs="宋体"/>
          <w:b/>
          <w:position w:val="-3"/>
          <w:sz w:val="32"/>
          <w:szCs w:val="32"/>
          <w:lang w:eastAsia="zh-CN"/>
        </w:rPr>
      </w:pPr>
      <w:r>
        <w:rPr>
          <w:rFonts w:hint="eastAsia" w:ascii="仿宋" w:hAnsi="仿宋" w:eastAsia="仿宋" w:cs="宋体"/>
          <w:b/>
          <w:position w:val="-3"/>
          <w:sz w:val="32"/>
          <w:szCs w:val="32"/>
          <w:lang w:eastAsia="zh-CN"/>
        </w:rPr>
        <w:t xml:space="preserve">    </w:t>
      </w:r>
      <w:r>
        <w:rPr>
          <w:rFonts w:hint="eastAsia" w:ascii="黑体" w:hAnsi="黑体" w:eastAsia="黑体" w:cs="黑体"/>
          <w:b w:val="0"/>
          <w:position w:val="0"/>
          <w:sz w:val="32"/>
          <w:szCs w:val="32"/>
          <w:lang w:eastAsia="zh-CN"/>
        </w:rPr>
        <w:t>三、企业规模</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 xml:space="preserve"> （十一）财务状况良好，财务数据真实可信，并经在中华人民共和国境内登记的会计师事务所审计。</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（十二）具有固定的研发/生产场所，并与企业的研发能力/生产规模相适应。</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（十三）工业机器人本体生产企业，年主营业务收入总额不少于5000万元，或年产量不低于2000台套。</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 xml:space="preserve">（十四）工业机器人集成应用企业，销售成套工业机器人及生产线年收入总额不低于1亿元。 </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left="119" w:right="-23" w:firstLine="0" w:firstLineChars="0"/>
        <w:textAlignment w:val="auto"/>
        <w:outlineLvl w:val="9"/>
        <w:rPr>
          <w:rFonts w:ascii="仿宋" w:hAnsi="仿宋" w:eastAsia="仿宋" w:cs="宋体"/>
          <w:b/>
          <w:position w:val="-3"/>
          <w:sz w:val="32"/>
          <w:szCs w:val="32"/>
          <w:lang w:eastAsia="zh-CN"/>
        </w:rPr>
      </w:pPr>
      <w:r>
        <w:rPr>
          <w:rFonts w:hint="eastAsia" w:ascii="仿宋" w:hAnsi="仿宋" w:eastAsia="仿宋" w:cs="宋体"/>
          <w:b/>
          <w:position w:val="-3"/>
          <w:sz w:val="32"/>
          <w:szCs w:val="32"/>
          <w:lang w:eastAsia="zh-CN"/>
        </w:rPr>
        <w:t xml:space="preserve">    </w:t>
      </w:r>
      <w:r>
        <w:rPr>
          <w:rFonts w:hint="eastAsia" w:ascii="黑体" w:hAnsi="黑体" w:eastAsia="黑体" w:cs="黑体"/>
          <w:b w:val="0"/>
          <w:position w:val="0"/>
          <w:sz w:val="32"/>
          <w:szCs w:val="32"/>
          <w:lang w:eastAsia="zh-CN"/>
        </w:rPr>
        <w:t>四、质量要求</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（十五）企业应具备工业机器人本体、集成系统相适宜的过程检测设备和出厂检测设备，所有检测设备都需要有效计量，有CNAS认可的有效校准报告。</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（十六）工业机器人本体生产企业和应用集成企业研发生产使用的机器人本体、关键零部件产品须获得“国家机器人CR认证标志”，机器人应用集成系统须经国家认可的第三方检测认证机构的安全评估合格。</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（十七）企业应按照GB/T 19001-2015标准建立质量管理体系，经在境内设立的认证机构认证合格，并能有效运行。</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（十八）工业机器人本体生产企业还应满足以下要求：</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1</w:t>
      </w:r>
      <w:r>
        <w:rPr>
          <w:rFonts w:hint="eastAsia" w:ascii="仿宋" w:hAnsi="仿宋" w:eastAsia="仿宋"/>
          <w:sz w:val="32"/>
          <w:szCs w:val="32"/>
          <w:lang w:val="en-US" w:eastAsia="zh-CN"/>
        </w:rPr>
        <w:t>.</w:t>
      </w:r>
      <w:r>
        <w:rPr>
          <w:rFonts w:hint="eastAsia" w:ascii="仿宋" w:hAnsi="仿宋" w:eastAsia="仿宋"/>
          <w:sz w:val="32"/>
          <w:szCs w:val="32"/>
          <w:lang w:eastAsia="zh-CN"/>
        </w:rPr>
        <w:t>应至少具有三坐标检测仪（量程及精度高于产品设计要求）等定位和精度检测仪器设备，并且保证校准周期不超过12个月；</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2</w:t>
      </w:r>
      <w:r>
        <w:rPr>
          <w:rFonts w:hint="eastAsia" w:ascii="仿宋" w:hAnsi="仿宋" w:eastAsia="仿宋"/>
          <w:sz w:val="32"/>
          <w:szCs w:val="32"/>
          <w:lang w:val="en-US" w:eastAsia="zh-CN"/>
        </w:rPr>
        <w:t>.</w:t>
      </w:r>
      <w:r>
        <w:rPr>
          <w:rFonts w:hint="eastAsia" w:ascii="仿宋" w:hAnsi="仿宋" w:eastAsia="仿宋"/>
          <w:sz w:val="32"/>
          <w:szCs w:val="32"/>
          <w:lang w:eastAsia="zh-CN"/>
        </w:rPr>
        <w:t>至少具有以下定位和精度检测等仪器设备，并且保证校准周期不超过12个月；</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ascii="仿宋" w:hAnsi="仿宋" w:eastAsia="仿宋"/>
          <w:sz w:val="32"/>
          <w:szCs w:val="32"/>
          <w:lang w:eastAsia="zh-CN"/>
        </w:rPr>
        <w:t>定位精度</w:t>
      </w:r>
      <w:r>
        <w:rPr>
          <w:rFonts w:hint="eastAsia" w:ascii="仿宋" w:hAnsi="仿宋" w:eastAsia="仿宋"/>
          <w:sz w:val="32"/>
          <w:szCs w:val="32"/>
          <w:lang w:eastAsia="zh-CN"/>
        </w:rPr>
        <w:t>和重复</w:t>
      </w:r>
      <w:r>
        <w:rPr>
          <w:rFonts w:ascii="仿宋" w:hAnsi="仿宋" w:eastAsia="仿宋"/>
          <w:sz w:val="32"/>
          <w:szCs w:val="32"/>
          <w:lang w:eastAsia="zh-CN"/>
        </w:rPr>
        <w:t>定位精度测试设备</w:t>
      </w:r>
      <w:r>
        <w:rPr>
          <w:rFonts w:hint="eastAsia" w:ascii="仿宋" w:hAnsi="仿宋" w:eastAsia="仿宋"/>
          <w:sz w:val="32"/>
          <w:szCs w:val="32"/>
          <w:lang w:eastAsia="zh-CN"/>
        </w:rPr>
        <w:t>：</w:t>
      </w:r>
      <w:r>
        <w:rPr>
          <w:rFonts w:ascii="仿宋" w:hAnsi="仿宋" w:eastAsia="仿宋"/>
          <w:sz w:val="32"/>
          <w:szCs w:val="32"/>
          <w:lang w:eastAsia="zh-CN"/>
        </w:rPr>
        <w:t>量程及精度高于产品设计要求</w:t>
      </w:r>
      <w:r>
        <w:rPr>
          <w:rFonts w:hint="eastAsia" w:ascii="仿宋" w:hAnsi="仿宋" w:eastAsia="仿宋"/>
          <w:sz w:val="32"/>
          <w:szCs w:val="32"/>
          <w:lang w:eastAsia="zh-CN"/>
        </w:rPr>
        <w:t>；</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耐压仪：</w:t>
      </w:r>
      <w:r>
        <w:rPr>
          <w:rFonts w:ascii="仿宋" w:hAnsi="仿宋" w:eastAsia="仿宋"/>
          <w:sz w:val="32"/>
          <w:szCs w:val="32"/>
          <w:lang w:eastAsia="zh-CN"/>
        </w:rPr>
        <w:t>量程及精度覆盖产品设计指标要求</w:t>
      </w:r>
      <w:r>
        <w:rPr>
          <w:rFonts w:hint="eastAsia" w:ascii="仿宋" w:hAnsi="仿宋" w:eastAsia="仿宋"/>
          <w:sz w:val="32"/>
          <w:szCs w:val="32"/>
          <w:lang w:eastAsia="zh-CN"/>
        </w:rPr>
        <w:t>；</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ascii="仿宋" w:hAnsi="仿宋" w:eastAsia="仿宋"/>
          <w:sz w:val="32"/>
          <w:szCs w:val="32"/>
          <w:lang w:eastAsia="zh-CN"/>
        </w:rPr>
        <w:t>高精度工件尺寸测试设备</w:t>
      </w:r>
      <w:r>
        <w:rPr>
          <w:rFonts w:hint="eastAsia" w:ascii="仿宋" w:hAnsi="仿宋" w:eastAsia="仿宋"/>
          <w:sz w:val="32"/>
          <w:szCs w:val="32"/>
          <w:lang w:eastAsia="zh-CN"/>
        </w:rPr>
        <w:t>：</w:t>
      </w:r>
      <w:r>
        <w:rPr>
          <w:rFonts w:ascii="仿宋" w:hAnsi="仿宋" w:eastAsia="仿宋"/>
          <w:sz w:val="32"/>
          <w:szCs w:val="32"/>
          <w:lang w:eastAsia="zh-CN"/>
        </w:rPr>
        <w:t>量程及精度覆盖产品设计指标要求</w:t>
      </w:r>
      <w:r>
        <w:rPr>
          <w:rFonts w:hint="eastAsia" w:ascii="仿宋" w:hAnsi="仿宋" w:eastAsia="仿宋"/>
          <w:sz w:val="32"/>
          <w:szCs w:val="32"/>
          <w:lang w:eastAsia="zh-CN"/>
        </w:rPr>
        <w:t>；</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ascii="仿宋" w:hAnsi="仿宋" w:eastAsia="仿宋"/>
          <w:sz w:val="32"/>
          <w:szCs w:val="32"/>
          <w:lang w:eastAsia="zh-CN"/>
        </w:rPr>
        <w:t>减速器测试</w:t>
      </w:r>
      <w:r>
        <w:rPr>
          <w:rFonts w:hint="eastAsia" w:ascii="仿宋" w:hAnsi="仿宋" w:eastAsia="仿宋"/>
          <w:sz w:val="32"/>
          <w:szCs w:val="32"/>
          <w:lang w:eastAsia="zh-CN"/>
        </w:rPr>
        <w:t>设备（</w:t>
      </w:r>
      <w:r>
        <w:rPr>
          <w:rFonts w:ascii="仿宋" w:hAnsi="仿宋" w:eastAsia="仿宋"/>
          <w:sz w:val="32"/>
          <w:szCs w:val="32"/>
          <w:lang w:eastAsia="zh-CN"/>
        </w:rPr>
        <w:t>AGV</w:t>
      </w:r>
      <w:r>
        <w:rPr>
          <w:rFonts w:hint="eastAsia" w:ascii="仿宋" w:hAnsi="仿宋" w:eastAsia="仿宋"/>
          <w:sz w:val="32"/>
          <w:szCs w:val="32"/>
          <w:lang w:eastAsia="zh-CN"/>
        </w:rPr>
        <w:t>除外）：</w:t>
      </w:r>
      <w:r>
        <w:rPr>
          <w:rFonts w:ascii="仿宋" w:hAnsi="仿宋" w:eastAsia="仿宋"/>
          <w:sz w:val="32"/>
          <w:szCs w:val="32"/>
          <w:lang w:eastAsia="zh-CN"/>
        </w:rPr>
        <w:t>量程及精度覆盖产品设计指标要求</w:t>
      </w:r>
      <w:r>
        <w:rPr>
          <w:rFonts w:hint="eastAsia" w:ascii="仿宋" w:hAnsi="仿宋" w:eastAsia="仿宋"/>
          <w:sz w:val="32"/>
          <w:szCs w:val="32"/>
          <w:lang w:eastAsia="zh-CN"/>
        </w:rPr>
        <w:t>；</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ascii="仿宋" w:hAnsi="仿宋" w:eastAsia="仿宋"/>
          <w:sz w:val="32"/>
          <w:szCs w:val="32"/>
          <w:lang w:eastAsia="zh-CN"/>
        </w:rPr>
        <w:t>伺服电机测试</w:t>
      </w:r>
      <w:r>
        <w:rPr>
          <w:rFonts w:hint="eastAsia" w:ascii="仿宋" w:hAnsi="仿宋" w:eastAsia="仿宋"/>
          <w:sz w:val="32"/>
          <w:szCs w:val="32"/>
          <w:lang w:eastAsia="zh-CN"/>
        </w:rPr>
        <w:t>设备（</w:t>
      </w:r>
      <w:r>
        <w:rPr>
          <w:rFonts w:ascii="仿宋" w:hAnsi="仿宋" w:eastAsia="仿宋"/>
          <w:sz w:val="32"/>
          <w:szCs w:val="32"/>
          <w:lang w:eastAsia="zh-CN"/>
        </w:rPr>
        <w:t>AGV</w:t>
      </w:r>
      <w:r>
        <w:rPr>
          <w:rFonts w:hint="eastAsia" w:ascii="仿宋" w:hAnsi="仿宋" w:eastAsia="仿宋"/>
          <w:sz w:val="32"/>
          <w:szCs w:val="32"/>
          <w:lang w:eastAsia="zh-CN"/>
        </w:rPr>
        <w:t>除外）：</w:t>
      </w:r>
      <w:r>
        <w:rPr>
          <w:rFonts w:ascii="仿宋" w:hAnsi="仿宋" w:eastAsia="仿宋"/>
          <w:sz w:val="32"/>
          <w:szCs w:val="32"/>
          <w:lang w:eastAsia="zh-CN"/>
        </w:rPr>
        <w:t>量程及精度覆盖产品设计指标要求</w:t>
      </w:r>
      <w:r>
        <w:rPr>
          <w:rFonts w:hint="eastAsia" w:ascii="仿宋" w:hAnsi="仿宋" w:eastAsia="仿宋"/>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ascii="仿宋" w:hAnsi="仿宋" w:eastAsia="仿宋"/>
          <w:sz w:val="32"/>
          <w:szCs w:val="32"/>
          <w:lang w:eastAsia="zh-CN"/>
        </w:rPr>
      </w:pPr>
      <w:r>
        <w:rPr>
          <w:rFonts w:ascii="仿宋" w:hAnsi="仿宋" w:eastAsia="仿宋"/>
          <w:sz w:val="32"/>
          <w:szCs w:val="32"/>
          <w:lang w:eastAsia="zh-CN"/>
        </w:rPr>
        <w:t>3</w:t>
      </w:r>
      <w:r>
        <w:rPr>
          <w:rFonts w:hint="eastAsia" w:ascii="仿宋" w:hAnsi="仿宋" w:eastAsia="仿宋"/>
          <w:sz w:val="32"/>
          <w:szCs w:val="32"/>
          <w:lang w:val="en-US" w:eastAsia="zh-CN"/>
        </w:rPr>
        <w:t>.</w:t>
      </w:r>
      <w:r>
        <w:rPr>
          <w:rFonts w:hint="eastAsia" w:ascii="仿宋" w:hAnsi="仿宋" w:eastAsia="仿宋"/>
          <w:sz w:val="32"/>
          <w:szCs w:val="32"/>
          <w:lang w:eastAsia="zh-CN"/>
        </w:rPr>
        <w:t>至少应符合以下标准及产品标准，并经第三方检测机构检测合格：</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GB 11291.1</w:t>
      </w:r>
      <w:r>
        <w:rPr>
          <w:rFonts w:ascii="仿宋" w:hAnsi="仿宋" w:eastAsia="仿宋"/>
          <w:sz w:val="32"/>
          <w:szCs w:val="32"/>
          <w:lang w:eastAsia="zh-CN"/>
        </w:rPr>
        <w:t>-2011</w:t>
      </w:r>
      <w:r>
        <w:rPr>
          <w:rFonts w:hint="eastAsia" w:ascii="仿宋" w:hAnsi="仿宋" w:eastAsia="仿宋"/>
          <w:sz w:val="32"/>
          <w:szCs w:val="32"/>
          <w:lang w:eastAsia="zh-CN"/>
        </w:rPr>
        <w:t xml:space="preserve"> 工业环境用机器人 安全要求 第1部分：机器人；</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GB 5226.1</w:t>
      </w:r>
      <w:r>
        <w:rPr>
          <w:rFonts w:ascii="仿宋" w:hAnsi="仿宋" w:eastAsia="仿宋"/>
          <w:sz w:val="32"/>
          <w:szCs w:val="32"/>
          <w:lang w:eastAsia="zh-CN"/>
        </w:rPr>
        <w:t>-2008</w:t>
      </w:r>
      <w:r>
        <w:rPr>
          <w:rFonts w:hint="eastAsia" w:ascii="仿宋" w:hAnsi="仿宋" w:eastAsia="仿宋"/>
          <w:sz w:val="32"/>
          <w:szCs w:val="32"/>
          <w:lang w:eastAsia="zh-CN"/>
        </w:rPr>
        <w:t xml:space="preserve"> 机械安全 机械电气设备 第1部分：通用技术条件；</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JB/T 8896</w:t>
      </w:r>
      <w:r>
        <w:rPr>
          <w:rFonts w:ascii="仿宋" w:hAnsi="仿宋" w:eastAsia="仿宋"/>
          <w:sz w:val="32"/>
          <w:szCs w:val="32"/>
          <w:lang w:eastAsia="zh-CN"/>
        </w:rPr>
        <w:t>-1999</w:t>
      </w:r>
      <w:r>
        <w:rPr>
          <w:rFonts w:hint="eastAsia" w:ascii="仿宋" w:hAnsi="仿宋" w:eastAsia="仿宋"/>
          <w:sz w:val="32"/>
          <w:szCs w:val="32"/>
          <w:lang w:eastAsia="zh-CN"/>
        </w:rPr>
        <w:t xml:space="preserve"> 工业机器人 验收规则；</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JB/T 10825</w:t>
      </w:r>
      <w:r>
        <w:rPr>
          <w:rFonts w:ascii="仿宋" w:hAnsi="仿宋" w:eastAsia="仿宋"/>
          <w:sz w:val="32"/>
          <w:szCs w:val="32"/>
          <w:lang w:eastAsia="zh-CN"/>
        </w:rPr>
        <w:t>-2008</w:t>
      </w:r>
      <w:r>
        <w:rPr>
          <w:rFonts w:hint="eastAsia" w:ascii="仿宋" w:hAnsi="仿宋" w:eastAsia="仿宋"/>
          <w:sz w:val="32"/>
          <w:szCs w:val="32"/>
          <w:lang w:eastAsia="zh-CN"/>
        </w:rPr>
        <w:t xml:space="preserve"> 工业机器人 产品验收实施规范；</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GB/T 12642</w:t>
      </w:r>
      <w:r>
        <w:rPr>
          <w:rFonts w:ascii="仿宋" w:hAnsi="仿宋" w:eastAsia="仿宋"/>
          <w:sz w:val="32"/>
          <w:szCs w:val="32"/>
          <w:lang w:eastAsia="zh-CN"/>
        </w:rPr>
        <w:t>-2013</w:t>
      </w:r>
      <w:r>
        <w:rPr>
          <w:rFonts w:hint="eastAsia" w:ascii="仿宋" w:hAnsi="仿宋" w:eastAsia="仿宋"/>
          <w:sz w:val="32"/>
          <w:szCs w:val="32"/>
          <w:lang w:eastAsia="zh-CN"/>
        </w:rPr>
        <w:t xml:space="preserve"> 工业机器人 性能规范及其试验方法；</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GB/T 20868</w:t>
      </w:r>
      <w:r>
        <w:rPr>
          <w:rFonts w:ascii="仿宋" w:hAnsi="仿宋" w:eastAsia="仿宋"/>
          <w:sz w:val="32"/>
          <w:szCs w:val="32"/>
          <w:lang w:eastAsia="zh-CN"/>
        </w:rPr>
        <w:t>-2007</w:t>
      </w:r>
      <w:r>
        <w:rPr>
          <w:rFonts w:hint="eastAsia" w:ascii="仿宋" w:hAnsi="仿宋" w:eastAsia="仿宋"/>
          <w:sz w:val="32"/>
          <w:szCs w:val="32"/>
          <w:lang w:eastAsia="zh-CN"/>
        </w:rPr>
        <w:t xml:space="preserve"> 工业机器人 性能试验实施规范；</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ascii="仿宋" w:hAnsi="仿宋" w:eastAsia="仿宋"/>
          <w:sz w:val="32"/>
          <w:szCs w:val="32"/>
          <w:lang w:eastAsia="zh-CN"/>
        </w:rPr>
        <w:t>GB</w:t>
      </w:r>
      <w:r>
        <w:rPr>
          <w:rFonts w:hint="eastAsia" w:ascii="仿宋" w:hAnsi="仿宋" w:eastAsia="仿宋"/>
          <w:sz w:val="32"/>
          <w:szCs w:val="32"/>
          <w:lang w:eastAsia="zh-CN"/>
        </w:rPr>
        <w:t>/</w:t>
      </w:r>
      <w:r>
        <w:rPr>
          <w:rFonts w:ascii="仿宋" w:hAnsi="仿宋" w:eastAsia="仿宋"/>
          <w:sz w:val="32"/>
          <w:szCs w:val="32"/>
          <w:lang w:eastAsia="zh-CN"/>
        </w:rPr>
        <w:t xml:space="preserve">T 15706-2012 </w:t>
      </w:r>
      <w:r>
        <w:rPr>
          <w:rFonts w:hint="eastAsia" w:ascii="仿宋" w:hAnsi="仿宋" w:eastAsia="仿宋"/>
          <w:sz w:val="32"/>
          <w:szCs w:val="32"/>
          <w:lang w:eastAsia="zh-CN"/>
        </w:rPr>
        <w:t>机械</w:t>
      </w:r>
      <w:r>
        <w:rPr>
          <w:rFonts w:ascii="仿宋" w:hAnsi="仿宋" w:eastAsia="仿宋"/>
          <w:sz w:val="32"/>
          <w:szCs w:val="32"/>
          <w:lang w:eastAsia="zh-CN"/>
        </w:rPr>
        <w:t>安全</w:t>
      </w:r>
      <w:r>
        <w:rPr>
          <w:rFonts w:hint="eastAsia" w:ascii="仿宋" w:hAnsi="仿宋" w:eastAsia="仿宋"/>
          <w:sz w:val="32"/>
          <w:szCs w:val="32"/>
          <w:lang w:eastAsia="zh-CN"/>
        </w:rPr>
        <w:t xml:space="preserve"> 涉及</w:t>
      </w:r>
      <w:r>
        <w:rPr>
          <w:rFonts w:ascii="仿宋" w:hAnsi="仿宋" w:eastAsia="仿宋"/>
          <w:sz w:val="32"/>
          <w:szCs w:val="32"/>
          <w:lang w:eastAsia="zh-CN"/>
        </w:rPr>
        <w:t>通则</w:t>
      </w:r>
      <w:r>
        <w:rPr>
          <w:rFonts w:hint="eastAsia" w:ascii="仿宋" w:hAnsi="仿宋" w:eastAsia="仿宋"/>
          <w:sz w:val="32"/>
          <w:szCs w:val="32"/>
          <w:lang w:eastAsia="zh-CN"/>
        </w:rPr>
        <w:t xml:space="preserve"> 风险</w:t>
      </w:r>
      <w:r>
        <w:rPr>
          <w:rFonts w:ascii="仿宋" w:hAnsi="仿宋" w:eastAsia="仿宋"/>
          <w:sz w:val="32"/>
          <w:szCs w:val="32"/>
          <w:lang w:eastAsia="zh-CN"/>
        </w:rPr>
        <w:t>评估与风险减小</w:t>
      </w:r>
      <w:r>
        <w:rPr>
          <w:rFonts w:hint="eastAsia" w:ascii="仿宋" w:hAnsi="仿宋" w:eastAsia="仿宋"/>
          <w:sz w:val="32"/>
          <w:szCs w:val="32"/>
          <w:lang w:eastAsia="zh-CN"/>
        </w:rPr>
        <w:t>；</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ascii="仿宋" w:hAnsi="仿宋" w:eastAsia="仿宋"/>
          <w:sz w:val="32"/>
          <w:szCs w:val="32"/>
          <w:lang w:eastAsia="zh-CN"/>
        </w:rPr>
        <w:t xml:space="preserve">GB/T 17799.1-1999 </w:t>
      </w:r>
      <w:r>
        <w:rPr>
          <w:rFonts w:hint="eastAsia" w:ascii="仿宋" w:hAnsi="仿宋" w:eastAsia="仿宋"/>
          <w:sz w:val="32"/>
          <w:szCs w:val="32"/>
          <w:lang w:eastAsia="zh-CN"/>
        </w:rPr>
        <w:t>电磁兼容 通用</w:t>
      </w:r>
      <w:r>
        <w:rPr>
          <w:rFonts w:ascii="仿宋" w:hAnsi="仿宋" w:eastAsia="仿宋"/>
          <w:sz w:val="32"/>
          <w:szCs w:val="32"/>
          <w:lang w:eastAsia="zh-CN"/>
        </w:rPr>
        <w:t>标准</w:t>
      </w:r>
      <w:r>
        <w:rPr>
          <w:rFonts w:hint="eastAsia" w:ascii="仿宋" w:hAnsi="仿宋" w:eastAsia="仿宋"/>
          <w:sz w:val="32"/>
          <w:szCs w:val="32"/>
          <w:lang w:eastAsia="zh-CN"/>
        </w:rPr>
        <w:t xml:space="preserve"> 居住</w:t>
      </w:r>
      <w:r>
        <w:rPr>
          <w:rFonts w:ascii="仿宋" w:hAnsi="仿宋" w:eastAsia="仿宋"/>
          <w:sz w:val="32"/>
          <w:szCs w:val="32"/>
          <w:lang w:eastAsia="zh-CN"/>
        </w:rPr>
        <w:t>、商业和轻工业环境中的抗扰度试验</w:t>
      </w:r>
      <w:r>
        <w:rPr>
          <w:rFonts w:hint="eastAsia" w:ascii="仿宋" w:hAnsi="仿宋" w:eastAsia="仿宋"/>
          <w:sz w:val="32"/>
          <w:szCs w:val="32"/>
          <w:lang w:eastAsia="zh-CN"/>
        </w:rPr>
        <w:t>；</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ascii="仿宋" w:hAnsi="仿宋" w:eastAsia="仿宋"/>
          <w:sz w:val="32"/>
          <w:szCs w:val="32"/>
          <w:lang w:eastAsia="zh-CN"/>
        </w:rPr>
        <w:t xml:space="preserve">GB/T 17799.2-2003 </w:t>
      </w:r>
      <w:r>
        <w:rPr>
          <w:rFonts w:hint="eastAsia" w:ascii="仿宋" w:hAnsi="仿宋" w:eastAsia="仿宋"/>
          <w:sz w:val="32"/>
          <w:szCs w:val="32"/>
          <w:lang w:eastAsia="zh-CN"/>
        </w:rPr>
        <w:t>电磁兼容 通用</w:t>
      </w:r>
      <w:r>
        <w:rPr>
          <w:rFonts w:ascii="仿宋" w:hAnsi="仿宋" w:eastAsia="仿宋"/>
          <w:sz w:val="32"/>
          <w:szCs w:val="32"/>
          <w:lang w:eastAsia="zh-CN"/>
        </w:rPr>
        <w:t>标准</w:t>
      </w:r>
      <w:r>
        <w:rPr>
          <w:rFonts w:hint="eastAsia" w:ascii="仿宋" w:hAnsi="仿宋" w:eastAsia="仿宋"/>
          <w:sz w:val="32"/>
          <w:szCs w:val="32"/>
          <w:lang w:eastAsia="zh-CN"/>
        </w:rPr>
        <w:t xml:space="preserve"> 工业环境</w:t>
      </w:r>
      <w:r>
        <w:rPr>
          <w:rFonts w:ascii="仿宋" w:hAnsi="仿宋" w:eastAsia="仿宋"/>
          <w:sz w:val="32"/>
          <w:szCs w:val="32"/>
          <w:lang w:eastAsia="zh-CN"/>
        </w:rPr>
        <w:t>中的抗扰度试验</w:t>
      </w:r>
      <w:r>
        <w:rPr>
          <w:rFonts w:hint="eastAsia" w:ascii="仿宋" w:hAnsi="仿宋" w:eastAsia="仿宋"/>
          <w:sz w:val="32"/>
          <w:szCs w:val="32"/>
          <w:lang w:eastAsia="zh-CN"/>
        </w:rPr>
        <w:t>；</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ascii="仿宋" w:hAnsi="仿宋" w:eastAsia="仿宋"/>
          <w:sz w:val="32"/>
          <w:szCs w:val="32"/>
          <w:lang w:eastAsia="zh-CN"/>
        </w:rPr>
        <w:t xml:space="preserve">GB/T 17799.3-2012 </w:t>
      </w:r>
      <w:r>
        <w:rPr>
          <w:rFonts w:hint="eastAsia" w:ascii="仿宋" w:hAnsi="仿宋" w:eastAsia="仿宋"/>
          <w:sz w:val="32"/>
          <w:szCs w:val="32"/>
          <w:lang w:eastAsia="zh-CN"/>
        </w:rPr>
        <w:t>电磁兼容 通用</w:t>
      </w:r>
      <w:r>
        <w:rPr>
          <w:rFonts w:ascii="仿宋" w:hAnsi="仿宋" w:eastAsia="仿宋"/>
          <w:sz w:val="32"/>
          <w:szCs w:val="32"/>
          <w:lang w:eastAsia="zh-CN"/>
        </w:rPr>
        <w:t>标准</w:t>
      </w:r>
      <w:r>
        <w:rPr>
          <w:rFonts w:hint="eastAsia" w:ascii="仿宋" w:hAnsi="仿宋" w:eastAsia="仿宋"/>
          <w:sz w:val="32"/>
          <w:szCs w:val="32"/>
          <w:lang w:eastAsia="zh-CN"/>
        </w:rPr>
        <w:t xml:space="preserve"> 居住</w:t>
      </w:r>
      <w:r>
        <w:rPr>
          <w:rFonts w:ascii="仿宋" w:hAnsi="仿宋" w:eastAsia="仿宋"/>
          <w:sz w:val="32"/>
          <w:szCs w:val="32"/>
          <w:lang w:eastAsia="zh-CN"/>
        </w:rPr>
        <w:t>、商业和轻工业环境中的</w:t>
      </w:r>
      <w:r>
        <w:rPr>
          <w:rFonts w:hint="eastAsia" w:ascii="仿宋" w:hAnsi="仿宋" w:eastAsia="仿宋"/>
          <w:sz w:val="32"/>
          <w:szCs w:val="32"/>
          <w:lang w:eastAsia="zh-CN"/>
        </w:rPr>
        <w:t>发射；</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ascii="仿宋" w:hAnsi="仿宋" w:eastAsia="仿宋"/>
          <w:sz w:val="32"/>
          <w:szCs w:val="32"/>
          <w:lang w:eastAsia="zh-CN"/>
        </w:rPr>
        <w:t xml:space="preserve">GB/T 17799.4-2012 </w:t>
      </w:r>
      <w:r>
        <w:rPr>
          <w:rFonts w:hint="eastAsia" w:ascii="仿宋" w:hAnsi="仿宋" w:eastAsia="仿宋"/>
          <w:sz w:val="32"/>
          <w:szCs w:val="32"/>
          <w:lang w:eastAsia="zh-CN"/>
        </w:rPr>
        <w:t>电磁兼容 通用</w:t>
      </w:r>
      <w:r>
        <w:rPr>
          <w:rFonts w:ascii="仿宋" w:hAnsi="仿宋" w:eastAsia="仿宋"/>
          <w:sz w:val="32"/>
          <w:szCs w:val="32"/>
          <w:lang w:eastAsia="zh-CN"/>
        </w:rPr>
        <w:t>标准</w:t>
      </w:r>
      <w:r>
        <w:rPr>
          <w:rFonts w:hint="eastAsia" w:ascii="仿宋" w:hAnsi="仿宋" w:eastAsia="仿宋"/>
          <w:sz w:val="32"/>
          <w:szCs w:val="32"/>
          <w:lang w:eastAsia="zh-CN"/>
        </w:rPr>
        <w:t xml:space="preserve"> 工业环境</w:t>
      </w:r>
      <w:r>
        <w:rPr>
          <w:rFonts w:ascii="仿宋" w:hAnsi="仿宋" w:eastAsia="仿宋"/>
          <w:sz w:val="32"/>
          <w:szCs w:val="32"/>
          <w:lang w:eastAsia="zh-CN"/>
        </w:rPr>
        <w:t>中的发射</w:t>
      </w:r>
      <w:r>
        <w:rPr>
          <w:rFonts w:hint="eastAsia" w:ascii="仿宋" w:hAnsi="仿宋" w:eastAsia="仿宋"/>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left="0" w:leftChars="0" w:right="91" w:firstLine="0" w:firstLineChars="0"/>
        <w:jc w:val="both"/>
        <w:textAlignment w:val="auto"/>
        <w:outlineLvl w:val="9"/>
        <w:rPr>
          <w:rFonts w:ascii="仿宋" w:hAnsi="仿宋" w:eastAsia="仿宋"/>
          <w:sz w:val="32"/>
          <w:szCs w:val="32"/>
          <w:lang w:eastAsia="zh-CN"/>
        </w:rPr>
      </w:pPr>
      <w:bookmarkStart w:id="0" w:name="OLE_LINK14"/>
      <w:bookmarkStart w:id="1" w:name="OLE_LINK15"/>
      <w:r>
        <w:rPr>
          <w:rFonts w:hint="eastAsia" w:ascii="仿宋" w:hAnsi="仿宋" w:eastAsia="仿宋"/>
          <w:sz w:val="32"/>
          <w:szCs w:val="32"/>
          <w:lang w:val="en-US" w:eastAsia="zh-CN"/>
        </w:rPr>
        <w:t xml:space="preserve">    </w:t>
      </w:r>
      <w:r>
        <w:rPr>
          <w:rFonts w:ascii="仿宋" w:hAnsi="仿宋" w:eastAsia="仿宋"/>
          <w:sz w:val="32"/>
          <w:szCs w:val="32"/>
          <w:lang w:eastAsia="zh-CN"/>
        </w:rPr>
        <w:t>4</w:t>
      </w:r>
      <w:r>
        <w:rPr>
          <w:rFonts w:hint="eastAsia" w:ascii="仿宋" w:hAnsi="仿宋" w:eastAsia="仿宋"/>
          <w:sz w:val="32"/>
          <w:szCs w:val="32"/>
          <w:lang w:val="en-US" w:eastAsia="zh-CN"/>
        </w:rPr>
        <w:t>.</w:t>
      </w:r>
      <w:r>
        <w:rPr>
          <w:rFonts w:hint="eastAsia" w:ascii="仿宋" w:hAnsi="仿宋" w:eastAsia="仿宋"/>
          <w:sz w:val="32"/>
          <w:szCs w:val="32"/>
          <w:lang w:eastAsia="zh-CN"/>
        </w:rPr>
        <w:t>可靠性</w:t>
      </w:r>
      <w:r>
        <w:rPr>
          <w:rFonts w:ascii="仿宋" w:hAnsi="仿宋" w:eastAsia="仿宋"/>
          <w:sz w:val="32"/>
          <w:szCs w:val="32"/>
          <w:lang w:eastAsia="zh-CN"/>
        </w:rPr>
        <w:t>、环境适应性和耐久性水平接近国外同类产品水平</w:t>
      </w:r>
      <w:bookmarkEnd w:id="0"/>
      <w:bookmarkEnd w:id="1"/>
      <w:r>
        <w:rPr>
          <w:rFonts w:hint="eastAsia" w:ascii="仿宋" w:hAnsi="仿宋" w:eastAsia="仿宋"/>
          <w:sz w:val="32"/>
          <w:szCs w:val="32"/>
          <w:lang w:eastAsia="zh-CN"/>
        </w:rPr>
        <w:t>，平均无故障时间不低于50000小时。</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（十九）工业机器人集成应用企业还应至少符合以下通用标准及产品标准，并经第三方检测机构检测合格：</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GB 11291.2</w:t>
      </w:r>
      <w:r>
        <w:rPr>
          <w:rFonts w:ascii="仿宋" w:hAnsi="仿宋" w:eastAsia="仿宋"/>
          <w:sz w:val="32"/>
          <w:szCs w:val="32"/>
          <w:lang w:eastAsia="zh-CN"/>
        </w:rPr>
        <w:t>-2013</w:t>
      </w:r>
      <w:r>
        <w:rPr>
          <w:rFonts w:hint="eastAsia" w:ascii="仿宋" w:hAnsi="仿宋" w:eastAsia="仿宋"/>
          <w:sz w:val="32"/>
          <w:szCs w:val="32"/>
          <w:lang w:eastAsia="zh-CN"/>
        </w:rPr>
        <w:t xml:space="preserve"> 机器人与机器人装备 工业机器人的安全要求 第2部分：机器人系统与集成；</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GB/T 15706</w:t>
      </w:r>
      <w:r>
        <w:rPr>
          <w:rFonts w:ascii="仿宋" w:hAnsi="仿宋" w:eastAsia="仿宋"/>
          <w:sz w:val="32"/>
          <w:szCs w:val="32"/>
          <w:lang w:eastAsia="zh-CN"/>
        </w:rPr>
        <w:t>-2012</w:t>
      </w:r>
      <w:r>
        <w:rPr>
          <w:rFonts w:hint="eastAsia" w:ascii="仿宋" w:hAnsi="仿宋" w:eastAsia="仿宋"/>
          <w:sz w:val="32"/>
          <w:szCs w:val="32"/>
          <w:lang w:eastAsia="zh-CN"/>
        </w:rPr>
        <w:t xml:space="preserve"> 机械安全 设计通则 风险评分与风险减小；</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GB 5226.1</w:t>
      </w:r>
      <w:r>
        <w:rPr>
          <w:rFonts w:ascii="仿宋" w:hAnsi="仿宋" w:eastAsia="仿宋"/>
          <w:sz w:val="32"/>
          <w:szCs w:val="32"/>
          <w:lang w:eastAsia="zh-CN"/>
        </w:rPr>
        <w:t>-2008</w:t>
      </w:r>
      <w:r>
        <w:rPr>
          <w:rFonts w:hint="eastAsia" w:ascii="仿宋" w:hAnsi="仿宋" w:eastAsia="仿宋"/>
          <w:sz w:val="32"/>
          <w:szCs w:val="32"/>
          <w:lang w:eastAsia="zh-CN"/>
        </w:rPr>
        <w:t xml:space="preserve"> 机械电气安全 机械电气设备 第1部分：通用技术条件；</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GB 16655</w:t>
      </w:r>
      <w:r>
        <w:rPr>
          <w:rFonts w:ascii="仿宋" w:hAnsi="仿宋" w:eastAsia="仿宋"/>
          <w:sz w:val="32"/>
          <w:szCs w:val="32"/>
          <w:lang w:eastAsia="zh-CN"/>
        </w:rPr>
        <w:t>-2008</w:t>
      </w:r>
      <w:r>
        <w:rPr>
          <w:rFonts w:hint="eastAsia" w:ascii="仿宋" w:hAnsi="仿宋" w:eastAsia="仿宋"/>
          <w:sz w:val="32"/>
          <w:szCs w:val="32"/>
          <w:lang w:eastAsia="zh-CN"/>
        </w:rPr>
        <w:t xml:space="preserve"> 机械安全 集成制造系统 基本要求；</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GB/T 20867</w:t>
      </w:r>
      <w:r>
        <w:rPr>
          <w:rFonts w:ascii="仿宋" w:hAnsi="仿宋" w:eastAsia="仿宋"/>
          <w:sz w:val="32"/>
          <w:szCs w:val="32"/>
          <w:lang w:eastAsia="zh-CN"/>
        </w:rPr>
        <w:t>-2007</w:t>
      </w:r>
      <w:r>
        <w:rPr>
          <w:rFonts w:hint="eastAsia" w:ascii="仿宋" w:hAnsi="仿宋" w:eastAsia="仿宋"/>
          <w:sz w:val="32"/>
          <w:szCs w:val="32"/>
          <w:lang w:eastAsia="zh-CN"/>
        </w:rPr>
        <w:t xml:space="preserve"> 工业机器人 安全实施规范；</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GB/T 16855.1</w:t>
      </w:r>
      <w:r>
        <w:rPr>
          <w:rFonts w:ascii="仿宋" w:hAnsi="仿宋" w:eastAsia="仿宋"/>
          <w:sz w:val="32"/>
          <w:szCs w:val="32"/>
          <w:lang w:eastAsia="zh-CN"/>
        </w:rPr>
        <w:t>-2008</w:t>
      </w:r>
      <w:r>
        <w:rPr>
          <w:rFonts w:hint="eastAsia" w:ascii="仿宋" w:hAnsi="仿宋" w:eastAsia="仿宋"/>
          <w:sz w:val="32"/>
          <w:szCs w:val="32"/>
          <w:lang w:eastAsia="zh-CN"/>
        </w:rPr>
        <w:t xml:space="preserve"> 机械安全 控制系统有关安全部件 第1部分：设计通则；</w:t>
      </w:r>
    </w:p>
    <w:p>
      <w:pPr>
        <w:pStyle w:val="4"/>
        <w:keepNext w:val="0"/>
        <w:keepLines w:val="0"/>
        <w:pageBreakBefore w:val="0"/>
        <w:widowControl w:val="0"/>
        <w:numPr>
          <w:ilvl w:val="0"/>
          <w:numId w:val="1"/>
        </w:numPr>
        <w:kinsoku/>
        <w:wordWrap/>
        <w:overflowPunct/>
        <w:topLinePunct w:val="0"/>
        <w:autoSpaceDE/>
        <w:autoSpaceDN/>
        <w:bidi w:val="0"/>
        <w:adjustRightInd/>
        <w:snapToGrid/>
        <w:spacing w:after="0" w:afterLines="0" w:line="240" w:lineRule="auto"/>
        <w:ind w:right="91" w:firstLineChars="0"/>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GB 28526</w:t>
      </w:r>
      <w:r>
        <w:rPr>
          <w:rFonts w:ascii="仿宋" w:hAnsi="仿宋" w:eastAsia="仿宋"/>
          <w:sz w:val="32"/>
          <w:szCs w:val="32"/>
          <w:lang w:eastAsia="zh-CN"/>
        </w:rPr>
        <w:t>-2012</w:t>
      </w:r>
      <w:r>
        <w:rPr>
          <w:rFonts w:hint="eastAsia" w:ascii="仿宋" w:hAnsi="仿宋" w:eastAsia="仿宋"/>
          <w:sz w:val="32"/>
          <w:szCs w:val="32"/>
          <w:lang w:eastAsia="zh-CN"/>
        </w:rPr>
        <w:t xml:space="preserve"> 机械电气安全 安全相关电气、电子和可编程电子控制系统的功能安全。</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left="119" w:right="-23" w:firstLine="0" w:firstLineChars="0"/>
        <w:textAlignment w:val="auto"/>
        <w:outlineLvl w:val="9"/>
        <w:rPr>
          <w:rFonts w:ascii="仿宋" w:hAnsi="仿宋" w:eastAsia="仿宋" w:cs="宋体"/>
          <w:b/>
          <w:position w:val="-3"/>
          <w:sz w:val="32"/>
          <w:szCs w:val="32"/>
          <w:lang w:eastAsia="zh-CN"/>
        </w:rPr>
      </w:pPr>
      <w:r>
        <w:rPr>
          <w:rFonts w:hint="eastAsia" w:ascii="仿宋" w:hAnsi="仿宋" w:eastAsia="仿宋" w:cs="宋体"/>
          <w:b/>
          <w:position w:val="-3"/>
          <w:sz w:val="32"/>
          <w:szCs w:val="32"/>
          <w:lang w:eastAsia="zh-CN"/>
        </w:rPr>
        <w:t xml:space="preserve">    </w:t>
      </w:r>
      <w:r>
        <w:rPr>
          <w:rFonts w:hint="eastAsia" w:ascii="黑体" w:hAnsi="黑体" w:eastAsia="黑体" w:cs="黑体"/>
          <w:b w:val="0"/>
          <w:position w:val="0"/>
          <w:sz w:val="32"/>
          <w:szCs w:val="32"/>
          <w:lang w:eastAsia="zh-CN"/>
        </w:rPr>
        <w:t>五、研发创新能力</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（二十）企业对其主要产品应享有知识产权，其中工业机器人相关产品和集成方案的授权专利不少于6项（发明专利不少于1项）或与产品核心功能有关的软件著作权不少于10项，且3年内未出现侵权行为</w:t>
      </w:r>
      <w:r>
        <w:rPr>
          <w:rFonts w:ascii="仿宋" w:hAnsi="仿宋" w:eastAsia="仿宋"/>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（二十一）企业单独设立研发团队/部门，每年研发经费投入不低于上一年度总营业额的4%。</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bookmarkStart w:id="2" w:name="OLE_LINK11"/>
      <w:bookmarkStart w:id="3" w:name="OLE_LINK12"/>
      <w:bookmarkStart w:id="4" w:name="OLE_LINK10"/>
      <w:bookmarkStart w:id="5" w:name="OLE_LINK9"/>
      <w:r>
        <w:rPr>
          <w:rFonts w:hint="eastAsia" w:ascii="仿宋" w:hAnsi="仿宋" w:eastAsia="仿宋"/>
          <w:sz w:val="32"/>
          <w:szCs w:val="32"/>
          <w:lang w:eastAsia="zh-CN"/>
        </w:rPr>
        <w:t>（二十二）企业应具有省级以上研发机构（包括重点实验室、工程技术研究中心、企业技术中心等），或工业机器人相关产品及技术取得省部级二等奖以上科技奖励（包括技术发明奖、科学技术进步奖等）</w:t>
      </w:r>
      <w:bookmarkEnd w:id="2"/>
      <w:bookmarkEnd w:id="3"/>
      <w:r>
        <w:rPr>
          <w:rFonts w:hint="eastAsia" w:ascii="仿宋" w:hAnsi="仿宋" w:eastAsia="仿宋"/>
          <w:sz w:val="32"/>
          <w:szCs w:val="32"/>
          <w:lang w:eastAsia="zh-CN"/>
        </w:rPr>
        <w:t>。</w:t>
      </w:r>
      <w:bookmarkEnd w:id="4"/>
      <w:bookmarkEnd w:id="5"/>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left="119" w:right="-23" w:firstLine="0" w:firstLineChars="0"/>
        <w:textAlignment w:val="auto"/>
        <w:outlineLvl w:val="9"/>
        <w:rPr>
          <w:rFonts w:ascii="仿宋" w:hAnsi="仿宋" w:eastAsia="仿宋" w:cs="宋体"/>
          <w:b/>
          <w:position w:val="-3"/>
          <w:sz w:val="32"/>
          <w:szCs w:val="32"/>
          <w:lang w:eastAsia="zh-CN"/>
        </w:rPr>
      </w:pPr>
      <w:r>
        <w:rPr>
          <w:rFonts w:hint="eastAsia" w:ascii="仿宋" w:hAnsi="仿宋" w:eastAsia="仿宋" w:cs="宋体"/>
          <w:b/>
          <w:position w:val="-3"/>
          <w:sz w:val="32"/>
          <w:szCs w:val="32"/>
          <w:lang w:eastAsia="zh-CN"/>
        </w:rPr>
        <w:t xml:space="preserve">    </w:t>
      </w:r>
      <w:r>
        <w:rPr>
          <w:rFonts w:hint="eastAsia" w:ascii="黑体" w:hAnsi="黑体" w:eastAsia="黑体" w:cs="黑体"/>
          <w:b w:val="0"/>
          <w:position w:val="0"/>
          <w:sz w:val="32"/>
          <w:szCs w:val="32"/>
          <w:lang w:eastAsia="zh-CN"/>
        </w:rPr>
        <w:t>六、人才实力</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（二十三）企业领导中应有专人负责技术、质量管理工作，该企业领导应具有相应的技术背景或主管相关工作的经验。</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（二十四）特种作业、特种设备操作等特殊岗位的人员应具有经相应资格证书，持证上岗率达100%。同时应建立合理的人力资源培训与考核制度，并能有效实施。</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（二十五）工业机器人本体生产企业或应用集成企业，从研发、设计等技术工作的人员数量不少于15人，且占企业总人数的比例不低于20%。</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left="119" w:right="-23" w:firstLine="0" w:firstLineChars="0"/>
        <w:textAlignment w:val="auto"/>
        <w:outlineLvl w:val="9"/>
        <w:rPr>
          <w:rFonts w:ascii="仿宋" w:hAnsi="仿宋" w:eastAsia="仿宋" w:cs="宋体"/>
          <w:b/>
          <w:position w:val="-3"/>
          <w:sz w:val="32"/>
          <w:szCs w:val="32"/>
          <w:lang w:eastAsia="zh-CN"/>
        </w:rPr>
      </w:pPr>
      <w:r>
        <w:rPr>
          <w:rFonts w:hint="eastAsia" w:ascii="仿宋" w:hAnsi="仿宋" w:eastAsia="仿宋" w:cs="宋体"/>
          <w:b/>
          <w:position w:val="-3"/>
          <w:sz w:val="32"/>
          <w:szCs w:val="32"/>
          <w:lang w:eastAsia="zh-CN"/>
        </w:rPr>
        <w:t xml:space="preserve">    </w:t>
      </w:r>
      <w:r>
        <w:rPr>
          <w:rFonts w:hint="eastAsia" w:ascii="黑体" w:hAnsi="黑体" w:eastAsia="黑体" w:cs="黑体"/>
          <w:b w:val="0"/>
          <w:position w:val="0"/>
          <w:sz w:val="32"/>
          <w:szCs w:val="32"/>
          <w:lang w:eastAsia="zh-CN"/>
        </w:rPr>
        <w:t>七、销售和售后服务</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（二十六）产品售后服务要严格执行国家有关规定并</w:t>
      </w:r>
      <w:r>
        <w:rPr>
          <w:rFonts w:ascii="仿宋" w:hAnsi="仿宋" w:eastAsia="仿宋"/>
          <w:sz w:val="32"/>
          <w:szCs w:val="32"/>
          <w:lang w:eastAsia="zh-CN"/>
        </w:rPr>
        <w:t>建有完善的产品销售和售后服务体系</w:t>
      </w:r>
      <w:r>
        <w:rPr>
          <w:rFonts w:hint="eastAsia" w:ascii="仿宋" w:hAnsi="仿宋" w:eastAsia="仿宋"/>
          <w:sz w:val="32"/>
          <w:szCs w:val="32"/>
          <w:lang w:eastAsia="zh-CN"/>
        </w:rPr>
        <w:t>，指导用户合理使用产品，</w:t>
      </w:r>
      <w:r>
        <w:rPr>
          <w:rFonts w:ascii="仿宋" w:hAnsi="仿宋" w:eastAsia="仿宋"/>
          <w:sz w:val="32"/>
          <w:szCs w:val="32"/>
          <w:lang w:eastAsia="zh-CN"/>
        </w:rPr>
        <w:t>为用户提供相应的操作培训和维修服务。</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w:t>
      </w:r>
      <w:r>
        <w:rPr>
          <w:rFonts w:ascii="仿宋" w:hAnsi="仿宋" w:eastAsia="仿宋"/>
          <w:sz w:val="32"/>
          <w:szCs w:val="32"/>
          <w:lang w:eastAsia="zh-CN"/>
        </w:rPr>
        <w:t>二十</w:t>
      </w:r>
      <w:r>
        <w:rPr>
          <w:rFonts w:hint="eastAsia" w:ascii="仿宋" w:hAnsi="仿宋" w:eastAsia="仿宋"/>
          <w:sz w:val="32"/>
          <w:szCs w:val="32"/>
          <w:lang w:eastAsia="zh-CN"/>
        </w:rPr>
        <w:t>七</w:t>
      </w:r>
      <w:r>
        <w:rPr>
          <w:rFonts w:ascii="仿宋" w:hAnsi="仿宋" w:eastAsia="仿宋"/>
          <w:sz w:val="32"/>
          <w:szCs w:val="32"/>
          <w:lang w:eastAsia="zh-CN"/>
        </w:rPr>
        <w:t>）</w:t>
      </w:r>
      <w:r>
        <w:rPr>
          <w:rFonts w:hint="eastAsia" w:ascii="仿宋" w:hAnsi="仿宋" w:eastAsia="仿宋"/>
          <w:sz w:val="32"/>
          <w:szCs w:val="32"/>
          <w:lang w:eastAsia="zh-CN"/>
        </w:rPr>
        <w:t>工业机器人产品保修期不少于1年。</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left="119" w:right="-23" w:firstLine="0" w:firstLineChars="0"/>
        <w:textAlignment w:val="auto"/>
        <w:outlineLvl w:val="9"/>
        <w:rPr>
          <w:rFonts w:ascii="仿宋" w:hAnsi="仿宋" w:eastAsia="仿宋" w:cs="宋体"/>
          <w:b/>
          <w:position w:val="-3"/>
          <w:sz w:val="32"/>
          <w:szCs w:val="32"/>
          <w:lang w:eastAsia="zh-CN"/>
        </w:rPr>
      </w:pPr>
      <w:r>
        <w:rPr>
          <w:rFonts w:hint="eastAsia" w:ascii="仿宋" w:hAnsi="仿宋" w:eastAsia="仿宋" w:cs="宋体"/>
          <w:b/>
          <w:position w:val="-3"/>
          <w:sz w:val="32"/>
          <w:szCs w:val="32"/>
          <w:lang w:eastAsia="zh-CN"/>
        </w:rPr>
        <w:t xml:space="preserve">    </w:t>
      </w:r>
      <w:r>
        <w:rPr>
          <w:rFonts w:hint="eastAsia" w:ascii="黑体" w:hAnsi="黑体" w:eastAsia="黑体" w:cs="黑体"/>
          <w:b w:val="0"/>
          <w:position w:val="0"/>
          <w:sz w:val="32"/>
          <w:szCs w:val="32"/>
          <w:lang w:eastAsia="zh-CN"/>
        </w:rPr>
        <w:t>八、社会责任</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（二十八）</w:t>
      </w:r>
      <w:r>
        <w:rPr>
          <w:rFonts w:ascii="仿宋" w:hAnsi="仿宋" w:eastAsia="仿宋"/>
          <w:sz w:val="32"/>
          <w:szCs w:val="32"/>
          <w:lang w:eastAsia="zh-CN"/>
        </w:rPr>
        <w:t>企业应按《安全生产法》和《安全生产许可证条例》规定的要求，开展安全生产标准化建设工作。</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ascii="仿宋" w:hAnsi="仿宋" w:eastAsia="仿宋"/>
          <w:sz w:val="32"/>
          <w:szCs w:val="32"/>
          <w:lang w:eastAsia="zh-CN"/>
        </w:rPr>
      </w:pPr>
      <w:r>
        <w:rPr>
          <w:rFonts w:hint="eastAsia" w:ascii="仿宋" w:hAnsi="仿宋" w:eastAsia="仿宋"/>
          <w:sz w:val="32"/>
          <w:szCs w:val="32"/>
          <w:lang w:eastAsia="zh-CN"/>
        </w:rPr>
        <w:t>（二十九）企业应合法、诚信经营，依法纳税，自觉</w:t>
      </w:r>
      <w:r>
        <w:rPr>
          <w:rFonts w:ascii="仿宋" w:hAnsi="仿宋" w:eastAsia="仿宋"/>
          <w:sz w:val="32"/>
          <w:szCs w:val="32"/>
          <w:lang w:eastAsia="zh-CN"/>
        </w:rPr>
        <w:t>遵守劳动保障法律法规</w:t>
      </w:r>
      <w:r>
        <w:rPr>
          <w:rFonts w:hint="eastAsia" w:ascii="仿宋" w:hAnsi="仿宋" w:eastAsia="仿宋"/>
          <w:sz w:val="32"/>
          <w:szCs w:val="32"/>
          <w:lang w:eastAsia="zh-CN"/>
        </w:rPr>
        <w:t>。</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left="119" w:right="-23" w:firstLine="0" w:firstLineChars="0"/>
        <w:textAlignment w:val="auto"/>
        <w:outlineLvl w:val="9"/>
        <w:rPr>
          <w:rFonts w:ascii="仿宋" w:hAnsi="仿宋" w:eastAsia="仿宋" w:cs="宋体"/>
          <w:b/>
          <w:position w:val="-3"/>
          <w:sz w:val="32"/>
          <w:szCs w:val="32"/>
          <w:lang w:eastAsia="zh-CN"/>
        </w:rPr>
      </w:pPr>
      <w:r>
        <w:rPr>
          <w:rFonts w:hint="eastAsia" w:ascii="仿宋" w:hAnsi="仿宋" w:eastAsia="仿宋" w:cs="宋体"/>
          <w:b/>
          <w:position w:val="-3"/>
          <w:sz w:val="32"/>
          <w:szCs w:val="32"/>
          <w:lang w:eastAsia="zh-CN"/>
        </w:rPr>
        <w:t xml:space="preserve"> </w:t>
      </w:r>
      <w:r>
        <w:rPr>
          <w:rFonts w:hint="eastAsia" w:ascii="黑体" w:hAnsi="黑体" w:eastAsia="黑体" w:cs="黑体"/>
          <w:b w:val="0"/>
          <w:position w:val="0"/>
          <w:sz w:val="32"/>
          <w:szCs w:val="32"/>
          <w:lang w:val="en-US" w:eastAsia="zh-CN"/>
        </w:rPr>
        <w:t xml:space="preserve">   </w:t>
      </w:r>
      <w:r>
        <w:rPr>
          <w:rFonts w:hint="eastAsia" w:ascii="黑体" w:hAnsi="黑体" w:eastAsia="黑体" w:cs="黑体"/>
          <w:b w:val="0"/>
          <w:position w:val="0"/>
          <w:sz w:val="32"/>
          <w:szCs w:val="32"/>
          <w:lang w:eastAsia="zh-CN"/>
        </w:rPr>
        <w:t>九、监督管理</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（三十）企业规范条件的申请、审核及公告：</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left="0" w:leftChars="0" w:right="91" w:firstLine="0" w:firstLineChars="0"/>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1.工业和信息化部负责工业机器人行业规范管理工作。申请企业通过所在省</w:t>
      </w:r>
      <w:r>
        <w:rPr>
          <w:rFonts w:hint="default" w:ascii="仿宋" w:hAnsi="仿宋" w:eastAsia="仿宋"/>
          <w:sz w:val="32"/>
          <w:szCs w:val="32"/>
          <w:lang w:eastAsia="zh-CN"/>
        </w:rPr>
        <w:t>（</w:t>
      </w:r>
      <w:r>
        <w:rPr>
          <w:rFonts w:hint="eastAsia" w:ascii="仿宋" w:hAnsi="仿宋" w:eastAsia="仿宋"/>
          <w:sz w:val="32"/>
          <w:szCs w:val="32"/>
          <w:lang w:eastAsia="zh-CN"/>
        </w:rPr>
        <w:t>自治区、直辖市</w:t>
      </w:r>
      <w:r>
        <w:rPr>
          <w:rFonts w:hint="default" w:ascii="仿宋" w:hAnsi="仿宋" w:eastAsia="仿宋"/>
          <w:sz w:val="32"/>
          <w:szCs w:val="32"/>
          <w:lang w:eastAsia="zh-CN"/>
        </w:rPr>
        <w:t>）</w:t>
      </w:r>
      <w:r>
        <w:rPr>
          <w:rFonts w:hint="eastAsia" w:ascii="仿宋" w:hAnsi="仿宋" w:eastAsia="仿宋"/>
          <w:sz w:val="32"/>
          <w:szCs w:val="32"/>
          <w:lang w:eastAsia="zh-CN"/>
        </w:rPr>
        <w:t>工业和信息化主管部门向工业和信息化部申请。</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2.各省、自治区、直辖市工业和信息化主管部门负责对本地区工业机器人生产、系统集成企业的申请进行初审，初审须按规范条件要求对企业的相关情况进行核实，提出初审意见，附企业申请材料报送工业和信息化部。</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3.工业和信息化部委托相关专业机构依据规范条件制定相应的评审细则，并组织专家对申请企业进行评审。</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4.工业和信息化部对通过评审的企业进行审查并公示，</w:t>
      </w:r>
      <w:r>
        <w:rPr>
          <w:rFonts w:hint="default" w:ascii="仿宋" w:hAnsi="仿宋" w:eastAsia="仿宋"/>
          <w:sz w:val="32"/>
          <w:szCs w:val="32"/>
          <w:lang w:eastAsia="zh-CN"/>
        </w:rPr>
        <w:t>公示</w:t>
      </w:r>
      <w:r>
        <w:rPr>
          <w:rFonts w:hint="eastAsia" w:ascii="仿宋" w:hAnsi="仿宋" w:eastAsia="仿宋"/>
          <w:sz w:val="32"/>
          <w:szCs w:val="32"/>
          <w:lang w:eastAsia="zh-CN"/>
        </w:rPr>
        <w:t>无异议</w:t>
      </w:r>
      <w:r>
        <w:rPr>
          <w:rFonts w:hint="default" w:ascii="仿宋" w:hAnsi="仿宋" w:eastAsia="仿宋"/>
          <w:sz w:val="32"/>
          <w:szCs w:val="32"/>
          <w:lang w:eastAsia="zh-CN"/>
        </w:rPr>
        <w:t>的</w:t>
      </w:r>
      <w:r>
        <w:rPr>
          <w:rFonts w:hint="eastAsia" w:ascii="仿宋" w:hAnsi="仿宋" w:eastAsia="仿宋"/>
          <w:sz w:val="32"/>
          <w:szCs w:val="32"/>
          <w:lang w:eastAsia="zh-CN"/>
        </w:rPr>
        <w:t>予以公告。</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（三十一）工业和信息化部对公告企业名单进行动态管理</w:t>
      </w:r>
      <w:r>
        <w:rPr>
          <w:rFonts w:hint="eastAsia" w:ascii="仿宋" w:hAnsi="仿宋" w:eastAsia="仿宋"/>
          <w:sz w:val="32"/>
          <w:szCs w:val="32"/>
          <w:highlight w:val="none"/>
          <w:lang w:eastAsia="zh-CN"/>
        </w:rPr>
        <w:t>。各省、自治区、直辖市工业和信息化主管部门每年要对本地区已公告企业保持规范条件的情况进行监督检查。</w:t>
      </w:r>
      <w:r>
        <w:rPr>
          <w:rFonts w:hint="eastAsia" w:ascii="仿宋" w:hAnsi="仿宋" w:eastAsia="仿宋"/>
          <w:sz w:val="32"/>
          <w:szCs w:val="32"/>
          <w:lang w:eastAsia="zh-CN"/>
        </w:rPr>
        <w:t>工业和信息化部对公告企业进行抽查。鼓励社会各界对公告企业保持规范情况进行监督。公告企业有下列情况的将撤销其公告资格：</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1.填报相关资料有弄虚作假行为的；</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2.拒绝接受监督检查的；</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3.不能保持规范条件的；</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4.发生重大责任事故、造成严重社会影响的。</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撤销公告资格的，应当提前告知有关企业，听取企业的陈述和申辩。</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十、附则</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（三十二）本规范条件所引用的标准均以适用的最新有效版本为准。</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（三十三）本规范条件由工业和信息化部负责解释，并根据行业发展情况适时进行修订。</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（三十四）本规范条件自</w:t>
      </w:r>
      <w:r>
        <w:rPr>
          <w:rFonts w:hint="eastAsia" w:ascii="仿宋" w:hAnsi="仿宋" w:eastAsia="仿宋"/>
          <w:sz w:val="32"/>
          <w:szCs w:val="32"/>
          <w:lang w:val="en-US" w:eastAsia="zh-CN"/>
        </w:rPr>
        <w:t>2017</w:t>
      </w:r>
      <w:r>
        <w:rPr>
          <w:rFonts w:hint="eastAsia" w:ascii="仿宋" w:hAnsi="仿宋" w:eastAsia="仿宋"/>
          <w:sz w:val="32"/>
          <w:szCs w:val="32"/>
          <w:lang w:eastAsia="zh-CN"/>
        </w:rPr>
        <w:t>年</w:t>
      </w:r>
      <w:r>
        <w:rPr>
          <w:rFonts w:hint="eastAsia" w:ascii="仿宋" w:hAnsi="仿宋" w:eastAsia="仿宋"/>
          <w:sz w:val="32"/>
          <w:szCs w:val="32"/>
          <w:lang w:val="en-US" w:eastAsia="zh-CN"/>
        </w:rPr>
        <w:t>2</w:t>
      </w:r>
      <w:r>
        <w:rPr>
          <w:rFonts w:hint="eastAsia" w:ascii="仿宋" w:hAnsi="仿宋" w:eastAsia="仿宋"/>
          <w:sz w:val="32"/>
          <w:szCs w:val="32"/>
          <w:lang w:eastAsia="zh-CN"/>
        </w:rPr>
        <w:t>月</w:t>
      </w:r>
      <w:r>
        <w:rPr>
          <w:rFonts w:hint="eastAsia" w:ascii="仿宋" w:hAnsi="仿宋" w:eastAsia="仿宋"/>
          <w:sz w:val="32"/>
          <w:szCs w:val="32"/>
          <w:lang w:val="en-US" w:eastAsia="zh-CN"/>
        </w:rPr>
        <w:t>1</w:t>
      </w:r>
      <w:r>
        <w:rPr>
          <w:rFonts w:hint="eastAsia" w:ascii="仿宋" w:hAnsi="仿宋" w:eastAsia="仿宋"/>
          <w:sz w:val="32"/>
          <w:szCs w:val="32"/>
          <w:lang w:eastAsia="zh-CN"/>
        </w:rPr>
        <w:t>日起实施。</w:t>
      </w:r>
    </w:p>
    <w:p>
      <w:pPr>
        <w:pStyle w:val="4"/>
        <w:keepNext w:val="0"/>
        <w:keepLines w:val="0"/>
        <w:pageBreakBefore w:val="0"/>
        <w:widowControl w:val="0"/>
        <w:kinsoku/>
        <w:wordWrap/>
        <w:overflowPunct/>
        <w:topLinePunct w:val="0"/>
        <w:autoSpaceDE/>
        <w:autoSpaceDN/>
        <w:bidi w:val="0"/>
        <w:adjustRightInd/>
        <w:snapToGrid/>
        <w:spacing w:after="0" w:afterLines="0" w:line="240" w:lineRule="auto"/>
        <w:ind w:right="91"/>
        <w:jc w:val="both"/>
        <w:textAlignment w:val="auto"/>
        <w:outlineLvl w:val="9"/>
        <w:rPr>
          <w:rFonts w:hint="eastAsia" w:ascii="仿宋" w:hAnsi="仿宋" w:eastAsia="仿宋"/>
          <w:sz w:val="32"/>
          <w:szCs w:val="32"/>
          <w:lang w:eastAsia="zh-CN"/>
        </w:rPr>
      </w:pPr>
    </w:p>
    <w:p>
      <w:pPr/>
      <w:bookmarkStart w:id="6" w:name="_GoBack"/>
      <w:bookmarkEnd w:id="6"/>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modern"/>
    <w:pitch w:val="default"/>
    <w:sig w:usb0="00000000" w:usb1="00000000" w:usb2="00000000" w:usb3="00000000" w:csb0="0000019F" w:csb1="00000000"/>
  </w:font>
  <w:font w:name="Calibri">
    <w:altName w:val="Lucida Sans Unicode"/>
    <w:panose1 w:val="020F0502020204030204"/>
    <w:charset w:val="00"/>
    <w:family w:val="decorative"/>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decorative"/>
    <w:pitch w:val="default"/>
    <w:sig w:usb0="80001AFF" w:usb1="0000396B" w:usb2="00000000" w:usb3="00000000" w:csb0="0000003F" w:csb1="D7F7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Shruti"/>
    <w:panose1 w:val="02040503050406030204"/>
    <w:charset w:val="00"/>
    <w:family w:val="swiss"/>
    <w:pitch w:val="default"/>
    <w:sig w:usb0="00000000" w:usb1="00000000" w:usb2="00000000" w:usb3="00000000" w:csb0="0000019F" w:csb1="00000000"/>
  </w:font>
  <w:font w:name="Calibri">
    <w:altName w:val="Lucida Sans Unicode"/>
    <w:panose1 w:val="020F0502020204030204"/>
    <w:charset w:val="00"/>
    <w:family w:val="roman"/>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altName w:val="宋体"/>
    <w:panose1 w:val="02000000000000000000"/>
    <w:charset w:val="86"/>
    <w:family w:val="auto"/>
    <w:pitch w:val="default"/>
    <w:sig w:usb0="00000000" w:usb1="0000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Lucida Sans Unicode">
    <w:panose1 w:val="020B0602030504020204"/>
    <w:charset w:val="00"/>
    <w:family w:val="roman"/>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roman"/>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multilevel"/>
    <w:tmpl w:val="0000000A"/>
    <w:lvl w:ilvl="0" w:tentative="1">
      <w:start w:val="1"/>
      <w:numFmt w:val="bullet"/>
      <w:lvlText w:val=""/>
      <w:lvlJc w:val="left"/>
      <w:pPr>
        <w:ind w:left="1243" w:hanging="420"/>
      </w:pPr>
      <w:rPr>
        <w:rFonts w:hint="default" w:ascii="Wingdings" w:hAnsi="Wingdings"/>
      </w:rPr>
    </w:lvl>
    <w:lvl w:ilvl="1" w:tentative="1">
      <w:start w:val="1"/>
      <w:numFmt w:val="bullet"/>
      <w:lvlText w:val=""/>
      <w:lvlJc w:val="left"/>
      <w:pPr>
        <w:ind w:left="1663" w:hanging="420"/>
      </w:pPr>
      <w:rPr>
        <w:rFonts w:hint="default" w:ascii="Wingdings" w:hAnsi="Wingdings"/>
      </w:rPr>
    </w:lvl>
    <w:lvl w:ilvl="2" w:tentative="1">
      <w:start w:val="1"/>
      <w:numFmt w:val="bullet"/>
      <w:lvlText w:val=""/>
      <w:lvlJc w:val="left"/>
      <w:pPr>
        <w:ind w:left="2083" w:hanging="420"/>
      </w:pPr>
      <w:rPr>
        <w:rFonts w:hint="default" w:ascii="Wingdings" w:hAnsi="Wingdings"/>
      </w:rPr>
    </w:lvl>
    <w:lvl w:ilvl="3" w:tentative="1">
      <w:start w:val="1"/>
      <w:numFmt w:val="bullet"/>
      <w:lvlText w:val=""/>
      <w:lvlJc w:val="left"/>
      <w:pPr>
        <w:ind w:left="2503" w:hanging="420"/>
      </w:pPr>
      <w:rPr>
        <w:rFonts w:hint="default" w:ascii="Wingdings" w:hAnsi="Wingdings"/>
      </w:rPr>
    </w:lvl>
    <w:lvl w:ilvl="4" w:tentative="1">
      <w:start w:val="1"/>
      <w:numFmt w:val="bullet"/>
      <w:lvlText w:val=""/>
      <w:lvlJc w:val="left"/>
      <w:pPr>
        <w:ind w:left="2923" w:hanging="420"/>
      </w:pPr>
      <w:rPr>
        <w:rFonts w:hint="default" w:ascii="Wingdings" w:hAnsi="Wingdings"/>
      </w:rPr>
    </w:lvl>
    <w:lvl w:ilvl="5" w:tentative="1">
      <w:start w:val="1"/>
      <w:numFmt w:val="bullet"/>
      <w:lvlText w:val=""/>
      <w:lvlJc w:val="left"/>
      <w:pPr>
        <w:ind w:left="3343" w:hanging="420"/>
      </w:pPr>
      <w:rPr>
        <w:rFonts w:hint="default" w:ascii="Wingdings" w:hAnsi="Wingdings"/>
      </w:rPr>
    </w:lvl>
    <w:lvl w:ilvl="6" w:tentative="1">
      <w:start w:val="1"/>
      <w:numFmt w:val="bullet"/>
      <w:lvlText w:val=""/>
      <w:lvlJc w:val="left"/>
      <w:pPr>
        <w:ind w:left="3763" w:hanging="420"/>
      </w:pPr>
      <w:rPr>
        <w:rFonts w:hint="default" w:ascii="Wingdings" w:hAnsi="Wingdings"/>
      </w:rPr>
    </w:lvl>
    <w:lvl w:ilvl="7" w:tentative="1">
      <w:start w:val="1"/>
      <w:numFmt w:val="bullet"/>
      <w:lvlText w:val=""/>
      <w:lvlJc w:val="left"/>
      <w:pPr>
        <w:ind w:left="4183" w:hanging="420"/>
      </w:pPr>
      <w:rPr>
        <w:rFonts w:hint="default" w:ascii="Wingdings" w:hAnsi="Wingdings"/>
      </w:rPr>
    </w:lvl>
    <w:lvl w:ilvl="8" w:tentative="1">
      <w:start w:val="1"/>
      <w:numFmt w:val="bullet"/>
      <w:lvlText w:val=""/>
      <w:lvlJc w:val="left"/>
      <w:pPr>
        <w:ind w:left="4603" w:hanging="420"/>
      </w:pPr>
      <w:rPr>
        <w:rFonts w:hint="default" w:ascii="Wingdings" w:hAnsi="Wingdings"/>
      </w:rPr>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31BCA"/>
    <w:rsid w:val="12331BC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afterLines="0" w:line="276" w:lineRule="auto"/>
    </w:pPr>
    <w:rPr>
      <w:rFonts w:ascii="Calibri" w:hAnsi="Calibri" w:eastAsia="宋体" w:cs="Times New Roman"/>
      <w:sz w:val="22"/>
      <w:szCs w:val="22"/>
      <w:lang w:val="en-US" w:eastAsia="en-US"/>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1"/>
    <w:basedOn w:val="1"/>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2016-12-28T07:28:00Z</dcterms:created>
  <dc:creator>彭勇</dc:creator>
  <cp:lastModifiedBy>彭勇</cp:lastModifiedBy>
  <dcterms:modified xsi:type="dcterms:W3CDTF">2016-12-28T07:29:03Z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