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jc w:val="center"/>
        <w:rPr>
          <w:rFonts w:ascii="黑体" w:hAnsi="黑体" w:eastAsia="黑体" w:cs="黑体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钢铁企业能耗情况自查报告</w:t>
      </w:r>
      <w:bookmarkEnd w:id="0"/>
    </w:p>
    <w:p>
      <w:pPr>
        <w:jc w:val="center"/>
        <w:rPr>
          <w:rFonts w:ascii="仿宋_GB2312" w:eastAsia="仿宋_GB2312"/>
          <w:sz w:val="28"/>
          <w:szCs w:val="28"/>
        </w:rPr>
      </w:pPr>
    </w:p>
    <w:p>
      <w:pPr>
        <w:snapToGrid w:val="0"/>
        <w:spacing w:line="360" w:lineRule="auto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一、企业概况</w:t>
      </w:r>
    </w:p>
    <w:p>
      <w:pPr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企业简介、生产规模、2015年企业生产经营情况等。</w:t>
      </w:r>
    </w:p>
    <w:p>
      <w:pPr>
        <w:snapToGrid w:val="0"/>
        <w:spacing w:line="360" w:lineRule="auto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二、能耗情况</w:t>
      </w:r>
    </w:p>
    <w:p>
      <w:pPr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2015年企业全年主要产品产量和能源消耗情况（填写附表1）。企业</w:t>
      </w:r>
      <w:r>
        <w:rPr>
          <w:rFonts w:ascii="仿宋_GB2312" w:hAnsi="仿宋_GB2312" w:eastAsia="仿宋_GB2312" w:cs="仿宋_GB2312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提供2015年1-12月焦化、烧结、球团、炼铁、转炉、电炉等工序分月能源消耗数据台账备查。</w:t>
      </w:r>
    </w:p>
    <w:p>
      <w:pPr>
        <w:snapToGrid w:val="0"/>
        <w:spacing w:line="360" w:lineRule="auto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、能耗限额标准达标情况</w:t>
      </w:r>
    </w:p>
    <w:p>
      <w:pPr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企业对照</w:t>
      </w:r>
      <w:r>
        <w:rPr>
          <w:rFonts w:hint="eastAsia" w:ascii="仿宋" w:hAnsi="仿宋" w:eastAsia="仿宋" w:cs="仿宋_GB2312"/>
          <w:sz w:val="32"/>
          <w:szCs w:val="32"/>
        </w:rPr>
        <w:t>《粗钢生产主要工序单位产品能源消耗限额》</w:t>
      </w:r>
      <w:r>
        <w:rPr>
          <w:rFonts w:ascii="仿宋_GB2312" w:eastAsia="仿宋_GB2312"/>
          <w:sz w:val="32"/>
          <w:szCs w:val="32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GB 21256-2013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《焦炭单位产品能源消耗限额》（GB 21342-2013）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ascii="仿宋_GB2312" w:hAnsi="仿宋_GB2312" w:eastAsia="仿宋_GB2312" w:cs="仿宋_GB2312"/>
          <w:sz w:val="32"/>
          <w:szCs w:val="32"/>
        </w:rPr>
        <w:t>强制性标准，</w:t>
      </w:r>
      <w:r>
        <w:rPr>
          <w:rFonts w:hint="eastAsia" w:ascii="仿宋_GB2312" w:hAnsi="仿宋_GB2312" w:eastAsia="仿宋_GB2312" w:cs="仿宋_GB2312"/>
          <w:sz w:val="32"/>
          <w:szCs w:val="32"/>
        </w:rPr>
        <w:t>说明</w:t>
      </w:r>
      <w:r>
        <w:rPr>
          <w:rFonts w:ascii="仿宋_GB2312" w:hAnsi="仿宋_GB2312" w:eastAsia="仿宋_GB2312" w:cs="仿宋_GB2312"/>
          <w:sz w:val="32"/>
          <w:szCs w:val="32"/>
        </w:rPr>
        <w:t>各工序能耗达标情况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（填写附表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snapToGrid w:val="0"/>
        <w:spacing w:line="360" w:lineRule="auto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、能源计量器具配备情况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焦化、烧结、球团、炼铁、转炉、电炉等工序二级能源计量器具和三级能源计量器具配备情况（填写附表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snapToGrid w:val="0"/>
        <w:spacing w:line="360" w:lineRule="auto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、能源管理情况</w:t>
      </w:r>
    </w:p>
    <w:p>
      <w:pPr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企业能源管理体系建设、能源管理有关规章制度建立、能源管控中心建设和运营情况等。</w:t>
      </w:r>
    </w:p>
    <w:p>
      <w:pPr>
        <w:snapToGrid w:val="0"/>
        <w:spacing w:line="360" w:lineRule="auto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、节能措施和节能项目情况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企业已经实施和</w:t>
      </w:r>
      <w:r>
        <w:rPr>
          <w:rFonts w:ascii="仿宋_GB2312" w:hAnsi="仿宋_GB2312" w:eastAsia="仿宋_GB2312" w:cs="仿宋_GB2312"/>
          <w:sz w:val="32"/>
          <w:szCs w:val="32"/>
        </w:rPr>
        <w:t>正在实施的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主要节能措施和节能项目（填写附表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snapToGrid w:val="0"/>
        <w:spacing w:line="360" w:lineRule="auto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</w:t>
      </w:r>
      <w:r>
        <w:rPr>
          <w:rFonts w:ascii="黑体" w:hAnsi="黑体" w:eastAsia="黑体" w:cs="黑体"/>
          <w:sz w:val="32"/>
          <w:szCs w:val="32"/>
        </w:rPr>
        <w:t>存在问题及</w:t>
      </w:r>
      <w:r>
        <w:rPr>
          <w:rFonts w:hint="eastAsia" w:ascii="黑体" w:hAnsi="黑体" w:eastAsia="黑体" w:cs="黑体"/>
          <w:sz w:val="32"/>
          <w:szCs w:val="32"/>
        </w:rPr>
        <w:t>整改</w:t>
      </w:r>
      <w:r>
        <w:rPr>
          <w:rFonts w:ascii="黑体" w:hAnsi="黑体" w:eastAsia="黑体" w:cs="黑体"/>
          <w:sz w:val="32"/>
          <w:szCs w:val="32"/>
        </w:rPr>
        <w:t>措施</w:t>
      </w:r>
    </w:p>
    <w:p>
      <w:pPr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企业能源利用</w:t>
      </w:r>
      <w:r>
        <w:rPr>
          <w:rFonts w:ascii="仿宋_GB2312" w:hAnsi="仿宋_GB2312" w:eastAsia="仿宋_GB2312" w:cs="仿宋_GB2312"/>
          <w:sz w:val="32"/>
          <w:szCs w:val="32"/>
        </w:rPr>
        <w:t>存在</w:t>
      </w:r>
      <w:r>
        <w:rPr>
          <w:rFonts w:hint="eastAsia" w:ascii="仿宋_GB2312" w:hAnsi="仿宋_GB2312" w:eastAsia="仿宋_GB2312" w:cs="仿宋_GB2312"/>
          <w:sz w:val="32"/>
          <w:szCs w:val="32"/>
        </w:rPr>
        <w:t>问题以及相应的整改</w:t>
      </w:r>
      <w:r>
        <w:rPr>
          <w:rFonts w:ascii="仿宋_GB2312" w:hAnsi="仿宋_GB2312" w:eastAsia="仿宋_GB2312" w:cs="仿宋_GB2312"/>
          <w:sz w:val="32"/>
          <w:szCs w:val="32"/>
        </w:rPr>
        <w:t>措施，特别是对</w:t>
      </w:r>
      <w:r>
        <w:rPr>
          <w:rFonts w:hint="eastAsia" w:ascii="仿宋_GB2312" w:hAnsi="仿宋_GB2312" w:eastAsia="仿宋_GB2312" w:cs="仿宋_GB2312"/>
          <w:sz w:val="32"/>
          <w:szCs w:val="32"/>
        </w:rPr>
        <w:t>达不到</w:t>
      </w:r>
      <w:r>
        <w:rPr>
          <w:rFonts w:ascii="仿宋_GB2312" w:hAnsi="仿宋_GB2312" w:eastAsia="仿宋_GB2312" w:cs="仿宋_GB2312"/>
          <w:sz w:val="32"/>
          <w:szCs w:val="32"/>
        </w:rPr>
        <w:t>强制性能耗限额标准的工序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应提出明确的</w:t>
      </w:r>
      <w:r>
        <w:rPr>
          <w:rFonts w:hint="eastAsia" w:ascii="仿宋_GB2312" w:hAnsi="仿宋_GB2312" w:eastAsia="仿宋_GB2312" w:cs="仿宋_GB2312"/>
          <w:sz w:val="32"/>
          <w:szCs w:val="32"/>
        </w:rPr>
        <w:t>节能</w:t>
      </w:r>
      <w:r>
        <w:rPr>
          <w:rFonts w:ascii="仿宋_GB2312" w:hAnsi="仿宋_GB2312" w:eastAsia="仿宋_GB2312" w:cs="仿宋_GB2312"/>
          <w:sz w:val="32"/>
          <w:szCs w:val="32"/>
        </w:rPr>
        <w:t>改造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ascii="仿宋_GB2312" w:hAnsi="仿宋_GB2312" w:eastAsia="仿宋_GB2312" w:cs="仿宋_GB2312"/>
          <w:sz w:val="32"/>
          <w:szCs w:val="32"/>
        </w:rPr>
        <w:t>整改措施。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modern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Angsana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Angsana New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B0ADB"/>
    <w:rsid w:val="425B0AD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2016-06-03T09:47:00Z</dcterms:created>
  <dc:creator>莫虹频</dc:creator>
  <cp:lastModifiedBy>莫虹频</cp:lastModifiedBy>
  <dcterms:modified xsi:type="dcterms:W3CDTF">2016-06-03T09:48:09Z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