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hint="eastAsia" w:ascii="仿宋" w:hAnsi="仿宋" w:eastAsia="仿宋" w:cs="仿宋"/>
          <w:bCs/>
          <w:sz w:val="36"/>
          <w:szCs w:val="36"/>
          <w:highlight w:val="none"/>
          <w:lang w:val="en-US" w:eastAsia="zh-CN"/>
        </w:rPr>
      </w:pPr>
      <w:r>
        <w:rPr>
          <w:rFonts w:hint="eastAsia" w:ascii="仿宋" w:hAnsi="仿宋" w:eastAsia="仿宋" w:cs="仿宋"/>
          <w:bCs/>
          <w:sz w:val="36"/>
          <w:szCs w:val="36"/>
          <w:highlight w:val="none"/>
          <w:lang w:val="en-US" w:eastAsia="zh-CN"/>
        </w:rPr>
        <w:t>附件</w:t>
      </w:r>
    </w:p>
    <w:p>
      <w:pPr>
        <w:jc w:val="both"/>
        <w:rPr>
          <w:rFonts w:hint="eastAsia" w:ascii="仿宋" w:hAnsi="仿宋" w:eastAsia="仿宋" w:cs="仿宋"/>
          <w:bCs/>
          <w:sz w:val="36"/>
          <w:szCs w:val="36"/>
          <w:highlight w:val="none"/>
          <w:lang w:val="en-US" w:eastAsia="zh-CN"/>
        </w:rPr>
      </w:pPr>
      <w:bookmarkStart w:id="2" w:name="_GoBack"/>
      <w:bookmarkEnd w:id="2"/>
    </w:p>
    <w:p>
      <w:pPr>
        <w:jc w:val="center"/>
        <w:rPr>
          <w:rFonts w:hint="default" w:ascii="Times New Roman" w:hAnsi="Times New Roman" w:eastAsia="方正小标宋简体" w:cs="Times New Roman"/>
          <w:bCs/>
          <w:sz w:val="36"/>
          <w:szCs w:val="36"/>
          <w:highlight w:val="none"/>
        </w:rPr>
      </w:pPr>
      <w:r>
        <w:rPr>
          <w:rFonts w:hint="default" w:ascii="Times New Roman" w:hAnsi="Times New Roman" w:eastAsia="方正小标宋简体" w:cs="Times New Roman"/>
          <w:bCs/>
          <w:sz w:val="36"/>
          <w:szCs w:val="36"/>
          <w:highlight w:val="none"/>
        </w:rPr>
        <w:t>工业稳增长和转型升级成效明显市（州）激励措施</w:t>
      </w:r>
    </w:p>
    <w:p>
      <w:pPr>
        <w:jc w:val="center"/>
        <w:rPr>
          <w:rFonts w:hint="default" w:ascii="Times New Roman" w:hAnsi="Times New Roman" w:eastAsia="仿宋_GB2312" w:cs="Times New Roman"/>
          <w:bCs/>
          <w:sz w:val="32"/>
          <w:szCs w:val="32"/>
          <w:highlight w:val="none"/>
        </w:rPr>
      </w:pPr>
      <w:r>
        <w:rPr>
          <w:rFonts w:hint="default" w:ascii="Times New Roman" w:hAnsi="Times New Roman" w:eastAsia="方正小标宋简体" w:cs="Times New Roman"/>
          <w:bCs/>
          <w:sz w:val="36"/>
          <w:szCs w:val="36"/>
          <w:highlight w:val="none"/>
        </w:rPr>
        <w:t>实施办法</w:t>
      </w:r>
    </w:p>
    <w:p>
      <w:pPr>
        <w:jc w:val="center"/>
        <w:rPr>
          <w:rFonts w:hint="default" w:ascii="Times New Roman" w:hAnsi="Times New Roman" w:eastAsia="仿宋_GB2312" w:cs="Times New Roman"/>
          <w:bCs/>
          <w:sz w:val="32"/>
          <w:szCs w:val="32"/>
          <w:highlight w:val="none"/>
        </w:rPr>
      </w:pPr>
    </w:p>
    <w:p>
      <w:pPr>
        <w:numPr>
          <w:ilvl w:val="0"/>
          <w:numId w:val="1"/>
        </w:numPr>
        <w:tabs>
          <w:tab w:val="left" w:pos="1635"/>
        </w:tabs>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根</w:t>
      </w:r>
      <w:r>
        <w:rPr>
          <w:rFonts w:hint="default" w:ascii="Times New Roman" w:hAnsi="Times New Roman" w:eastAsia="仿宋_GB2312" w:cs="Times New Roman"/>
          <w:sz w:val="32"/>
          <w:szCs w:val="32"/>
          <w:highlight w:val="none"/>
        </w:rPr>
        <w:t>据《国务院办公厅关于对真抓实干成效明显地方加大激励支持力度的通知》（国办发〔2016〕82号），</w:t>
      </w:r>
      <w:r>
        <w:rPr>
          <w:rFonts w:hint="eastAsia" w:ascii="Times New Roman" w:hAnsi="Times New Roman" w:eastAsia="仿宋_GB2312" w:cs="Times New Roman"/>
          <w:sz w:val="32"/>
          <w:szCs w:val="32"/>
          <w:highlight w:val="none"/>
          <w:lang w:eastAsia="zh-CN"/>
        </w:rPr>
        <w:t>为规范工业稳增长和转型升级成效明显市（州）激励工作，</w:t>
      </w:r>
      <w:r>
        <w:rPr>
          <w:rFonts w:hint="default" w:ascii="Times New Roman" w:hAnsi="Times New Roman" w:eastAsia="仿宋_GB2312" w:cs="Times New Roman"/>
          <w:sz w:val="32"/>
          <w:szCs w:val="32"/>
          <w:highlight w:val="none"/>
        </w:rPr>
        <w:t>制定本办法。</w:t>
      </w:r>
    </w:p>
    <w:p>
      <w:pPr>
        <w:numPr>
          <w:ilvl w:val="0"/>
          <w:numId w:val="1"/>
        </w:numPr>
        <w:tabs>
          <w:tab w:val="left" w:pos="1635"/>
        </w:tabs>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工业稳增长和转型升级成效明显市（州）是指认真贯彻实施“中国制造2025”，在工业促投资、稳增长和转型升级方面真抓实干、成效突出，具有引领和示范带动作用的市（州）。</w:t>
      </w:r>
    </w:p>
    <w:p>
      <w:pPr>
        <w:numPr>
          <w:ilvl w:val="0"/>
          <w:numId w:val="1"/>
        </w:numPr>
        <w:tabs>
          <w:tab w:val="left" w:pos="1635"/>
        </w:tabs>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工业稳增长和转型升级成效明显市（州）</w:t>
      </w:r>
      <w:r>
        <w:rPr>
          <w:rFonts w:hint="default" w:ascii="Times New Roman" w:hAnsi="Times New Roman" w:eastAsia="仿宋_GB2312" w:cs="Times New Roman"/>
          <w:sz w:val="32"/>
          <w:szCs w:val="32"/>
          <w:highlight w:val="none"/>
          <w:lang w:eastAsia="zh-CN"/>
        </w:rPr>
        <w:t>激励</w:t>
      </w:r>
      <w:r>
        <w:rPr>
          <w:rFonts w:hint="default" w:ascii="Times New Roman" w:hAnsi="Times New Roman" w:eastAsia="仿宋_GB2312" w:cs="Times New Roman"/>
          <w:sz w:val="32"/>
          <w:szCs w:val="32"/>
          <w:highlight w:val="none"/>
        </w:rPr>
        <w:t>工作遵循公平、公正、公开原则，统筹</w:t>
      </w:r>
      <w:r>
        <w:rPr>
          <w:rFonts w:hint="default" w:ascii="Times New Roman" w:hAnsi="Times New Roman" w:eastAsia="仿宋_GB2312" w:cs="Times New Roman"/>
          <w:sz w:val="32"/>
          <w:szCs w:val="32"/>
          <w:highlight w:val="none"/>
          <w:lang w:eastAsia="zh-CN"/>
        </w:rPr>
        <w:t>安排</w:t>
      </w:r>
      <w:r>
        <w:rPr>
          <w:rFonts w:hint="default" w:ascii="Times New Roman" w:hAnsi="Times New Roman" w:eastAsia="仿宋_GB2312" w:cs="Times New Roman"/>
          <w:sz w:val="32"/>
          <w:szCs w:val="32"/>
          <w:highlight w:val="none"/>
        </w:rPr>
        <w:t>，有序推进。</w:t>
      </w:r>
    </w:p>
    <w:p>
      <w:pPr>
        <w:numPr>
          <w:ilvl w:val="0"/>
          <w:numId w:val="1"/>
        </w:numPr>
        <w:tabs>
          <w:tab w:val="left" w:pos="1635"/>
        </w:tabs>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工业和信息化部负责工业稳增长和转型升级成效明显市（州）的遴选和</w:t>
      </w:r>
      <w:r>
        <w:rPr>
          <w:rFonts w:hint="default" w:ascii="Times New Roman" w:hAnsi="Times New Roman" w:eastAsia="仿宋_GB2312" w:cs="Times New Roman"/>
          <w:sz w:val="32"/>
          <w:szCs w:val="32"/>
          <w:highlight w:val="none"/>
          <w:lang w:eastAsia="zh-CN"/>
        </w:rPr>
        <w:t>激</w:t>
      </w:r>
      <w:r>
        <w:rPr>
          <w:rFonts w:hint="default" w:ascii="Times New Roman" w:hAnsi="Times New Roman" w:eastAsia="仿宋_GB2312" w:cs="Times New Roman"/>
          <w:sz w:val="32"/>
          <w:szCs w:val="32"/>
          <w:highlight w:val="none"/>
        </w:rPr>
        <w:t>励工作，各省、自治区、直辖市及新疆生产建设兵团工业和信息化主管部门（以下统称推荐单位）负责本地区工业稳增长和转型升级成效明显市（州）的</w:t>
      </w:r>
      <w:r>
        <w:rPr>
          <w:rFonts w:hint="eastAsia" w:ascii="Times New Roman" w:hAnsi="Times New Roman" w:eastAsia="仿宋_GB2312" w:cs="Times New Roman"/>
          <w:sz w:val="32"/>
          <w:szCs w:val="32"/>
          <w:highlight w:val="none"/>
          <w:lang w:eastAsia="zh-CN"/>
        </w:rPr>
        <w:t>评选</w:t>
      </w:r>
      <w:r>
        <w:rPr>
          <w:rFonts w:hint="default" w:ascii="Times New Roman" w:hAnsi="Times New Roman" w:eastAsia="仿宋_GB2312" w:cs="Times New Roman"/>
          <w:sz w:val="32"/>
          <w:szCs w:val="32"/>
          <w:highlight w:val="none"/>
        </w:rPr>
        <w:t>推荐工作，并配合工业和信息化部进行指导和管理。</w:t>
      </w:r>
    </w:p>
    <w:p>
      <w:pPr>
        <w:numPr>
          <w:ilvl w:val="0"/>
          <w:numId w:val="1"/>
        </w:numPr>
        <w:tabs>
          <w:tab w:val="left" w:pos="1635"/>
        </w:tabs>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工业稳增长和转型升级成效明显市（州）以</w:t>
      </w:r>
      <w:r>
        <w:rPr>
          <w:rFonts w:hint="default" w:ascii="Times New Roman" w:hAnsi="Times New Roman" w:eastAsia="仿宋_GB2312" w:cs="Times New Roman"/>
          <w:sz w:val="32"/>
          <w:szCs w:val="32"/>
          <w:highlight w:val="none"/>
          <w:lang w:eastAsia="zh-CN"/>
        </w:rPr>
        <w:t>地</w:t>
      </w:r>
      <w:r>
        <w:rPr>
          <w:rFonts w:hint="default" w:ascii="Times New Roman" w:hAnsi="Times New Roman" w:eastAsia="仿宋_GB2312" w:cs="Times New Roman"/>
          <w:sz w:val="32"/>
          <w:szCs w:val="32"/>
          <w:highlight w:val="none"/>
        </w:rPr>
        <w:t>级</w:t>
      </w:r>
      <w:r>
        <w:rPr>
          <w:rFonts w:hint="eastAsia" w:ascii="Times New Roman" w:hAnsi="Times New Roman" w:eastAsia="仿宋_GB2312" w:cs="Times New Roman"/>
          <w:sz w:val="32"/>
          <w:szCs w:val="32"/>
          <w:highlight w:val="none"/>
          <w:lang w:eastAsia="zh-CN"/>
        </w:rPr>
        <w:t>及以上</w:t>
      </w:r>
      <w:r>
        <w:rPr>
          <w:rFonts w:hint="default" w:ascii="Times New Roman" w:hAnsi="Times New Roman" w:eastAsia="仿宋_GB2312" w:cs="Times New Roman"/>
          <w:sz w:val="32"/>
          <w:szCs w:val="32"/>
          <w:highlight w:val="none"/>
        </w:rPr>
        <w:t>行政区（含计划单列市）、直辖市辖区（县）为主</w:t>
      </w:r>
      <w:r>
        <w:rPr>
          <w:rFonts w:hint="default" w:ascii="Times New Roman" w:hAnsi="Times New Roman" w:eastAsia="仿宋_GB2312" w:cs="Times New Roman"/>
          <w:sz w:val="32"/>
          <w:szCs w:val="32"/>
          <w:highlight w:val="none"/>
          <w:lang w:eastAsia="zh-CN"/>
        </w:rPr>
        <w:t>，适当考虑少量成效特别突出的县</w:t>
      </w:r>
      <w:r>
        <w:rPr>
          <w:rFonts w:hint="eastAsia" w:ascii="Times New Roman" w:hAnsi="Times New Roman" w:eastAsia="仿宋_GB2312" w:cs="Times New Roman"/>
          <w:sz w:val="32"/>
          <w:szCs w:val="32"/>
          <w:highlight w:val="none"/>
          <w:lang w:eastAsia="zh-CN"/>
        </w:rPr>
        <w:t>级行政区</w:t>
      </w:r>
      <w:r>
        <w:rPr>
          <w:rFonts w:hint="default" w:ascii="Times New Roman" w:hAnsi="Times New Roman" w:eastAsia="仿宋_GB2312" w:cs="Times New Roman"/>
          <w:sz w:val="32"/>
          <w:szCs w:val="32"/>
          <w:highlight w:val="none"/>
          <w:lang w:eastAsia="zh-CN"/>
        </w:rPr>
        <w:t>（以下统称市（州）），每年遴选10-15个，激励期一年。</w:t>
      </w:r>
    </w:p>
    <w:p>
      <w:pPr>
        <w:numPr>
          <w:ilvl w:val="0"/>
          <w:numId w:val="1"/>
        </w:numPr>
        <w:tabs>
          <w:tab w:val="left" w:pos="1635"/>
        </w:tabs>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申报市（州）</w:t>
      </w:r>
      <w:r>
        <w:rPr>
          <w:rFonts w:hint="default" w:ascii="Times New Roman" w:hAnsi="Times New Roman" w:eastAsia="仿宋_GB2312" w:cs="Times New Roman"/>
          <w:sz w:val="32"/>
          <w:szCs w:val="32"/>
          <w:highlight w:val="none"/>
        </w:rPr>
        <w:t>应具备</w:t>
      </w:r>
      <w:r>
        <w:rPr>
          <w:rFonts w:hint="default" w:ascii="Times New Roman" w:hAnsi="Times New Roman" w:eastAsia="仿宋_GB2312" w:cs="Times New Roman"/>
          <w:sz w:val="32"/>
          <w:szCs w:val="32"/>
          <w:highlight w:val="none"/>
          <w:lang w:eastAsia="zh-CN"/>
        </w:rPr>
        <w:t>以下</w:t>
      </w:r>
      <w:r>
        <w:rPr>
          <w:rFonts w:hint="default" w:ascii="Times New Roman" w:hAnsi="Times New Roman" w:eastAsia="仿宋_GB2312" w:cs="Times New Roman"/>
          <w:sz w:val="32"/>
          <w:szCs w:val="32"/>
          <w:highlight w:val="none"/>
        </w:rPr>
        <w:t>基本条件：</w:t>
      </w:r>
    </w:p>
    <w:p>
      <w:pPr>
        <w:numPr>
          <w:ilvl w:val="0"/>
          <w:numId w:val="2"/>
        </w:numPr>
        <w:tabs>
          <w:tab w:val="left" w:pos="1635"/>
        </w:tabs>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认真落实“中国制造2025”，制定了具体实施方案和年度工作计划，制定了针对性强、具体有效的配套政策，建立了强有力的组织实施机制和考核评价机制，制造业提质增效和转型升级取得明显成效。</w:t>
      </w:r>
    </w:p>
    <w:p>
      <w:pPr>
        <w:numPr>
          <w:ilvl w:val="0"/>
          <w:numId w:val="2"/>
        </w:numPr>
        <w:tabs>
          <w:tab w:val="left" w:pos="1635"/>
        </w:tabs>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产业特色鲜明，行业引领作用突出，具有区域代表性，工业</w:t>
      </w:r>
      <w:r>
        <w:rPr>
          <w:rFonts w:hint="eastAsia" w:ascii="Times New Roman" w:hAnsi="Times New Roman" w:eastAsia="仿宋_GB2312" w:cs="Times New Roman"/>
          <w:sz w:val="32"/>
          <w:szCs w:val="32"/>
          <w:highlight w:val="none"/>
          <w:lang w:eastAsia="zh-CN"/>
        </w:rPr>
        <w:t>总</w:t>
      </w:r>
      <w:r>
        <w:rPr>
          <w:rFonts w:hint="default" w:ascii="Times New Roman" w:hAnsi="Times New Roman" w:eastAsia="仿宋_GB2312" w:cs="Times New Roman"/>
          <w:sz w:val="32"/>
          <w:szCs w:val="32"/>
          <w:highlight w:val="none"/>
        </w:rPr>
        <w:t>量</w:t>
      </w:r>
      <w:r>
        <w:rPr>
          <w:rFonts w:hint="eastAsia" w:ascii="Times New Roman" w:hAnsi="Times New Roman" w:eastAsia="仿宋_GB2312" w:cs="Times New Roman"/>
          <w:sz w:val="32"/>
          <w:szCs w:val="32"/>
          <w:highlight w:val="none"/>
          <w:lang w:eastAsia="zh-CN"/>
        </w:rPr>
        <w:t>（增加值）</w:t>
      </w:r>
      <w:r>
        <w:rPr>
          <w:rFonts w:hint="default" w:ascii="Times New Roman" w:hAnsi="Times New Roman" w:eastAsia="仿宋_GB2312" w:cs="Times New Roman"/>
          <w:sz w:val="32"/>
          <w:szCs w:val="32"/>
          <w:highlight w:val="none"/>
        </w:rPr>
        <w:t>在</w:t>
      </w:r>
      <w:r>
        <w:rPr>
          <w:rFonts w:hint="eastAsia" w:ascii="Times New Roman" w:hAnsi="Times New Roman" w:eastAsia="仿宋_GB2312" w:cs="Times New Roman"/>
          <w:sz w:val="32"/>
          <w:szCs w:val="32"/>
          <w:highlight w:val="none"/>
          <w:lang w:eastAsia="zh-CN"/>
        </w:rPr>
        <w:t>全国或</w:t>
      </w:r>
      <w:r>
        <w:rPr>
          <w:rFonts w:hint="default" w:ascii="Times New Roman" w:hAnsi="Times New Roman" w:eastAsia="仿宋_GB2312" w:cs="Times New Roman"/>
          <w:sz w:val="32"/>
          <w:szCs w:val="32"/>
          <w:highlight w:val="none"/>
        </w:rPr>
        <w:t>所在省（自治区、直辖市）工业经济中占有重要地位，新型工业化产业示范基地建设提升创建工作成效明显。本年度工业主导产业至少有1-2个产品产量占国内全行业5%以上。</w:t>
      </w:r>
    </w:p>
    <w:p>
      <w:pPr>
        <w:numPr>
          <w:ilvl w:val="0"/>
          <w:numId w:val="2"/>
        </w:numPr>
        <w:tabs>
          <w:tab w:val="left" w:pos="1635"/>
        </w:tabs>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积极推动工业投资和企业技术改造，工业结构调整和工业转型升级走在全国前列。本年度技术改造投资占工业投资比重在40%以上，年度增速超过15%。</w:t>
      </w:r>
    </w:p>
    <w:p>
      <w:pPr>
        <w:numPr>
          <w:ilvl w:val="0"/>
          <w:numId w:val="2"/>
        </w:numPr>
        <w:tabs>
          <w:tab w:val="left" w:pos="1635"/>
        </w:tabs>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开展工业质量品牌建设行动，深入实施“增品种、提品质、创品牌”活动，拥有一批具有自主知识产权的知名工业品牌</w:t>
      </w:r>
      <w:r>
        <w:rPr>
          <w:rFonts w:hint="default" w:ascii="Times New Roman" w:hAnsi="Times New Roman" w:eastAsia="仿宋_GB2312" w:cs="Times New Roman"/>
          <w:sz w:val="32"/>
          <w:szCs w:val="32"/>
          <w:highlight w:val="none"/>
          <w:lang w:eastAsia="zh-CN"/>
        </w:rPr>
        <w:t>。</w:t>
      </w:r>
    </w:p>
    <w:p>
      <w:pPr>
        <w:numPr>
          <w:ilvl w:val="0"/>
          <w:numId w:val="2"/>
        </w:numPr>
        <w:tabs>
          <w:tab w:val="left" w:pos="1635"/>
        </w:tabs>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具备一定的信息化基础，在</w:t>
      </w:r>
      <w:r>
        <w:rPr>
          <w:rFonts w:hint="eastAsia" w:ascii="Times New Roman" w:hAnsi="Times New Roman" w:eastAsia="仿宋_GB2312" w:cs="Times New Roman"/>
          <w:sz w:val="32"/>
          <w:szCs w:val="32"/>
          <w:highlight w:val="none"/>
          <w:lang w:eastAsia="zh-CN"/>
        </w:rPr>
        <w:t>深化</w:t>
      </w:r>
      <w:r>
        <w:rPr>
          <w:rFonts w:hint="default" w:ascii="Times New Roman" w:hAnsi="Times New Roman" w:eastAsia="仿宋_GB2312" w:cs="Times New Roman"/>
          <w:sz w:val="32"/>
          <w:szCs w:val="32"/>
          <w:highlight w:val="none"/>
          <w:lang w:eastAsia="zh-CN"/>
        </w:rPr>
        <w:t>制造业</w:t>
      </w:r>
      <w:r>
        <w:rPr>
          <w:rFonts w:hint="eastAsia" w:ascii="Times New Roman" w:hAnsi="Times New Roman" w:eastAsia="仿宋_GB2312" w:cs="Times New Roman"/>
          <w:sz w:val="32"/>
          <w:szCs w:val="32"/>
          <w:highlight w:val="none"/>
          <w:lang w:eastAsia="zh-CN"/>
        </w:rPr>
        <w:t>与互联网</w:t>
      </w:r>
      <w:r>
        <w:rPr>
          <w:rFonts w:hint="default" w:ascii="Times New Roman" w:hAnsi="Times New Roman" w:eastAsia="仿宋_GB2312" w:cs="Times New Roman"/>
          <w:sz w:val="32"/>
          <w:szCs w:val="32"/>
          <w:highlight w:val="none"/>
          <w:lang w:eastAsia="zh-CN"/>
        </w:rPr>
        <w:t>融合方面成效明显。</w:t>
      </w:r>
      <w:r>
        <w:rPr>
          <w:rFonts w:hint="eastAsia" w:ascii="Times New Roman" w:hAnsi="Times New Roman" w:eastAsia="仿宋_GB2312" w:cs="Times New Roman"/>
          <w:sz w:val="32"/>
          <w:szCs w:val="32"/>
          <w:highlight w:val="none"/>
          <w:lang w:eastAsia="zh-CN"/>
        </w:rPr>
        <w:t>积极</w:t>
      </w:r>
      <w:r>
        <w:rPr>
          <w:rFonts w:hint="default" w:ascii="Times New Roman" w:hAnsi="Times New Roman" w:eastAsia="仿宋_GB2312" w:cs="Times New Roman"/>
          <w:sz w:val="32"/>
          <w:szCs w:val="32"/>
          <w:highlight w:val="none"/>
          <w:lang w:eastAsia="zh-CN"/>
        </w:rPr>
        <w:t>发展工业互联网，</w:t>
      </w:r>
      <w:r>
        <w:rPr>
          <w:rFonts w:hint="eastAsia" w:ascii="Times New Roman" w:hAnsi="Times New Roman" w:eastAsia="仿宋_GB2312" w:cs="Times New Roman"/>
          <w:sz w:val="32"/>
          <w:szCs w:val="32"/>
          <w:highlight w:val="none"/>
          <w:lang w:eastAsia="zh-CN"/>
        </w:rPr>
        <w:t>在</w:t>
      </w:r>
      <w:r>
        <w:rPr>
          <w:rFonts w:hint="default" w:ascii="Times New Roman" w:hAnsi="Times New Roman" w:eastAsia="仿宋_GB2312" w:cs="Times New Roman"/>
          <w:sz w:val="32"/>
          <w:szCs w:val="32"/>
          <w:highlight w:val="none"/>
          <w:lang w:eastAsia="zh-CN"/>
        </w:rPr>
        <w:t>建设网络、平台、安全三大体系，开展试点示范、创建工业互联网产业示范基地方面取得实质性进展。</w:t>
      </w:r>
    </w:p>
    <w:p>
      <w:pPr>
        <w:numPr>
          <w:ilvl w:val="0"/>
          <w:numId w:val="2"/>
        </w:numPr>
        <w:tabs>
          <w:tab w:val="left" w:pos="1635"/>
        </w:tabs>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加强组织领导，切实做好工业稳增长和转型升级的运行、监测、协调工作，促进工业提质增效，实现工业经济平稳健康持续增长。</w:t>
      </w:r>
    </w:p>
    <w:p>
      <w:pPr>
        <w:numPr>
          <w:ilvl w:val="0"/>
          <w:numId w:val="2"/>
        </w:numPr>
        <w:tabs>
          <w:tab w:val="left" w:pos="1635"/>
        </w:tabs>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近三年，未发生重大安全生产事故、重大环境事故，未发生造成恶劣影响的社会稳定事件。</w:t>
      </w:r>
    </w:p>
    <w:p>
      <w:pPr>
        <w:numPr>
          <w:ilvl w:val="0"/>
          <w:numId w:val="1"/>
        </w:numPr>
        <w:tabs>
          <w:tab w:val="left" w:pos="1635"/>
        </w:tabs>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推荐单位负责</w:t>
      </w:r>
      <w:r>
        <w:rPr>
          <w:rFonts w:hint="eastAsia" w:ascii="Times New Roman" w:hAnsi="Times New Roman" w:eastAsia="仿宋_GB2312" w:cs="Times New Roman"/>
          <w:sz w:val="32"/>
          <w:szCs w:val="32"/>
          <w:highlight w:val="none"/>
          <w:lang w:eastAsia="zh-CN"/>
        </w:rPr>
        <w:t>按条件评选推荐，经所在省（区、市）政府（</w:t>
      </w:r>
      <w:r>
        <w:rPr>
          <w:rFonts w:hint="default" w:ascii="Times New Roman" w:hAnsi="Times New Roman" w:eastAsia="仿宋_GB2312" w:cs="Times New Roman"/>
          <w:sz w:val="32"/>
          <w:szCs w:val="32"/>
          <w:highlight w:val="none"/>
        </w:rPr>
        <w:t>新疆生产建设兵团</w:t>
      </w:r>
      <w:r>
        <w:rPr>
          <w:rFonts w:hint="eastAsia" w:ascii="Times New Roman" w:hAnsi="Times New Roman" w:eastAsia="仿宋_GB2312" w:cs="Times New Roman"/>
          <w:sz w:val="32"/>
          <w:szCs w:val="32"/>
          <w:highlight w:val="none"/>
          <w:lang w:eastAsia="zh-CN"/>
        </w:rPr>
        <w:t>）同意后，</w:t>
      </w:r>
      <w:r>
        <w:rPr>
          <w:rFonts w:hint="default" w:ascii="Times New Roman" w:hAnsi="Times New Roman" w:eastAsia="仿宋_GB2312" w:cs="Times New Roman"/>
          <w:sz w:val="32"/>
          <w:szCs w:val="32"/>
          <w:highlight w:val="none"/>
        </w:rPr>
        <w:t>向工业和信息化部提交申报</w:t>
      </w:r>
      <w:r>
        <w:rPr>
          <w:rFonts w:hint="eastAsia" w:ascii="Times New Roman" w:hAnsi="Times New Roman" w:eastAsia="仿宋_GB2312" w:cs="Times New Roman"/>
          <w:sz w:val="32"/>
          <w:szCs w:val="32"/>
          <w:highlight w:val="none"/>
          <w:lang w:eastAsia="zh-CN"/>
        </w:rPr>
        <w:t>市（州）</w:t>
      </w:r>
      <w:r>
        <w:rPr>
          <w:rFonts w:hint="default" w:ascii="Times New Roman" w:hAnsi="Times New Roman" w:eastAsia="仿宋_GB2312" w:cs="Times New Roman"/>
          <w:sz w:val="32"/>
          <w:szCs w:val="32"/>
          <w:highlight w:val="none"/>
        </w:rPr>
        <w:t>材料（材料</w:t>
      </w:r>
      <w:r>
        <w:rPr>
          <w:rFonts w:hint="eastAsia" w:ascii="Times New Roman" w:hAnsi="Times New Roman" w:eastAsia="仿宋_GB2312" w:cs="Times New Roman"/>
          <w:sz w:val="32"/>
          <w:szCs w:val="32"/>
          <w:highlight w:val="none"/>
          <w:lang w:eastAsia="zh-CN"/>
        </w:rPr>
        <w:t>需</w:t>
      </w:r>
      <w:r>
        <w:rPr>
          <w:rFonts w:hint="default" w:ascii="Times New Roman" w:hAnsi="Times New Roman" w:eastAsia="仿宋_GB2312" w:cs="Times New Roman"/>
          <w:sz w:val="32"/>
          <w:szCs w:val="32"/>
          <w:highlight w:val="none"/>
        </w:rPr>
        <w:t>完整，推荐函、数据、公章、真实性等符合要求）。</w:t>
      </w:r>
    </w:p>
    <w:p>
      <w:pPr>
        <w:numPr>
          <w:ilvl w:val="0"/>
          <w:numId w:val="3"/>
        </w:numPr>
        <w:tabs>
          <w:tab w:val="left" w:pos="1635"/>
        </w:tabs>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申报材料</w:t>
      </w:r>
    </w:p>
    <w:p>
      <w:pPr>
        <w:numPr>
          <w:ilvl w:val="0"/>
          <w:numId w:val="4"/>
        </w:numPr>
        <w:tabs>
          <w:tab w:val="left" w:pos="1635"/>
        </w:tabs>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按照要求（附件1）编制《工业稳增长和转型升级成效明显市（州）申报书》；</w:t>
      </w:r>
    </w:p>
    <w:p>
      <w:pPr>
        <w:numPr>
          <w:ilvl w:val="0"/>
          <w:numId w:val="4"/>
        </w:numPr>
        <w:tabs>
          <w:tab w:val="left" w:pos="1635"/>
        </w:tabs>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推荐单位的推荐函和《工业稳增长和转型升级成效明显市（州）推荐表》（附件2）；</w:t>
      </w:r>
    </w:p>
    <w:p>
      <w:pPr>
        <w:numPr>
          <w:ilvl w:val="0"/>
          <w:numId w:val="4"/>
        </w:numPr>
        <w:tabs>
          <w:tab w:val="left" w:pos="1635"/>
        </w:tabs>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推荐单位</w:t>
      </w:r>
      <w:r>
        <w:rPr>
          <w:rFonts w:hint="default" w:ascii="Times New Roman" w:hAnsi="Times New Roman" w:eastAsia="仿宋_GB2312" w:cs="Times New Roman"/>
          <w:sz w:val="32"/>
          <w:szCs w:val="32"/>
          <w:highlight w:val="none"/>
        </w:rPr>
        <w:t>对材料真实性、合规性的声明。</w:t>
      </w:r>
    </w:p>
    <w:p>
      <w:pPr>
        <w:numPr>
          <w:ilvl w:val="0"/>
          <w:numId w:val="3"/>
        </w:numPr>
        <w:tabs>
          <w:tab w:val="left" w:pos="1635"/>
        </w:tabs>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申报材料中的有关数据以各级统计机构公开数据为准。</w:t>
      </w:r>
    </w:p>
    <w:p>
      <w:pPr>
        <w:numPr>
          <w:ilvl w:val="0"/>
          <w:numId w:val="1"/>
        </w:numPr>
        <w:tabs>
          <w:tab w:val="left" w:pos="1635"/>
        </w:tabs>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工业和信息化部组建评审委员会，遴选工业稳增长和转型升级成效明显市（州）。</w:t>
      </w:r>
      <w:bookmarkStart w:id="0" w:name="OLE_LINK2"/>
      <w:bookmarkStart w:id="1" w:name="OLE_LINK1"/>
      <w:r>
        <w:rPr>
          <w:rFonts w:hint="default" w:ascii="Times New Roman" w:hAnsi="Times New Roman" w:eastAsia="仿宋_GB2312" w:cs="Times New Roman"/>
          <w:sz w:val="32"/>
          <w:szCs w:val="32"/>
          <w:highlight w:val="none"/>
        </w:rPr>
        <w:t>评审委员会由工业和信息化部推荐的相关专家及部内相关司局代表（人数为单数且不少于9人）组成。评审委员会</w:t>
      </w:r>
      <w:bookmarkEnd w:id="0"/>
      <w:bookmarkEnd w:id="1"/>
      <w:r>
        <w:rPr>
          <w:rFonts w:hint="default" w:ascii="Times New Roman" w:hAnsi="Times New Roman" w:eastAsia="仿宋_GB2312" w:cs="Times New Roman"/>
          <w:sz w:val="32"/>
          <w:szCs w:val="32"/>
          <w:highlight w:val="none"/>
        </w:rPr>
        <w:t>对申报材料进行评议审查，提出评审意见</w:t>
      </w:r>
      <w:r>
        <w:rPr>
          <w:rFonts w:hint="eastAsia" w:ascii="Times New Roman" w:hAnsi="Times New Roman" w:eastAsia="仿宋_GB2312" w:cs="Times New Roman"/>
          <w:sz w:val="32"/>
          <w:szCs w:val="32"/>
          <w:highlight w:val="none"/>
          <w:lang w:eastAsia="zh-CN"/>
        </w:rPr>
        <w:t>和初选建议名单</w:t>
      </w:r>
      <w:r>
        <w:rPr>
          <w:rFonts w:hint="default" w:ascii="Times New Roman" w:hAnsi="Times New Roman" w:eastAsia="仿宋_GB2312" w:cs="Times New Roman"/>
          <w:sz w:val="32"/>
          <w:szCs w:val="32"/>
          <w:highlight w:val="none"/>
        </w:rPr>
        <w:t>。工业和信息化部依据专家评审意见</w:t>
      </w:r>
      <w:r>
        <w:rPr>
          <w:rFonts w:hint="eastAsia" w:ascii="Times New Roman" w:hAnsi="Times New Roman" w:eastAsia="仿宋_GB2312" w:cs="Times New Roman"/>
          <w:sz w:val="32"/>
          <w:szCs w:val="32"/>
          <w:highlight w:val="none"/>
          <w:lang w:eastAsia="zh-CN"/>
        </w:rPr>
        <w:t>研究</w:t>
      </w:r>
      <w:r>
        <w:rPr>
          <w:rFonts w:hint="default" w:ascii="Times New Roman" w:hAnsi="Times New Roman" w:eastAsia="仿宋_GB2312" w:cs="Times New Roman"/>
          <w:sz w:val="32"/>
          <w:szCs w:val="32"/>
          <w:highlight w:val="none"/>
        </w:rPr>
        <w:t>确定拟入选市（州）名单</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根据需要</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可进行现场调查核实。</w:t>
      </w:r>
    </w:p>
    <w:p>
      <w:pPr>
        <w:numPr>
          <w:ilvl w:val="0"/>
          <w:numId w:val="1"/>
        </w:numPr>
        <w:tabs>
          <w:tab w:val="left" w:pos="1635"/>
        </w:tabs>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拟入选市（州）名单在工业和信息化部门户网站公示5个工作日。公示无异议，纳入工业稳增长和转型升级成效明显市（州）名单（以下统称入选市（州）），报国务院办公厅批复。</w:t>
      </w:r>
    </w:p>
    <w:p>
      <w:pPr>
        <w:numPr>
          <w:ilvl w:val="0"/>
          <w:numId w:val="1"/>
        </w:numPr>
        <w:tabs>
          <w:tab w:val="left" w:pos="1635"/>
        </w:tabs>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对入选市（州）给予如下激励支持：</w:t>
      </w:r>
    </w:p>
    <w:p>
      <w:pPr>
        <w:numPr>
          <w:ilvl w:val="0"/>
          <w:numId w:val="5"/>
        </w:numPr>
        <w:tabs>
          <w:tab w:val="left" w:pos="1635"/>
        </w:tabs>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入选市（州）的产业集聚区申报国家新型工业化产业示范基地，在评选打分中加3分（百分制）。</w:t>
      </w:r>
    </w:p>
    <w:p>
      <w:pPr>
        <w:numPr>
          <w:ilvl w:val="0"/>
          <w:numId w:val="5"/>
        </w:numPr>
        <w:tabs>
          <w:tab w:val="left" w:pos="1635"/>
        </w:tabs>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入选市（州）在工业企业技术改造升级导向计划评选打分中加1分（百分制）。</w:t>
      </w:r>
    </w:p>
    <w:p>
      <w:pPr>
        <w:numPr>
          <w:ilvl w:val="0"/>
          <w:numId w:val="5"/>
        </w:numPr>
        <w:tabs>
          <w:tab w:val="left" w:pos="1635"/>
        </w:tabs>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入选市（州）在工业和信息化部组织的示范项目、示范企业、示范平台、制造业单项冠军等评选过程中，同等条件下优先支持。</w:t>
      </w:r>
    </w:p>
    <w:p>
      <w:pPr>
        <w:numPr>
          <w:ilvl w:val="0"/>
          <w:numId w:val="5"/>
        </w:numPr>
        <w:tabs>
          <w:tab w:val="left" w:pos="1635"/>
        </w:tabs>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入选市（州）申报工业和信息化部组织的专项资金，在评选打分中加3分（百分制）。</w:t>
      </w:r>
    </w:p>
    <w:p>
      <w:pPr>
        <w:numPr>
          <w:ilvl w:val="0"/>
          <w:numId w:val="1"/>
        </w:numPr>
        <w:tabs>
          <w:tab w:val="left" w:pos="1635"/>
        </w:tabs>
        <w:spacing w:beforeLines="0" w:afterLines="0"/>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各地工业和信息化主管部门对入选市（州）在政策资金安排等方面，同等条件下优先考虑。</w:t>
      </w:r>
    </w:p>
    <w:p>
      <w:pPr>
        <w:numPr>
          <w:ilvl w:val="0"/>
          <w:numId w:val="1"/>
        </w:numPr>
        <w:tabs>
          <w:tab w:val="left" w:pos="1635"/>
        </w:tabs>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入选市（州）应大力实施“中国制造2025”，</w:t>
      </w:r>
      <w:r>
        <w:rPr>
          <w:rFonts w:hint="eastAsia" w:ascii="Times New Roman" w:hAnsi="Times New Roman" w:eastAsia="仿宋_GB2312" w:cs="Times New Roman"/>
          <w:sz w:val="32"/>
          <w:szCs w:val="32"/>
          <w:highlight w:val="none"/>
          <w:lang w:eastAsia="zh-CN"/>
        </w:rPr>
        <w:t>积极</w:t>
      </w:r>
      <w:r>
        <w:rPr>
          <w:rFonts w:hint="default" w:ascii="Times New Roman" w:hAnsi="Times New Roman" w:eastAsia="仿宋_GB2312" w:cs="Times New Roman"/>
          <w:sz w:val="32"/>
          <w:szCs w:val="32"/>
          <w:highlight w:val="none"/>
        </w:rPr>
        <w:t>培育本地特色优势产业</w:t>
      </w:r>
      <w:r>
        <w:rPr>
          <w:rFonts w:hint="eastAsia" w:ascii="Times New Roman" w:hAnsi="Times New Roman" w:eastAsia="仿宋_GB2312" w:cs="Times New Roman"/>
          <w:sz w:val="32"/>
          <w:szCs w:val="32"/>
          <w:highlight w:val="none"/>
          <w:lang w:eastAsia="zh-CN"/>
        </w:rPr>
        <w:t>发展</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推进</w:t>
      </w:r>
      <w:r>
        <w:rPr>
          <w:rFonts w:hint="default" w:ascii="Times New Roman" w:hAnsi="Times New Roman" w:eastAsia="仿宋_GB2312" w:cs="Times New Roman"/>
          <w:sz w:val="32"/>
          <w:szCs w:val="32"/>
          <w:highlight w:val="none"/>
        </w:rPr>
        <w:t>新型工业化产业示范基地建设和发展水平提升；促进区域内企业技术改造，实现技术进步、提高生产效率</w:t>
      </w:r>
      <w:r>
        <w:rPr>
          <w:rFonts w:hint="eastAsia" w:ascii="Times New Roman" w:hAnsi="Times New Roman" w:eastAsia="仿宋_GB2312" w:cs="Times New Roman"/>
          <w:sz w:val="32"/>
          <w:szCs w:val="32"/>
          <w:highlight w:val="none"/>
          <w:lang w:eastAsia="zh-CN"/>
        </w:rPr>
        <w:t>，依法依规</w:t>
      </w:r>
      <w:r>
        <w:rPr>
          <w:rFonts w:hint="default" w:ascii="Times New Roman" w:hAnsi="Times New Roman" w:eastAsia="仿宋_GB2312" w:cs="Times New Roman"/>
          <w:sz w:val="32"/>
          <w:szCs w:val="32"/>
          <w:highlight w:val="none"/>
        </w:rPr>
        <w:t>淘汰落后产能</w:t>
      </w:r>
      <w:r>
        <w:rPr>
          <w:rFonts w:hint="eastAsia" w:ascii="Times New Roman" w:hAnsi="Times New Roman" w:eastAsia="仿宋_GB2312" w:cs="Times New Roman"/>
          <w:sz w:val="32"/>
          <w:szCs w:val="32"/>
          <w:highlight w:val="none"/>
          <w:lang w:eastAsia="zh-CN"/>
        </w:rPr>
        <w:t>，大力</w:t>
      </w:r>
      <w:r>
        <w:rPr>
          <w:rFonts w:hint="eastAsia" w:ascii="仿宋_GB2312" w:hAnsi="仿宋_GB2312" w:eastAsia="仿宋_GB2312" w:cs="仿宋_GB2312"/>
          <w:b w:val="0"/>
          <w:bCs w:val="0"/>
          <w:sz w:val="32"/>
          <w:szCs w:val="32"/>
          <w:highlight w:val="none"/>
          <w:lang w:val="en-US" w:eastAsia="zh-CN"/>
        </w:rPr>
        <w:t>促进企业兼并重组、培育提升制造业单项冠军、</w:t>
      </w:r>
      <w:r>
        <w:rPr>
          <w:rFonts w:hint="default" w:ascii="Times New Roman" w:hAnsi="Times New Roman" w:eastAsia="仿宋_GB2312" w:cs="Times New Roman"/>
          <w:sz w:val="32"/>
          <w:szCs w:val="32"/>
          <w:highlight w:val="none"/>
        </w:rPr>
        <w:t>推进绿色发展和节能减排、促进安全生产、发展服务型制造，推动制造业价值链向高端延伸；持续聚焦制造业提质增效，促进区域内制造业公共服务平台建设。</w:t>
      </w:r>
    </w:p>
    <w:p>
      <w:pPr>
        <w:numPr>
          <w:ilvl w:val="0"/>
          <w:numId w:val="1"/>
        </w:numPr>
        <w:tabs>
          <w:tab w:val="left" w:pos="1635"/>
        </w:tabs>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推荐单位存在提供虚假材料、弄虚作假等行为的，取消该市（州）</w:t>
      </w:r>
      <w:r>
        <w:rPr>
          <w:rFonts w:hint="eastAsia" w:ascii="Times New Roman" w:hAnsi="Times New Roman" w:eastAsia="仿宋_GB2312" w:cs="Times New Roman"/>
          <w:sz w:val="32"/>
          <w:szCs w:val="32"/>
          <w:highlight w:val="none"/>
          <w:lang w:eastAsia="zh-CN"/>
        </w:rPr>
        <w:t>三年评选</w:t>
      </w:r>
      <w:r>
        <w:rPr>
          <w:rFonts w:hint="default" w:ascii="Times New Roman" w:hAnsi="Times New Roman" w:eastAsia="仿宋_GB2312" w:cs="Times New Roman"/>
          <w:sz w:val="32"/>
          <w:szCs w:val="32"/>
          <w:highlight w:val="none"/>
        </w:rPr>
        <w:t>资格，</w:t>
      </w:r>
      <w:r>
        <w:rPr>
          <w:rFonts w:hint="eastAsia" w:ascii="Times New Roman" w:hAnsi="Times New Roman" w:eastAsia="仿宋_GB2312" w:cs="Times New Roman"/>
          <w:sz w:val="32"/>
          <w:szCs w:val="32"/>
          <w:highlight w:val="none"/>
          <w:lang w:eastAsia="zh-CN"/>
        </w:rPr>
        <w:t>取消</w:t>
      </w:r>
      <w:r>
        <w:rPr>
          <w:rFonts w:hint="default" w:ascii="Times New Roman" w:hAnsi="Times New Roman" w:eastAsia="仿宋_GB2312" w:cs="Times New Roman"/>
          <w:sz w:val="32"/>
          <w:szCs w:val="32"/>
          <w:highlight w:val="none"/>
        </w:rPr>
        <w:t>所在省（自治区、直辖市）三年</w:t>
      </w:r>
      <w:r>
        <w:rPr>
          <w:rFonts w:hint="eastAsia" w:ascii="Times New Roman" w:hAnsi="Times New Roman" w:eastAsia="仿宋_GB2312" w:cs="Times New Roman"/>
          <w:sz w:val="32"/>
          <w:szCs w:val="32"/>
          <w:highlight w:val="none"/>
          <w:lang w:eastAsia="zh-CN"/>
        </w:rPr>
        <w:t>申报资格，情节严重的由有管理权限的单位依法给予有关责任人处分。</w:t>
      </w:r>
    </w:p>
    <w:p>
      <w:pPr>
        <w:numPr>
          <w:ilvl w:val="0"/>
          <w:numId w:val="1"/>
        </w:numPr>
        <w:tabs>
          <w:tab w:val="left" w:pos="1635"/>
        </w:tabs>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工业和信息化部涉及工业稳增长和转型升级成效明显市（州）遴选工作的人员，如存在以权谋私、滥用职权、玩忽职守、徇私舞弊等违法违纪行为的，按照《公务员法》《行政监察法》《保守国家秘密法》等国家有关规定追究相应责任；</w:t>
      </w:r>
      <w:r>
        <w:rPr>
          <w:rFonts w:hint="eastAsia" w:ascii="Times New Roman" w:hAnsi="Times New Roman" w:eastAsia="仿宋_GB2312" w:cs="Times New Roman"/>
          <w:sz w:val="32"/>
          <w:szCs w:val="32"/>
          <w:highlight w:val="none"/>
          <w:lang w:eastAsia="zh-CN"/>
        </w:rPr>
        <w:t>构成</w:t>
      </w:r>
      <w:r>
        <w:rPr>
          <w:rFonts w:hint="default" w:ascii="Times New Roman" w:hAnsi="Times New Roman" w:eastAsia="仿宋_GB2312" w:cs="Times New Roman"/>
          <w:sz w:val="32"/>
          <w:szCs w:val="32"/>
          <w:highlight w:val="none"/>
        </w:rPr>
        <w:t>犯罪的，</w:t>
      </w:r>
      <w:r>
        <w:rPr>
          <w:rFonts w:hint="eastAsia" w:ascii="Times New Roman" w:hAnsi="Times New Roman" w:eastAsia="仿宋_GB2312" w:cs="Times New Roman"/>
          <w:sz w:val="32"/>
          <w:szCs w:val="32"/>
          <w:highlight w:val="none"/>
          <w:lang w:eastAsia="zh-CN"/>
        </w:rPr>
        <w:t>移交</w:t>
      </w:r>
      <w:r>
        <w:rPr>
          <w:rFonts w:hint="default" w:ascii="Times New Roman" w:hAnsi="Times New Roman" w:eastAsia="仿宋_GB2312" w:cs="Times New Roman"/>
          <w:sz w:val="32"/>
          <w:szCs w:val="32"/>
          <w:highlight w:val="none"/>
        </w:rPr>
        <w:t>司法机关依法</w:t>
      </w:r>
      <w:r>
        <w:rPr>
          <w:rFonts w:hint="eastAsia" w:ascii="Times New Roman" w:hAnsi="Times New Roman" w:eastAsia="仿宋_GB2312" w:cs="Times New Roman"/>
          <w:sz w:val="32"/>
          <w:szCs w:val="32"/>
          <w:highlight w:val="none"/>
          <w:lang w:eastAsia="zh-CN"/>
        </w:rPr>
        <w:t>追究刑事责任</w:t>
      </w:r>
      <w:r>
        <w:rPr>
          <w:rFonts w:hint="default" w:ascii="Times New Roman" w:hAnsi="Times New Roman" w:eastAsia="仿宋_GB2312" w:cs="Times New Roman"/>
          <w:sz w:val="32"/>
          <w:szCs w:val="32"/>
          <w:highlight w:val="none"/>
        </w:rPr>
        <w:t>。</w:t>
      </w:r>
    </w:p>
    <w:p>
      <w:pPr>
        <w:numPr>
          <w:ilvl w:val="0"/>
          <w:numId w:val="1"/>
        </w:numPr>
        <w:tabs>
          <w:tab w:val="left" w:pos="1635"/>
        </w:tabs>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本办法自</w:t>
      </w:r>
      <w:r>
        <w:rPr>
          <w:rFonts w:hint="eastAsia" w:ascii="Times New Roman" w:hAnsi="Times New Roman" w:eastAsia="仿宋_GB2312" w:cs="Times New Roman"/>
          <w:sz w:val="32"/>
          <w:szCs w:val="32"/>
          <w:highlight w:val="none"/>
          <w:lang w:val="en-US" w:eastAsia="zh-CN"/>
        </w:rPr>
        <w:t>2018年2月7日</w:t>
      </w:r>
      <w:r>
        <w:rPr>
          <w:rFonts w:hint="default" w:ascii="Times New Roman" w:hAnsi="Times New Roman" w:eastAsia="仿宋_GB2312" w:cs="Times New Roman"/>
          <w:sz w:val="32"/>
          <w:szCs w:val="32"/>
          <w:highlight w:val="none"/>
        </w:rPr>
        <w:t>起施行。</w:t>
      </w:r>
    </w:p>
    <w:p>
      <w:pPr>
        <w:widowControl/>
        <w:ind w:firstLine="640" w:firstLineChars="200"/>
        <w:rPr>
          <w:rFonts w:hint="default" w:ascii="Times New Roman" w:hAnsi="Times New Roman" w:eastAsia="仿宋_GB2312" w:cs="Times New Roman"/>
          <w:sz w:val="32"/>
          <w:szCs w:val="32"/>
          <w:highlight w:val="none"/>
        </w:rPr>
      </w:pPr>
    </w:p>
    <w:p>
      <w:pPr>
        <w:widowControl/>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附件</w:t>
      </w:r>
      <w:r>
        <w:rPr>
          <w:rFonts w:hint="default" w:ascii="Times New Roman" w:hAnsi="Times New Roman" w:eastAsia="仿宋_GB2312" w:cs="Times New Roman"/>
          <w:sz w:val="32"/>
          <w:szCs w:val="32"/>
          <w:highlight w:val="none"/>
        </w:rPr>
        <w:t>：1.工业稳增长和转型升级成效明显市（州）申报书（模</w:t>
      </w:r>
    </w:p>
    <w:p>
      <w:pPr>
        <w:widowControl/>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板）</w:t>
      </w:r>
    </w:p>
    <w:p>
      <w:pPr>
        <w:widowControl/>
        <w:rPr>
          <w:rFonts w:hint="default" w:ascii="Times New Roman" w:hAnsi="Times New Roman" w:eastAsia="黑体" w:cs="Times New Roman"/>
          <w:bCs/>
          <w:sz w:val="32"/>
          <w:szCs w:val="32"/>
          <w:highlight w:val="none"/>
        </w:rPr>
      </w:pPr>
      <w:r>
        <w:rPr>
          <w:rFonts w:hint="default"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2.工业稳增长和转型升级成效明显市（州）推荐表</w:t>
      </w:r>
    </w:p>
    <w:p>
      <w:pPr>
        <w:spacing w:line="360" w:lineRule="auto"/>
        <w:jc w:val="left"/>
        <w:rPr>
          <w:rFonts w:hint="default" w:ascii="Times New Roman" w:hAnsi="Times New Roman" w:eastAsia="黑体" w:cs="Times New Roman"/>
          <w:sz w:val="32"/>
          <w:szCs w:val="32"/>
          <w:highlight w:val="none"/>
        </w:rPr>
      </w:pPr>
      <w:r>
        <w:rPr>
          <w:rFonts w:hint="default" w:ascii="Times New Roman" w:hAnsi="Times New Roman" w:eastAsia="仿宋_GB2312" w:cs="Times New Roman"/>
          <w:sz w:val="30"/>
          <w:szCs w:val="30"/>
          <w:highlight w:val="none"/>
        </w:rPr>
        <w:br w:type="page"/>
      </w:r>
      <w:r>
        <w:rPr>
          <w:rFonts w:hint="default" w:ascii="Times New Roman" w:hAnsi="Times New Roman" w:eastAsia="仿宋_GB2312" w:cs="Times New Roman"/>
          <w:sz w:val="32"/>
          <w:szCs w:val="32"/>
          <w:highlight w:val="none"/>
          <w:lang w:eastAsia="zh-CN"/>
        </w:rPr>
        <w:t>附件</w:t>
      </w:r>
      <w:r>
        <w:rPr>
          <w:rFonts w:hint="default" w:ascii="Times New Roman" w:hAnsi="Times New Roman" w:eastAsia="仿宋_GB2312" w:cs="Times New Roman"/>
          <w:sz w:val="32"/>
          <w:szCs w:val="32"/>
          <w:highlight w:val="none"/>
        </w:rPr>
        <w:t xml:space="preserve">1 </w:t>
      </w:r>
    </w:p>
    <w:p>
      <w:pPr>
        <w:widowControl/>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工业稳增长和转型升级成效明显市（州）申报书（模板）</w:t>
      </w:r>
    </w:p>
    <w:p>
      <w:pPr>
        <w:widowControl/>
        <w:jc w:val="center"/>
        <w:rPr>
          <w:rFonts w:hint="default" w:ascii="Times New Roman" w:hAnsi="Times New Roman" w:eastAsia="仿宋_GB2312" w:cs="Times New Roman"/>
          <w:bCs/>
          <w:sz w:val="32"/>
          <w:szCs w:val="32"/>
          <w:highlight w:val="none"/>
        </w:rPr>
      </w:pPr>
    </w:p>
    <w:p>
      <w:pPr>
        <w:numPr>
          <w:ilvl w:val="0"/>
          <w:numId w:val="6"/>
        </w:numPr>
        <w:spacing w:line="580" w:lineRule="exact"/>
        <w:ind w:firstLine="643" w:firstLineChars="200"/>
        <w:outlineLvl w:val="0"/>
        <w:rPr>
          <w:rFonts w:hint="default" w:ascii="Times New Roman" w:hAnsi="Times New Roman" w:eastAsia="黑体" w:cs="Times New Roman"/>
          <w:b/>
          <w:bCs/>
          <w:sz w:val="32"/>
          <w:highlight w:val="none"/>
        </w:rPr>
      </w:pPr>
      <w:r>
        <w:rPr>
          <w:rFonts w:hint="default" w:ascii="Times New Roman" w:hAnsi="Times New Roman" w:eastAsia="黑体" w:cs="Times New Roman"/>
          <w:b/>
          <w:bCs/>
          <w:sz w:val="32"/>
          <w:highlight w:val="none"/>
        </w:rPr>
        <w:t>基本情况</w:t>
      </w:r>
    </w:p>
    <w:p>
      <w:p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申报市（州）工业发展基本情况，包括总体规模、主导产业、发展水平、发展速度，在全省（自治区、直辖市）乃至全国的地位，产业结构特点、区域内产业发展特色等。</w:t>
      </w:r>
    </w:p>
    <w:p>
      <w:pPr>
        <w:numPr>
          <w:ilvl w:val="0"/>
          <w:numId w:val="6"/>
        </w:numPr>
        <w:spacing w:line="580" w:lineRule="exact"/>
        <w:ind w:firstLine="643" w:firstLineChars="200"/>
        <w:outlineLvl w:val="0"/>
        <w:rPr>
          <w:rFonts w:hint="default" w:ascii="Times New Roman" w:hAnsi="Times New Roman" w:eastAsia="黑体" w:cs="Times New Roman"/>
          <w:b/>
          <w:bCs/>
          <w:sz w:val="32"/>
          <w:highlight w:val="none"/>
        </w:rPr>
      </w:pPr>
      <w:r>
        <w:rPr>
          <w:rFonts w:hint="default" w:ascii="Times New Roman" w:hAnsi="Times New Roman" w:eastAsia="黑体" w:cs="Times New Roman"/>
          <w:b/>
          <w:bCs/>
          <w:sz w:val="32"/>
          <w:highlight w:val="none"/>
        </w:rPr>
        <w:t>已开展的工作和取得的成效</w:t>
      </w:r>
    </w:p>
    <w:p>
      <w:pPr>
        <w:numPr>
          <w:ilvl w:val="0"/>
          <w:numId w:val="7"/>
        </w:num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落实《中国制造2025》</w:t>
      </w:r>
    </w:p>
    <w:p>
      <w:p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市（州）推动《中国制造2025》采取的相关措施和《中国制造2025》重点领域发展方面取得的成就，包括文件出台情况、工作机制及相关措施、五大工程推进情况及重点领域发展成就等；分类列出承担的国家五大工程项目名称、承担单位和安排时间。</w:t>
      </w:r>
    </w:p>
    <w:p>
      <w:pPr>
        <w:numPr>
          <w:ilvl w:val="0"/>
          <w:numId w:val="7"/>
        </w:num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工业稳增长</w:t>
      </w:r>
    </w:p>
    <w:p>
      <w:p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申报市（州）工业稳增长的基本情况、取得的成就、存在的问题和相关举措，包括近三年的工业增加值、工业投资等增速情况以及稳增长方面的具体举措。</w:t>
      </w:r>
    </w:p>
    <w:p>
      <w:pPr>
        <w:numPr>
          <w:ilvl w:val="0"/>
          <w:numId w:val="7"/>
        </w:num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技术改造</w:t>
      </w:r>
    </w:p>
    <w:p>
      <w:p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申报市（州）技术改造投资的基本情况、做法和取得的成效。</w:t>
      </w:r>
    </w:p>
    <w:p>
      <w:pPr>
        <w:numPr>
          <w:ilvl w:val="0"/>
          <w:numId w:val="7"/>
        </w:num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转型升级</w:t>
      </w:r>
    </w:p>
    <w:p>
      <w:p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申报市（州）工业结构调整及转型升级的基础、条件和相关进展，发展服务型制造和生产性服务业的情况，依法依规淘汰落后产能工作开展情况，新型工业化产业示范基地建设情况和发展水平提升。</w:t>
      </w:r>
    </w:p>
    <w:p>
      <w:pPr>
        <w:numPr>
          <w:ilvl w:val="0"/>
          <w:numId w:val="7"/>
        </w:numPr>
        <w:spacing w:line="58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质量品牌提升及</w:t>
      </w:r>
      <w:r>
        <w:rPr>
          <w:rFonts w:hint="default" w:ascii="Times New Roman" w:hAnsi="Times New Roman" w:eastAsia="仿宋_GB2312" w:cs="Times New Roman"/>
          <w:sz w:val="32"/>
          <w:szCs w:val="32"/>
          <w:highlight w:val="none"/>
        </w:rPr>
        <w:t>两化融合</w:t>
      </w:r>
    </w:p>
    <w:p>
      <w:pPr>
        <w:spacing w:line="580" w:lineRule="exact"/>
        <w:ind w:firstLine="640" w:firstLineChars="200"/>
        <w:rPr>
          <w:rFonts w:hint="default" w:ascii="Times New Roman" w:hAnsi="Times New Roman" w:eastAsia="仿宋_GB2312" w:cs="Times New Roman"/>
          <w:sz w:val="32"/>
          <w:szCs w:val="32"/>
          <w:highlight w:val="none"/>
        </w:rPr>
      </w:pPr>
      <w:r>
        <w:rPr>
          <w:rFonts w:hint="eastAsia" w:ascii="仿宋_GB2312" w:hAnsi="仿宋_GB2312" w:eastAsia="仿宋_GB2312" w:cs="仿宋_GB2312"/>
          <w:kern w:val="2"/>
          <w:sz w:val="32"/>
          <w:szCs w:val="32"/>
          <w:highlight w:val="none"/>
          <w:lang w:val="en-US" w:eastAsia="zh-CN"/>
        </w:rPr>
        <w:t>申报市（州）开展质量品牌行动、实施“增品种、提品质、创品牌”活动的内容、做法及取得成效。</w:t>
      </w:r>
      <w:r>
        <w:rPr>
          <w:rFonts w:hint="default" w:ascii="Times New Roman" w:hAnsi="Times New Roman" w:eastAsia="仿宋_GB2312" w:cs="Times New Roman"/>
          <w:sz w:val="32"/>
          <w:szCs w:val="32"/>
          <w:highlight w:val="none"/>
          <w:lang w:eastAsia="zh-CN"/>
        </w:rPr>
        <w:t>信息化发展情况，在</w:t>
      </w:r>
      <w:r>
        <w:rPr>
          <w:rFonts w:hint="eastAsia" w:ascii="Times New Roman" w:hAnsi="Times New Roman" w:eastAsia="仿宋_GB2312" w:cs="Times New Roman"/>
          <w:sz w:val="32"/>
          <w:szCs w:val="32"/>
          <w:highlight w:val="none"/>
          <w:lang w:eastAsia="zh-CN"/>
        </w:rPr>
        <w:t>深化</w:t>
      </w:r>
      <w:r>
        <w:rPr>
          <w:rFonts w:hint="default" w:ascii="Times New Roman" w:hAnsi="Times New Roman" w:eastAsia="仿宋_GB2312" w:cs="Times New Roman"/>
          <w:sz w:val="32"/>
          <w:szCs w:val="32"/>
          <w:highlight w:val="none"/>
        </w:rPr>
        <w:t>制造业</w:t>
      </w:r>
      <w:r>
        <w:rPr>
          <w:rFonts w:hint="eastAsia" w:ascii="Times New Roman" w:hAnsi="Times New Roman" w:eastAsia="仿宋_GB2312" w:cs="Times New Roman"/>
          <w:sz w:val="32"/>
          <w:szCs w:val="32"/>
          <w:highlight w:val="none"/>
          <w:lang w:eastAsia="zh-CN"/>
        </w:rPr>
        <w:t>与</w:t>
      </w:r>
      <w:r>
        <w:rPr>
          <w:rFonts w:hint="default" w:ascii="Times New Roman" w:hAnsi="Times New Roman" w:eastAsia="仿宋_GB2312" w:cs="Times New Roman"/>
          <w:sz w:val="32"/>
          <w:szCs w:val="32"/>
          <w:highlight w:val="none"/>
        </w:rPr>
        <w:t>互联网融合以及发展工业互联网方面的进展情况和典型做法。</w:t>
      </w:r>
    </w:p>
    <w:p>
      <w:pPr>
        <w:numPr>
          <w:ilvl w:val="0"/>
          <w:numId w:val="6"/>
        </w:numPr>
        <w:spacing w:line="580" w:lineRule="exact"/>
        <w:ind w:firstLine="643" w:firstLineChars="200"/>
        <w:outlineLvl w:val="0"/>
        <w:rPr>
          <w:rFonts w:hint="default" w:ascii="Times New Roman" w:hAnsi="Times New Roman" w:eastAsia="黑体" w:cs="Times New Roman"/>
          <w:b/>
          <w:bCs/>
          <w:sz w:val="32"/>
          <w:highlight w:val="none"/>
        </w:rPr>
      </w:pPr>
      <w:r>
        <w:rPr>
          <w:rFonts w:hint="default" w:ascii="Times New Roman" w:hAnsi="Times New Roman" w:eastAsia="黑体" w:cs="Times New Roman"/>
          <w:b/>
          <w:bCs/>
          <w:sz w:val="32"/>
          <w:highlight w:val="none"/>
        </w:rPr>
        <w:t>下一步工作思路和目标</w:t>
      </w:r>
    </w:p>
    <w:p>
      <w:pPr>
        <w:numPr>
          <w:ilvl w:val="0"/>
          <w:numId w:val="8"/>
        </w:num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总体思路</w:t>
      </w:r>
    </w:p>
    <w:p>
      <w:p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申报市（州）落实《中国制造2025》、促进工业稳增长和转型升级的工作思路，统筹解决重点行业和重点企业转型发展中的突出问题和预期成效。</w:t>
      </w:r>
    </w:p>
    <w:p>
      <w:pPr>
        <w:numPr>
          <w:ilvl w:val="0"/>
          <w:numId w:val="8"/>
        </w:num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总体目标</w:t>
      </w:r>
    </w:p>
    <w:p>
      <w:pPr>
        <w:spacing w:line="58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申报市（州）制定3年的示范期目标（包括工业总体指标、重点产业指标和企业重点指标），指标要可测算、可考核。行业重点评价指标突出行业和区域特点，能够切中关键问题，可以取得明显效果。</w:t>
      </w:r>
    </w:p>
    <w:p>
      <w:pPr>
        <w:numPr>
          <w:ilvl w:val="0"/>
          <w:numId w:val="6"/>
        </w:numPr>
        <w:spacing w:line="580" w:lineRule="exact"/>
        <w:ind w:firstLine="643" w:firstLineChars="200"/>
        <w:outlineLvl w:val="0"/>
        <w:rPr>
          <w:rFonts w:hint="default" w:ascii="Times New Roman" w:hAnsi="Times New Roman" w:eastAsia="黑体" w:cs="Times New Roman"/>
          <w:b/>
          <w:bCs/>
          <w:sz w:val="32"/>
          <w:highlight w:val="none"/>
        </w:rPr>
      </w:pPr>
      <w:r>
        <w:rPr>
          <w:rFonts w:hint="default" w:ascii="Times New Roman" w:hAnsi="Times New Roman" w:eastAsia="黑体" w:cs="Times New Roman"/>
          <w:b/>
          <w:bCs/>
          <w:sz w:val="32"/>
          <w:highlight w:val="none"/>
        </w:rPr>
        <w:t>保障措施</w:t>
      </w:r>
    </w:p>
    <w:p>
      <w:pPr>
        <w:spacing w:line="58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为推动转型升级相关工作的制度化、动态化，申报市（州）要积极创新政策机制，创造有利于工业发展的政策环境，探索形成推动本市（州）工业转型升级的管理模式，提出加快产业结构调整、构建技术创新体系、提高公共服务能力、加强基础能力建设等方面的主要任务和配套措施。</w:t>
      </w:r>
    </w:p>
    <w:p>
      <w:pPr>
        <w:numPr>
          <w:ilvl w:val="0"/>
          <w:numId w:val="6"/>
        </w:numPr>
        <w:spacing w:line="580" w:lineRule="exact"/>
        <w:ind w:firstLine="643" w:firstLineChars="200"/>
        <w:outlineLvl w:val="0"/>
        <w:rPr>
          <w:rFonts w:hint="default" w:ascii="Times New Roman" w:hAnsi="Times New Roman" w:eastAsia="黑体" w:cs="Times New Roman"/>
          <w:b/>
          <w:bCs/>
          <w:sz w:val="32"/>
          <w:highlight w:val="none"/>
        </w:rPr>
      </w:pPr>
      <w:r>
        <w:rPr>
          <w:rFonts w:hint="default" w:ascii="Times New Roman" w:hAnsi="Times New Roman" w:eastAsia="黑体" w:cs="Times New Roman"/>
          <w:b/>
          <w:bCs/>
          <w:sz w:val="32"/>
          <w:highlight w:val="none"/>
        </w:rPr>
        <w:t>其他说明事项</w:t>
      </w:r>
    </w:p>
    <w:p>
      <w:pPr>
        <w:numPr>
          <w:ilvl w:val="0"/>
          <w:numId w:val="9"/>
        </w:num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申报材料</w:t>
      </w:r>
      <w:r>
        <w:rPr>
          <w:rFonts w:hint="eastAsia" w:ascii="仿宋_GB2312" w:hAnsi="仿宋_GB2312" w:eastAsia="仿宋_GB2312" w:cs="仿宋_GB2312"/>
          <w:sz w:val="32"/>
          <w:szCs w:val="32"/>
          <w:highlight w:val="none"/>
        </w:rPr>
        <w:t>要明确</w:t>
      </w:r>
      <w:r>
        <w:rPr>
          <w:rFonts w:hint="eastAsia" w:ascii="仿宋_GB2312" w:hAnsi="仿宋_GB2312" w:eastAsia="仿宋_GB2312" w:cs="仿宋_GB2312"/>
          <w:sz w:val="32"/>
          <w:szCs w:val="32"/>
          <w:highlight w:val="none"/>
          <w:lang w:eastAsia="zh-CN"/>
        </w:rPr>
        <w:t>激励期内</w:t>
      </w:r>
      <w:r>
        <w:rPr>
          <w:rFonts w:hint="eastAsia" w:ascii="仿宋_GB2312" w:hAnsi="仿宋_GB2312" w:eastAsia="仿宋_GB2312" w:cs="仿宋_GB2312"/>
          <w:sz w:val="32"/>
          <w:szCs w:val="32"/>
          <w:highlight w:val="none"/>
        </w:rPr>
        <w:t>绩效评价目标，以便适时形成相应的评价结果。</w:t>
      </w:r>
    </w:p>
    <w:p>
      <w:pPr>
        <w:numPr>
          <w:ilvl w:val="0"/>
          <w:numId w:val="9"/>
        </w:num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申报市（州）近三年，本行政区域</w:t>
      </w:r>
      <w:r>
        <w:rPr>
          <w:rFonts w:hint="eastAsia" w:ascii="仿宋_GB2312" w:hAnsi="仿宋_GB2312" w:eastAsia="仿宋_GB2312" w:cs="仿宋_GB2312"/>
          <w:sz w:val="32"/>
          <w:szCs w:val="32"/>
          <w:highlight w:val="none"/>
          <w:lang w:eastAsia="zh-CN"/>
        </w:rPr>
        <w:t>内是否</w:t>
      </w:r>
      <w:r>
        <w:rPr>
          <w:rFonts w:hint="eastAsia" w:ascii="仿宋_GB2312" w:hAnsi="仿宋_GB2312" w:eastAsia="仿宋_GB2312" w:cs="仿宋_GB2312"/>
          <w:sz w:val="32"/>
          <w:szCs w:val="32"/>
          <w:highlight w:val="none"/>
        </w:rPr>
        <w:t>发生</w:t>
      </w:r>
      <w:r>
        <w:rPr>
          <w:rFonts w:hint="eastAsia" w:ascii="仿宋_GB2312" w:hAnsi="仿宋_GB2312" w:eastAsia="仿宋_GB2312" w:cs="仿宋_GB2312"/>
          <w:sz w:val="32"/>
          <w:szCs w:val="32"/>
          <w:highlight w:val="none"/>
          <w:lang w:eastAsia="zh-CN"/>
        </w:rPr>
        <w:t>过</w:t>
      </w:r>
      <w:r>
        <w:rPr>
          <w:rFonts w:hint="eastAsia" w:ascii="仿宋_GB2312" w:hAnsi="仿宋_GB2312" w:eastAsia="仿宋_GB2312" w:cs="仿宋_GB2312"/>
          <w:sz w:val="32"/>
          <w:szCs w:val="32"/>
          <w:highlight w:val="none"/>
        </w:rPr>
        <w:t>重大安全生产事故、重大环境事故</w:t>
      </w:r>
      <w:r>
        <w:rPr>
          <w:rFonts w:hint="eastAsia" w:ascii="仿宋_GB2312" w:hAnsi="仿宋_GB2312" w:eastAsia="仿宋_GB2312" w:cs="仿宋_GB2312"/>
          <w:sz w:val="32"/>
          <w:szCs w:val="32"/>
          <w:highlight w:val="none"/>
          <w:lang w:eastAsia="zh-CN"/>
        </w:rPr>
        <w:t>或</w:t>
      </w:r>
      <w:r>
        <w:rPr>
          <w:rFonts w:hint="eastAsia" w:ascii="仿宋_GB2312" w:hAnsi="仿宋_GB2312" w:eastAsia="仿宋_GB2312" w:cs="仿宋_GB2312"/>
          <w:sz w:val="32"/>
          <w:szCs w:val="32"/>
          <w:highlight w:val="none"/>
        </w:rPr>
        <w:t>造成恶劣影响的社会稳定事件。</w:t>
      </w:r>
    </w:p>
    <w:p>
      <w:pPr>
        <w:spacing w:line="360" w:lineRule="auto"/>
        <w:rPr>
          <w:rFonts w:hint="default" w:ascii="Times New Roman" w:hAnsi="Times New Roman" w:eastAsia="仿宋_GB2312" w:cs="Times New Roman"/>
          <w:b/>
          <w:sz w:val="28"/>
          <w:szCs w:val="20"/>
          <w:highlight w:val="none"/>
        </w:rPr>
      </w:pPr>
      <w:r>
        <w:rPr>
          <w:rFonts w:hint="default" w:ascii="Times New Roman" w:hAnsi="Times New Roman" w:eastAsia="黑体" w:cs="Times New Roman"/>
          <w:sz w:val="32"/>
          <w:szCs w:val="32"/>
          <w:highlight w:val="none"/>
        </w:rPr>
        <w:br w:type="page"/>
      </w:r>
      <w:r>
        <w:rPr>
          <w:rFonts w:hint="default" w:ascii="Times New Roman" w:hAnsi="Times New Roman" w:eastAsia="仿宋_GB2312" w:cs="Times New Roman"/>
          <w:sz w:val="32"/>
          <w:szCs w:val="32"/>
          <w:highlight w:val="none"/>
          <w:lang w:eastAsia="zh-CN"/>
        </w:rPr>
        <w:t>附件</w:t>
      </w:r>
      <w:r>
        <w:rPr>
          <w:rFonts w:hint="default" w:ascii="Times New Roman" w:hAnsi="Times New Roman" w:eastAsia="仿宋_GB2312" w:cs="Times New Roman"/>
          <w:sz w:val="32"/>
          <w:szCs w:val="32"/>
          <w:highlight w:val="none"/>
        </w:rPr>
        <w:t>2</w:t>
      </w:r>
    </w:p>
    <w:p>
      <w:pPr>
        <w:tabs>
          <w:tab w:val="left" w:pos="7200"/>
        </w:tabs>
        <w:jc w:val="center"/>
        <w:rPr>
          <w:rFonts w:hint="default" w:ascii="Times New Roman" w:hAnsi="Times New Roman" w:eastAsia="黑体" w:cs="Times New Roman"/>
          <w:sz w:val="48"/>
          <w:szCs w:val="48"/>
          <w:highlight w:val="none"/>
        </w:rPr>
      </w:pPr>
    </w:p>
    <w:p>
      <w:pPr>
        <w:tabs>
          <w:tab w:val="left" w:pos="7200"/>
        </w:tabs>
        <w:jc w:val="center"/>
        <w:rPr>
          <w:rFonts w:hint="default" w:ascii="Times New Roman" w:hAnsi="Times New Roman" w:eastAsia="黑体" w:cs="Times New Roman"/>
          <w:sz w:val="48"/>
          <w:szCs w:val="48"/>
          <w:highlight w:val="none"/>
        </w:rPr>
      </w:pPr>
      <w:r>
        <w:rPr>
          <w:rFonts w:hint="default" w:ascii="Times New Roman" w:hAnsi="Times New Roman" w:eastAsia="黑体" w:cs="Times New Roman"/>
          <w:sz w:val="48"/>
          <w:szCs w:val="48"/>
          <w:highlight w:val="none"/>
        </w:rPr>
        <w:t>工业稳增长和转型升级成效明显市（州）</w:t>
      </w:r>
    </w:p>
    <w:p>
      <w:pPr>
        <w:tabs>
          <w:tab w:val="left" w:pos="7200"/>
        </w:tabs>
        <w:jc w:val="center"/>
        <w:rPr>
          <w:rFonts w:hint="default" w:ascii="Times New Roman" w:hAnsi="Times New Roman" w:eastAsia="黑体" w:cs="Times New Roman"/>
          <w:sz w:val="48"/>
          <w:szCs w:val="48"/>
          <w:highlight w:val="none"/>
        </w:rPr>
      </w:pPr>
      <w:r>
        <w:rPr>
          <w:rFonts w:hint="default" w:ascii="Times New Roman" w:hAnsi="Times New Roman" w:eastAsia="黑体" w:cs="Times New Roman"/>
          <w:sz w:val="48"/>
          <w:szCs w:val="48"/>
          <w:highlight w:val="none"/>
        </w:rPr>
        <w:t>推荐表</w:t>
      </w:r>
    </w:p>
    <w:p>
      <w:pPr>
        <w:jc w:val="center"/>
        <w:rPr>
          <w:rFonts w:hint="default" w:ascii="Times New Roman" w:hAnsi="Times New Roman" w:eastAsia="黑体" w:cs="Times New Roman"/>
          <w:sz w:val="52"/>
          <w:highlight w:val="none"/>
        </w:rPr>
      </w:pPr>
    </w:p>
    <w:p>
      <w:pPr>
        <w:jc w:val="center"/>
        <w:rPr>
          <w:rFonts w:hint="default" w:ascii="Times New Roman" w:hAnsi="Times New Roman" w:eastAsia="黑体" w:cs="Times New Roman"/>
          <w:sz w:val="48"/>
          <w:szCs w:val="48"/>
          <w:highlight w:val="none"/>
        </w:rPr>
      </w:pPr>
    </w:p>
    <w:p>
      <w:pPr>
        <w:jc w:val="center"/>
        <w:rPr>
          <w:rFonts w:hint="default" w:ascii="Times New Roman" w:hAnsi="Times New Roman" w:eastAsia="黑体" w:cs="Times New Roman"/>
          <w:sz w:val="52"/>
          <w:highlight w:val="none"/>
        </w:rPr>
      </w:pPr>
    </w:p>
    <w:p>
      <w:pPr>
        <w:ind w:firstLine="470" w:firstLineChars="132"/>
        <w:rPr>
          <w:rFonts w:hint="default" w:ascii="Times New Roman" w:hAnsi="Times New Roman" w:eastAsia="黑体" w:cs="Times New Roman"/>
          <w:spacing w:val="38"/>
          <w:sz w:val="28"/>
          <w:highlight w:val="none"/>
        </w:rPr>
      </w:pPr>
    </w:p>
    <w:p>
      <w:pPr>
        <w:ind w:firstLine="470" w:firstLineChars="132"/>
        <w:rPr>
          <w:rFonts w:hint="default" w:ascii="Times New Roman" w:hAnsi="Times New Roman" w:eastAsia="黑体" w:cs="Times New Roman"/>
          <w:spacing w:val="38"/>
          <w:sz w:val="28"/>
          <w:highlight w:val="none"/>
        </w:rPr>
      </w:pPr>
    </w:p>
    <w:p>
      <w:pPr>
        <w:ind w:firstLine="470" w:firstLineChars="132"/>
        <w:rPr>
          <w:rFonts w:hint="default" w:ascii="Times New Roman" w:hAnsi="Times New Roman" w:eastAsia="黑体" w:cs="Times New Roman"/>
          <w:spacing w:val="38"/>
          <w:sz w:val="28"/>
          <w:highlight w:val="none"/>
        </w:rPr>
      </w:pPr>
    </w:p>
    <w:p>
      <w:pPr>
        <w:spacing w:line="780" w:lineRule="exact"/>
        <w:ind w:left="945" w:leftChars="450"/>
        <w:jc w:val="left"/>
        <w:rPr>
          <w:rFonts w:hint="default" w:ascii="Times New Roman" w:hAnsi="Times New Roman" w:eastAsia="黑体" w:cs="Times New Roman"/>
          <w:spacing w:val="20"/>
          <w:sz w:val="28"/>
          <w:highlight w:val="none"/>
        </w:rPr>
      </w:pPr>
      <w:r>
        <w:rPr>
          <w:rFonts w:hint="default" w:ascii="Times New Roman" w:hAnsi="Times New Roman" w:eastAsia="黑体" w:cs="Times New Roman"/>
          <w:sz w:val="28"/>
          <w:highlight w:val="none"/>
        </w:rPr>
        <w:t>市（州）名称</w:t>
      </w:r>
      <w:r>
        <w:rPr>
          <w:rFonts w:hint="default" w:ascii="Times New Roman" w:hAnsi="Times New Roman" w:eastAsia="黑体" w:cs="Times New Roman"/>
          <w:spacing w:val="38"/>
          <w:sz w:val="28"/>
          <w:highlight w:val="none"/>
        </w:rPr>
        <w:t>：</w:t>
      </w:r>
      <w:r>
        <w:rPr>
          <w:rFonts w:hint="default" w:ascii="Times New Roman" w:hAnsi="Times New Roman" w:eastAsia="黑体" w:cs="Times New Roman"/>
          <w:spacing w:val="20"/>
          <w:sz w:val="28"/>
          <w:highlight w:val="none"/>
          <w:u w:val="single"/>
        </w:rPr>
        <w:t xml:space="preserve">                          </w:t>
      </w:r>
    </w:p>
    <w:p>
      <w:pPr>
        <w:spacing w:line="780" w:lineRule="exact"/>
        <w:ind w:left="945" w:leftChars="450"/>
        <w:jc w:val="left"/>
        <w:rPr>
          <w:rFonts w:hint="default" w:ascii="Times New Roman" w:hAnsi="Times New Roman" w:eastAsia="黑体" w:cs="Times New Roman"/>
          <w:spacing w:val="20"/>
          <w:sz w:val="28"/>
          <w:highlight w:val="none"/>
          <w:u w:val="single"/>
        </w:rPr>
      </w:pPr>
      <w:r>
        <w:rPr>
          <w:rFonts w:hint="default" w:ascii="Times New Roman" w:hAnsi="Times New Roman" w:eastAsia="黑体" w:cs="Times New Roman"/>
          <w:spacing w:val="20"/>
          <w:sz w:val="28"/>
          <w:highlight w:val="none"/>
        </w:rPr>
        <w:t>推荐单位：</w:t>
      </w:r>
      <w:r>
        <w:rPr>
          <w:rFonts w:hint="default" w:ascii="Times New Roman" w:hAnsi="Times New Roman" w:eastAsia="黑体" w:cs="Times New Roman"/>
          <w:spacing w:val="20"/>
          <w:sz w:val="28"/>
          <w:highlight w:val="none"/>
          <w:u w:val="single"/>
        </w:rPr>
        <w:t>（</w:t>
      </w:r>
      <w:r>
        <w:rPr>
          <w:rFonts w:hint="default" w:ascii="Times New Roman" w:hAnsi="Times New Roman" w:eastAsia="仿宋_GB2312" w:cs="Times New Roman"/>
          <w:spacing w:val="20"/>
          <w:sz w:val="28"/>
          <w:highlight w:val="none"/>
          <w:u w:val="single"/>
        </w:rPr>
        <w:t>填写省级工业和信息化主管部门</w:t>
      </w:r>
      <w:r>
        <w:rPr>
          <w:rFonts w:hint="default" w:ascii="Times New Roman" w:hAnsi="Times New Roman" w:eastAsia="黑体" w:cs="Times New Roman"/>
          <w:spacing w:val="20"/>
          <w:sz w:val="28"/>
          <w:highlight w:val="none"/>
          <w:u w:val="single"/>
        </w:rPr>
        <w:t>）（盖章）</w:t>
      </w:r>
    </w:p>
    <w:p>
      <w:pPr>
        <w:spacing w:line="780" w:lineRule="exact"/>
        <w:ind w:left="945" w:leftChars="450"/>
        <w:jc w:val="left"/>
        <w:rPr>
          <w:rFonts w:hint="default" w:ascii="Times New Roman" w:hAnsi="Times New Roman" w:eastAsia="黑体" w:cs="Times New Roman"/>
          <w:spacing w:val="20"/>
          <w:sz w:val="28"/>
          <w:highlight w:val="none"/>
          <w:u w:val="single"/>
        </w:rPr>
      </w:pPr>
      <w:r>
        <w:rPr>
          <w:rFonts w:hint="default" w:ascii="Times New Roman" w:hAnsi="Times New Roman" w:eastAsia="黑体" w:cs="Times New Roman"/>
          <w:spacing w:val="20"/>
          <w:sz w:val="28"/>
          <w:highlight w:val="none"/>
        </w:rPr>
        <w:t>联系人：</w:t>
      </w:r>
      <w:r>
        <w:rPr>
          <w:rFonts w:hint="default" w:ascii="Times New Roman" w:hAnsi="Times New Roman" w:eastAsia="黑体" w:cs="Times New Roman"/>
          <w:spacing w:val="20"/>
          <w:sz w:val="28"/>
          <w:highlight w:val="none"/>
          <w:u w:val="single"/>
        </w:rPr>
        <w:t xml:space="preserve">                                  </w:t>
      </w:r>
    </w:p>
    <w:p>
      <w:pPr>
        <w:spacing w:line="780" w:lineRule="exact"/>
        <w:ind w:left="945" w:leftChars="450"/>
        <w:jc w:val="left"/>
        <w:rPr>
          <w:rFonts w:hint="default" w:ascii="Times New Roman" w:hAnsi="Times New Roman" w:eastAsia="黑体" w:cs="Times New Roman"/>
          <w:spacing w:val="20"/>
          <w:sz w:val="28"/>
          <w:highlight w:val="none"/>
        </w:rPr>
      </w:pPr>
      <w:r>
        <w:rPr>
          <w:rFonts w:hint="default" w:ascii="Times New Roman" w:hAnsi="Times New Roman" w:eastAsia="黑体" w:cs="Times New Roman"/>
          <w:spacing w:val="20"/>
          <w:sz w:val="28"/>
          <w:highlight w:val="none"/>
        </w:rPr>
        <w:t>联系电话：</w:t>
      </w:r>
      <w:r>
        <w:rPr>
          <w:rFonts w:hint="default" w:ascii="Times New Roman" w:hAnsi="Times New Roman" w:eastAsia="黑体" w:cs="Times New Roman"/>
          <w:spacing w:val="20"/>
          <w:sz w:val="28"/>
          <w:highlight w:val="none"/>
          <w:u w:val="single"/>
        </w:rPr>
        <w:t xml:space="preserve">                                </w:t>
      </w:r>
    </w:p>
    <w:p>
      <w:pPr>
        <w:tabs>
          <w:tab w:val="left" w:pos="6840"/>
          <w:tab w:val="left" w:pos="7200"/>
        </w:tabs>
        <w:spacing w:line="780" w:lineRule="exact"/>
        <w:ind w:left="945" w:leftChars="450"/>
        <w:jc w:val="left"/>
        <w:rPr>
          <w:rFonts w:hint="default" w:ascii="Times New Roman" w:hAnsi="Times New Roman" w:eastAsia="黑体" w:cs="Times New Roman"/>
          <w:spacing w:val="20"/>
          <w:sz w:val="28"/>
          <w:highlight w:val="none"/>
        </w:rPr>
      </w:pPr>
      <w:r>
        <w:rPr>
          <w:rFonts w:hint="default" w:ascii="Times New Roman" w:hAnsi="Times New Roman" w:eastAsia="黑体" w:cs="Times New Roman"/>
          <w:spacing w:val="60"/>
          <w:sz w:val="28"/>
          <w:highlight w:val="none"/>
        </w:rPr>
        <w:t>填报日期：</w:t>
      </w:r>
      <w:r>
        <w:rPr>
          <w:rFonts w:hint="default" w:ascii="Times New Roman" w:hAnsi="Times New Roman" w:eastAsia="黑体" w:cs="Times New Roman"/>
          <w:spacing w:val="20"/>
          <w:sz w:val="28"/>
          <w:highlight w:val="none"/>
          <w:u w:val="single"/>
        </w:rPr>
        <w:t xml:space="preserve">          </w:t>
      </w:r>
      <w:r>
        <w:rPr>
          <w:rFonts w:hint="default" w:ascii="Times New Roman" w:hAnsi="Times New Roman" w:eastAsia="黑体" w:cs="Times New Roman"/>
          <w:spacing w:val="20"/>
          <w:sz w:val="28"/>
          <w:highlight w:val="none"/>
        </w:rPr>
        <w:t xml:space="preserve"> 年 </w:t>
      </w:r>
      <w:r>
        <w:rPr>
          <w:rFonts w:hint="default" w:ascii="Times New Roman" w:hAnsi="Times New Roman" w:eastAsia="黑体" w:cs="Times New Roman"/>
          <w:spacing w:val="20"/>
          <w:sz w:val="28"/>
          <w:highlight w:val="none"/>
          <w:u w:val="single"/>
        </w:rPr>
        <w:t xml:space="preserve">          </w:t>
      </w:r>
      <w:r>
        <w:rPr>
          <w:rFonts w:hint="default" w:ascii="Times New Roman" w:hAnsi="Times New Roman" w:eastAsia="黑体" w:cs="Times New Roman"/>
          <w:spacing w:val="20"/>
          <w:sz w:val="28"/>
          <w:highlight w:val="none"/>
        </w:rPr>
        <w:t xml:space="preserve"> 月</w:t>
      </w:r>
    </w:p>
    <w:p>
      <w:pPr>
        <w:tabs>
          <w:tab w:val="left" w:pos="6840"/>
          <w:tab w:val="left" w:pos="7200"/>
        </w:tabs>
        <w:spacing w:line="780" w:lineRule="exact"/>
        <w:ind w:left="945" w:leftChars="450"/>
        <w:jc w:val="left"/>
        <w:rPr>
          <w:rFonts w:hint="default" w:ascii="Times New Roman" w:hAnsi="Times New Roman" w:eastAsia="黑体" w:cs="Times New Roman"/>
          <w:spacing w:val="20"/>
          <w:sz w:val="28"/>
          <w:highlight w:val="none"/>
        </w:rPr>
      </w:pPr>
    </w:p>
    <w:tbl>
      <w:tblPr>
        <w:tblStyle w:val="9"/>
        <w:tblW w:w="7521" w:type="dxa"/>
        <w:jc w:val="center"/>
        <w:tblInd w:w="2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0"/>
        <w:gridCol w:w="3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3950" w:type="dxa"/>
            <w:vMerge w:val="restart"/>
            <w:tcBorders>
              <w:tl2br w:val="nil"/>
              <w:tr2bl w:val="nil"/>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Times New Roman"/>
                <w:sz w:val="28"/>
                <w:szCs w:val="28"/>
                <w:highlight w:val="none"/>
                <w:lang w:eastAsia="zh-CN"/>
              </w:rPr>
            </w:pPr>
            <w:r>
              <w:rPr>
                <w:rFonts w:hint="eastAsia" w:ascii="Times New Roman" w:hAnsi="Times New Roman" w:eastAsia="仿宋_GB2312" w:cs="Times New Roman"/>
                <w:sz w:val="28"/>
                <w:szCs w:val="28"/>
                <w:highlight w:val="none"/>
                <w:lang w:eastAsia="zh-CN"/>
              </w:rPr>
              <w:t>所在省（区、市）政府</w:t>
            </w:r>
          </w:p>
          <w:p>
            <w:pPr>
              <w:widowControl w:val="0"/>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Times New Roman"/>
                <w:sz w:val="28"/>
                <w:szCs w:val="28"/>
                <w:highlight w:val="none"/>
                <w:lang w:eastAsia="zh-CN"/>
              </w:rPr>
            </w:pPr>
            <w:r>
              <w:rPr>
                <w:rFonts w:hint="eastAsia"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新疆生产建设兵团</w:t>
            </w:r>
            <w:r>
              <w:rPr>
                <w:rFonts w:hint="eastAsia" w:ascii="Times New Roman" w:hAnsi="Times New Roman" w:eastAsia="仿宋_GB2312" w:cs="Times New Roman"/>
                <w:sz w:val="28"/>
                <w:szCs w:val="28"/>
                <w:highlight w:val="none"/>
                <w:lang w:eastAsia="zh-CN"/>
              </w:rPr>
              <w:t>）意见</w:t>
            </w:r>
          </w:p>
        </w:tc>
        <w:tc>
          <w:tcPr>
            <w:tcW w:w="3571" w:type="dxa"/>
            <w:tcBorders>
              <w:tl2br w:val="nil"/>
              <w:tr2bl w:val="nil"/>
            </w:tcBorders>
            <w:vAlign w:val="top"/>
          </w:tcPr>
          <w:p>
            <w:pPr>
              <w:widowControl w:val="0"/>
              <w:wordWrap/>
              <w:adjustRightInd/>
              <w:snapToGrid/>
              <w:spacing w:line="240" w:lineRule="auto"/>
              <w:ind w:left="0" w:leftChars="0" w:right="0" w:firstLine="0" w:firstLineChars="0"/>
              <w:jc w:val="left"/>
              <w:textAlignment w:val="auto"/>
              <w:outlineLvl w:val="9"/>
              <w:rPr>
                <w:rFonts w:hint="eastAsia" w:ascii="Times New Roman" w:hAnsi="Times New Roman" w:eastAsia="仿宋_GB2312" w:cs="Times New Roman"/>
                <w:sz w:val="28"/>
                <w:szCs w:val="28"/>
                <w:highlight w:val="none"/>
                <w:lang w:eastAsia="zh-CN"/>
              </w:rPr>
            </w:pPr>
            <w:r>
              <w:rPr>
                <w:rFonts w:hint="eastAsia" w:ascii="Times New Roman" w:hAnsi="Times New Roman" w:eastAsia="仿宋_GB2312" w:cs="Times New Roman"/>
                <w:sz w:val="28"/>
                <w:szCs w:val="28"/>
                <w:highlight w:val="none"/>
                <w:lang w:val="en-US" w:eastAsia="zh-CN"/>
              </w:rPr>
              <w:t xml:space="preserve">     </w:t>
            </w:r>
            <w:r>
              <w:rPr>
                <w:rFonts w:hint="eastAsia" w:ascii="Times New Roman" w:hAnsi="Times New Roman" w:eastAsia="仿宋_GB2312" w:cs="Times New Roman"/>
                <w:sz w:val="28"/>
                <w:szCs w:val="28"/>
                <w:highlight w:val="none"/>
                <w:lang w:eastAsia="zh-CN"/>
              </w:rPr>
              <w:t>同</w:t>
            </w:r>
            <w:r>
              <w:rPr>
                <w:rFonts w:hint="eastAsia" w:ascii="Times New Roman" w:hAnsi="Times New Roman" w:eastAsia="仿宋_GB2312" w:cs="Times New Roman"/>
                <w:sz w:val="28"/>
                <w:szCs w:val="28"/>
                <w:highlight w:val="none"/>
                <w:lang w:val="en-US" w:eastAsia="zh-CN"/>
              </w:rPr>
              <w:t xml:space="preserve">  </w:t>
            </w:r>
            <w:r>
              <w:rPr>
                <w:rFonts w:hint="eastAsia" w:ascii="Times New Roman" w:hAnsi="Times New Roman" w:eastAsia="仿宋_GB2312" w:cs="Times New Roman"/>
                <w:sz w:val="28"/>
                <w:szCs w:val="28"/>
                <w:highlight w:val="none"/>
                <w:lang w:eastAsia="zh-CN"/>
              </w:rPr>
              <w:t>意</w:t>
            </w:r>
            <w:r>
              <w:rPr>
                <w:rFonts w:hint="eastAsia" w:ascii="Times New Roman" w:hAnsi="Times New Roman" w:eastAsia="仿宋_GB2312" w:cs="Times New Roman"/>
                <w:sz w:val="28"/>
                <w:szCs w:val="28"/>
                <w:highlight w:val="none"/>
                <w:lang w:val="en-US" w:eastAsia="zh-CN"/>
              </w:rPr>
              <w:t xml:space="preserve">    </w:t>
            </w:r>
            <w:r>
              <w:rPr>
                <w:rFonts w:hint="eastAsia" w:ascii="仿宋_GB2312" w:hAnsi="仿宋_GB2312" w:eastAsia="仿宋_GB2312" w:cs="仿宋_GB2312"/>
                <w:sz w:val="28"/>
                <w:szCs w:val="28"/>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950" w:type="dxa"/>
            <w:vMerge w:val="continue"/>
            <w:tcBorders>
              <w:tl2br w:val="nil"/>
              <w:tr2bl w:val="nil"/>
            </w:tcBorders>
            <w:vAlign w:val="top"/>
          </w:tcPr>
          <w:p>
            <w:pPr>
              <w:widowControl w:val="0"/>
              <w:wordWrap/>
              <w:adjustRightInd/>
              <w:snapToGrid/>
              <w:spacing w:line="240" w:lineRule="auto"/>
              <w:ind w:left="0" w:leftChars="0" w:right="0" w:firstLine="0" w:firstLineChars="0"/>
              <w:jc w:val="left"/>
              <w:textAlignment w:val="auto"/>
              <w:outlineLvl w:val="9"/>
              <w:rPr>
                <w:rFonts w:hint="eastAsia" w:ascii="Times New Roman" w:hAnsi="Times New Roman" w:eastAsia="仿宋_GB2312" w:cs="Times New Roman"/>
                <w:sz w:val="28"/>
                <w:szCs w:val="28"/>
                <w:highlight w:val="none"/>
                <w:lang w:eastAsia="zh-CN"/>
              </w:rPr>
            </w:pPr>
          </w:p>
        </w:tc>
        <w:tc>
          <w:tcPr>
            <w:tcW w:w="3571" w:type="dxa"/>
            <w:tcBorders>
              <w:tl2br w:val="nil"/>
              <w:tr2bl w:val="nil"/>
            </w:tcBorders>
            <w:vAlign w:val="top"/>
          </w:tcPr>
          <w:p>
            <w:pPr>
              <w:widowControl w:val="0"/>
              <w:wordWrap/>
              <w:adjustRightInd/>
              <w:snapToGrid/>
              <w:spacing w:line="240" w:lineRule="auto"/>
              <w:ind w:left="0" w:leftChars="0" w:right="0" w:firstLine="0" w:firstLineChars="0"/>
              <w:jc w:val="left"/>
              <w:textAlignment w:val="auto"/>
              <w:outlineLvl w:val="9"/>
              <w:rPr>
                <w:rFonts w:hint="eastAsia" w:ascii="Times New Roman" w:hAnsi="Times New Roman" w:eastAsia="仿宋_GB2312" w:cs="Times New Roman"/>
                <w:sz w:val="28"/>
                <w:szCs w:val="28"/>
                <w:highlight w:val="none"/>
                <w:lang w:eastAsia="zh-CN"/>
              </w:rPr>
            </w:pPr>
            <w:r>
              <w:rPr>
                <w:rFonts w:hint="eastAsia" w:ascii="Times New Roman" w:hAnsi="Times New Roman" w:eastAsia="仿宋_GB2312" w:cs="Times New Roman"/>
                <w:sz w:val="28"/>
                <w:szCs w:val="28"/>
                <w:highlight w:val="none"/>
                <w:lang w:val="en-US" w:eastAsia="zh-CN"/>
              </w:rPr>
              <w:t xml:space="preserve">     </w:t>
            </w:r>
            <w:r>
              <w:rPr>
                <w:rFonts w:hint="eastAsia" w:ascii="Times New Roman" w:hAnsi="Times New Roman" w:eastAsia="仿宋_GB2312" w:cs="Times New Roman"/>
                <w:sz w:val="28"/>
                <w:szCs w:val="28"/>
                <w:highlight w:val="none"/>
                <w:lang w:eastAsia="zh-CN"/>
              </w:rPr>
              <w:t>不同意</w:t>
            </w:r>
            <w:r>
              <w:rPr>
                <w:rFonts w:hint="eastAsia" w:ascii="Times New Roman" w:hAnsi="Times New Roman" w:eastAsia="仿宋_GB2312" w:cs="Times New Roman"/>
                <w:sz w:val="28"/>
                <w:szCs w:val="28"/>
                <w:highlight w:val="none"/>
                <w:lang w:val="en-US" w:eastAsia="zh-CN"/>
              </w:rPr>
              <w:t xml:space="preserve">    </w:t>
            </w:r>
            <w:r>
              <w:rPr>
                <w:rFonts w:hint="eastAsia" w:ascii="仿宋_GB2312" w:hAnsi="仿宋_GB2312" w:eastAsia="仿宋_GB2312" w:cs="仿宋_GB2312"/>
                <w:sz w:val="28"/>
                <w:szCs w:val="28"/>
                <w:highlight w:val="none"/>
                <w:lang w:val="en-US" w:eastAsia="zh-CN"/>
              </w:rPr>
              <w:t xml:space="preserve"> □</w:t>
            </w:r>
          </w:p>
        </w:tc>
      </w:tr>
    </w:tbl>
    <w:p>
      <w:pPr>
        <w:jc w:val="center"/>
        <w:rPr>
          <w:rFonts w:hint="default" w:ascii="Times New Roman" w:hAnsi="Times New Roman" w:eastAsia="黑体" w:cs="Times New Roman"/>
          <w:sz w:val="28"/>
          <w:highlight w:val="none"/>
        </w:rPr>
      </w:pPr>
    </w:p>
    <w:p>
      <w:pPr>
        <w:jc w:val="center"/>
        <w:rPr>
          <w:rFonts w:hint="default" w:ascii="Times New Roman" w:hAnsi="Times New Roman" w:eastAsia="黑体" w:cs="Times New Roman"/>
          <w:sz w:val="28"/>
          <w:highlight w:val="none"/>
        </w:rPr>
      </w:pPr>
    </w:p>
    <w:p>
      <w:pPr>
        <w:jc w:val="center"/>
        <w:rPr>
          <w:rFonts w:hint="default" w:ascii="Times New Roman" w:hAnsi="Times New Roman" w:eastAsia="黑体" w:cs="Times New Roman"/>
          <w:sz w:val="28"/>
          <w:highlight w:val="none"/>
        </w:rPr>
      </w:pPr>
    </w:p>
    <w:p>
      <w:pPr>
        <w:jc w:val="center"/>
        <w:rPr>
          <w:rFonts w:hint="default" w:ascii="Times New Roman" w:hAnsi="Times New Roman" w:eastAsia="黑体" w:cs="Times New Roman"/>
          <w:sz w:val="30"/>
          <w:highlight w:val="none"/>
        </w:rPr>
      </w:pPr>
      <w:r>
        <w:rPr>
          <w:rFonts w:hint="default" w:ascii="Times New Roman" w:hAnsi="Times New Roman" w:eastAsia="黑体" w:cs="Times New Roman"/>
          <w:sz w:val="30"/>
          <w:highlight w:val="none"/>
        </w:rPr>
        <w:t>工 业 和 信 息 化 部 制</w:t>
      </w:r>
    </w:p>
    <w:p>
      <w:pPr>
        <w:spacing w:after="163" w:afterLines="50"/>
        <w:jc w:val="left"/>
        <w:outlineLvl w:val="0"/>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一、基本情况</w:t>
      </w:r>
    </w:p>
    <w:tbl>
      <w:tblPr>
        <w:tblStyle w:val="8"/>
        <w:tblW w:w="881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52"/>
        <w:gridCol w:w="1166"/>
        <w:gridCol w:w="354"/>
        <w:gridCol w:w="691"/>
        <w:gridCol w:w="1222"/>
        <w:gridCol w:w="552"/>
        <w:gridCol w:w="423"/>
        <w:gridCol w:w="70"/>
        <w:gridCol w:w="745"/>
        <w:gridCol w:w="270"/>
        <w:gridCol w:w="595"/>
        <w:gridCol w:w="335"/>
        <w:gridCol w:w="165"/>
        <w:gridCol w:w="10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0" w:hRule="atLeast"/>
          <w:jc w:val="center"/>
        </w:trPr>
        <w:tc>
          <w:tcPr>
            <w:tcW w:w="2672" w:type="dxa"/>
            <w:gridSpan w:val="3"/>
            <w:vAlign w:val="center"/>
          </w:tcPr>
          <w:p>
            <w:pPr>
              <w:widowControl/>
              <w:snapToGrid w:val="0"/>
              <w:jc w:val="both"/>
              <w:rPr>
                <w:rFonts w:hint="default" w:ascii="Times New Roman" w:hAnsi="Times New Roman" w:eastAsia="黑体" w:cs="Times New Roman"/>
                <w:color w:val="000000"/>
                <w:kern w:val="0"/>
                <w:szCs w:val="21"/>
                <w:highlight w:val="none"/>
              </w:rPr>
            </w:pPr>
            <w:r>
              <w:rPr>
                <w:rFonts w:hint="eastAsia" w:ascii="Times New Roman" w:hAnsi="Times New Roman" w:eastAsia="黑体" w:cs="Times New Roman"/>
                <w:color w:val="000000"/>
                <w:kern w:val="0"/>
                <w:szCs w:val="21"/>
                <w:highlight w:val="none"/>
                <w:lang w:val="en-US" w:eastAsia="zh-CN"/>
              </w:rPr>
              <w:t xml:space="preserve">    </w:t>
            </w:r>
            <w:r>
              <w:rPr>
                <w:rFonts w:hint="default" w:ascii="Times New Roman" w:hAnsi="Times New Roman" w:eastAsia="黑体" w:cs="Times New Roman"/>
                <w:color w:val="000000"/>
                <w:kern w:val="0"/>
                <w:szCs w:val="21"/>
                <w:highlight w:val="none"/>
              </w:rPr>
              <w:t>市（州）名称</w:t>
            </w:r>
          </w:p>
        </w:tc>
        <w:tc>
          <w:tcPr>
            <w:tcW w:w="6141" w:type="dxa"/>
            <w:gridSpan w:val="11"/>
            <w:vAlign w:val="center"/>
          </w:tcPr>
          <w:p>
            <w:pPr>
              <w:widowControl/>
              <w:snapToGrid w:val="0"/>
              <w:jc w:val="center"/>
              <w:rPr>
                <w:rFonts w:hint="default" w:ascii="Times New Roman" w:hAnsi="Times New Roman" w:cs="Times New Roman"/>
                <w:color w:val="000000"/>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2672" w:type="dxa"/>
            <w:gridSpan w:val="3"/>
            <w:vAlign w:val="center"/>
          </w:tcPr>
          <w:p>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面积（平方公里）</w:t>
            </w:r>
          </w:p>
        </w:tc>
        <w:tc>
          <w:tcPr>
            <w:tcW w:w="2888" w:type="dxa"/>
            <w:gridSpan w:val="4"/>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c>
          <w:tcPr>
            <w:tcW w:w="1680" w:type="dxa"/>
            <w:gridSpan w:val="4"/>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eastAsia="黑体" w:cs="Times New Roman"/>
                <w:color w:val="000000"/>
                <w:kern w:val="0"/>
                <w:szCs w:val="21"/>
                <w:highlight w:val="none"/>
              </w:rPr>
              <w:t>人口（万人）</w:t>
            </w:r>
          </w:p>
        </w:tc>
        <w:tc>
          <w:tcPr>
            <w:tcW w:w="1573" w:type="dxa"/>
            <w:gridSpan w:val="3"/>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8813" w:type="dxa"/>
            <w:gridSpan w:val="14"/>
            <w:vAlign w:val="center"/>
          </w:tcPr>
          <w:p>
            <w:pPr>
              <w:widowControl/>
              <w:snapToGrid w:val="0"/>
              <w:jc w:val="center"/>
              <w:rPr>
                <w:rFonts w:hint="default" w:ascii="Times New Roman" w:hAnsi="Times New Roman" w:cs="Times New Roman"/>
                <w:b/>
                <w:bCs/>
                <w:color w:val="000000"/>
                <w:kern w:val="0"/>
                <w:szCs w:val="21"/>
                <w:highlight w:val="none"/>
              </w:rPr>
            </w:pPr>
            <w:r>
              <w:rPr>
                <w:rFonts w:hint="default" w:ascii="Times New Roman" w:hAnsi="Times New Roman" w:cs="Times New Roman"/>
                <w:b/>
                <w:bCs/>
                <w:color w:val="000000"/>
                <w:kern w:val="0"/>
                <w:szCs w:val="21"/>
                <w:highlight w:val="none"/>
              </w:rPr>
              <w:t>近三年工业总体情况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jc w:val="center"/>
        </w:trPr>
        <w:tc>
          <w:tcPr>
            <w:tcW w:w="5137" w:type="dxa"/>
            <w:gridSpan w:val="6"/>
            <w:vAlign w:val="center"/>
          </w:tcPr>
          <w:p>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指  标</w:t>
            </w:r>
          </w:p>
        </w:tc>
        <w:tc>
          <w:tcPr>
            <w:tcW w:w="1238" w:type="dxa"/>
            <w:gridSpan w:val="3"/>
            <w:vAlign w:val="center"/>
          </w:tcPr>
          <w:p>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2015年</w:t>
            </w:r>
          </w:p>
        </w:tc>
        <w:tc>
          <w:tcPr>
            <w:tcW w:w="1200" w:type="dxa"/>
            <w:gridSpan w:val="3"/>
            <w:vAlign w:val="center"/>
          </w:tcPr>
          <w:p>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2016年</w:t>
            </w:r>
          </w:p>
        </w:tc>
        <w:tc>
          <w:tcPr>
            <w:tcW w:w="1238" w:type="dxa"/>
            <w:gridSpan w:val="2"/>
            <w:vAlign w:val="center"/>
          </w:tcPr>
          <w:p>
            <w:pPr>
              <w:widowControl/>
              <w:snapToGrid w:val="0"/>
              <w:jc w:val="center"/>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2017年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7" w:hRule="atLeast"/>
          <w:jc w:val="center"/>
        </w:trPr>
        <w:tc>
          <w:tcPr>
            <w:tcW w:w="5137" w:type="dxa"/>
            <w:gridSpan w:val="6"/>
            <w:vAlign w:val="center"/>
          </w:tcPr>
          <w:p>
            <w:pPr>
              <w:widowControl/>
              <w:snapToGrid w:val="0"/>
              <w:jc w:val="left"/>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工业增加值（亿元）</w:t>
            </w:r>
          </w:p>
        </w:tc>
        <w:tc>
          <w:tcPr>
            <w:tcW w:w="1238" w:type="dxa"/>
            <w:gridSpan w:val="3"/>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c>
          <w:tcPr>
            <w:tcW w:w="1200" w:type="dxa"/>
            <w:gridSpan w:val="3"/>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c>
          <w:tcPr>
            <w:tcW w:w="1238" w:type="dxa"/>
            <w:gridSpan w:val="2"/>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8" w:hRule="atLeast"/>
          <w:jc w:val="center"/>
        </w:trPr>
        <w:tc>
          <w:tcPr>
            <w:tcW w:w="5137" w:type="dxa"/>
            <w:gridSpan w:val="6"/>
            <w:vAlign w:val="center"/>
          </w:tcPr>
          <w:p>
            <w:pPr>
              <w:widowControl/>
              <w:snapToGrid w:val="0"/>
              <w:jc w:val="left"/>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工业增加值占全省比重（%）</w:t>
            </w:r>
          </w:p>
        </w:tc>
        <w:tc>
          <w:tcPr>
            <w:tcW w:w="1238" w:type="dxa"/>
            <w:gridSpan w:val="3"/>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c>
          <w:tcPr>
            <w:tcW w:w="1200" w:type="dxa"/>
            <w:gridSpan w:val="3"/>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c>
          <w:tcPr>
            <w:tcW w:w="1238" w:type="dxa"/>
            <w:gridSpan w:val="2"/>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8" w:hRule="atLeast"/>
          <w:jc w:val="center"/>
        </w:trPr>
        <w:tc>
          <w:tcPr>
            <w:tcW w:w="5137" w:type="dxa"/>
            <w:gridSpan w:val="6"/>
            <w:vAlign w:val="center"/>
          </w:tcPr>
          <w:p>
            <w:pPr>
              <w:widowControl/>
              <w:snapToGrid w:val="0"/>
              <w:jc w:val="left"/>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工业增加值增速（%）</w:t>
            </w:r>
          </w:p>
        </w:tc>
        <w:tc>
          <w:tcPr>
            <w:tcW w:w="1238" w:type="dxa"/>
            <w:gridSpan w:val="3"/>
            <w:vAlign w:val="center"/>
          </w:tcPr>
          <w:p>
            <w:pPr>
              <w:widowControl/>
              <w:snapToGrid w:val="0"/>
              <w:jc w:val="center"/>
              <w:rPr>
                <w:rFonts w:hint="default" w:ascii="Times New Roman" w:hAnsi="Times New Roman" w:cs="Times New Roman"/>
                <w:color w:val="000000"/>
                <w:kern w:val="0"/>
                <w:szCs w:val="21"/>
                <w:highlight w:val="none"/>
              </w:rPr>
            </w:pPr>
          </w:p>
        </w:tc>
        <w:tc>
          <w:tcPr>
            <w:tcW w:w="1200" w:type="dxa"/>
            <w:gridSpan w:val="3"/>
            <w:vAlign w:val="center"/>
          </w:tcPr>
          <w:p>
            <w:pPr>
              <w:widowControl/>
              <w:snapToGrid w:val="0"/>
              <w:jc w:val="center"/>
              <w:rPr>
                <w:rFonts w:hint="default" w:ascii="Times New Roman" w:hAnsi="Times New Roman" w:cs="Times New Roman"/>
                <w:color w:val="000000"/>
                <w:kern w:val="0"/>
                <w:szCs w:val="21"/>
                <w:highlight w:val="none"/>
              </w:rPr>
            </w:pPr>
          </w:p>
        </w:tc>
        <w:tc>
          <w:tcPr>
            <w:tcW w:w="1238" w:type="dxa"/>
            <w:gridSpan w:val="2"/>
            <w:vAlign w:val="center"/>
          </w:tcPr>
          <w:p>
            <w:pPr>
              <w:widowControl/>
              <w:snapToGrid w:val="0"/>
              <w:jc w:val="center"/>
              <w:rPr>
                <w:rFonts w:hint="default" w:ascii="Times New Roman" w:hAnsi="Times New Roman" w:cs="Times New Roman"/>
                <w:color w:val="000000"/>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5137" w:type="dxa"/>
            <w:gridSpan w:val="6"/>
            <w:vAlign w:val="center"/>
          </w:tcPr>
          <w:p>
            <w:pPr>
              <w:widowControl/>
              <w:snapToGrid w:val="0"/>
              <w:jc w:val="left"/>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工业固定资产投资（亿元）</w:t>
            </w:r>
          </w:p>
        </w:tc>
        <w:tc>
          <w:tcPr>
            <w:tcW w:w="1238" w:type="dxa"/>
            <w:gridSpan w:val="3"/>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c>
          <w:tcPr>
            <w:tcW w:w="1200" w:type="dxa"/>
            <w:gridSpan w:val="3"/>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c>
          <w:tcPr>
            <w:tcW w:w="1238" w:type="dxa"/>
            <w:gridSpan w:val="2"/>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5137" w:type="dxa"/>
            <w:gridSpan w:val="6"/>
            <w:vAlign w:val="center"/>
          </w:tcPr>
          <w:p>
            <w:pPr>
              <w:widowControl/>
              <w:snapToGrid w:val="0"/>
              <w:jc w:val="left"/>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工业固定资产投资额增速（%）</w:t>
            </w:r>
          </w:p>
        </w:tc>
        <w:tc>
          <w:tcPr>
            <w:tcW w:w="1238" w:type="dxa"/>
            <w:gridSpan w:val="3"/>
            <w:vAlign w:val="center"/>
          </w:tcPr>
          <w:p>
            <w:pPr>
              <w:widowControl/>
              <w:snapToGrid w:val="0"/>
              <w:jc w:val="center"/>
              <w:rPr>
                <w:rFonts w:hint="default" w:ascii="Times New Roman" w:hAnsi="Times New Roman" w:cs="Times New Roman"/>
                <w:color w:val="000000"/>
                <w:kern w:val="0"/>
                <w:szCs w:val="21"/>
                <w:highlight w:val="none"/>
              </w:rPr>
            </w:pPr>
          </w:p>
        </w:tc>
        <w:tc>
          <w:tcPr>
            <w:tcW w:w="1200" w:type="dxa"/>
            <w:gridSpan w:val="3"/>
            <w:vAlign w:val="center"/>
          </w:tcPr>
          <w:p>
            <w:pPr>
              <w:widowControl/>
              <w:snapToGrid w:val="0"/>
              <w:jc w:val="center"/>
              <w:rPr>
                <w:rFonts w:hint="default" w:ascii="Times New Roman" w:hAnsi="Times New Roman" w:cs="Times New Roman"/>
                <w:color w:val="000000"/>
                <w:kern w:val="0"/>
                <w:szCs w:val="21"/>
                <w:highlight w:val="none"/>
              </w:rPr>
            </w:pPr>
          </w:p>
        </w:tc>
        <w:tc>
          <w:tcPr>
            <w:tcW w:w="1238" w:type="dxa"/>
            <w:gridSpan w:val="2"/>
            <w:vAlign w:val="center"/>
          </w:tcPr>
          <w:p>
            <w:pPr>
              <w:widowControl/>
              <w:snapToGrid w:val="0"/>
              <w:jc w:val="center"/>
              <w:rPr>
                <w:rFonts w:hint="default" w:ascii="Times New Roman" w:hAnsi="Times New Roman" w:cs="Times New Roman"/>
                <w:color w:val="000000"/>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5137" w:type="dxa"/>
            <w:gridSpan w:val="6"/>
            <w:vAlign w:val="center"/>
          </w:tcPr>
          <w:p>
            <w:pPr>
              <w:widowControl/>
              <w:snapToGrid w:val="0"/>
              <w:jc w:val="left"/>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规模以上工业主营业务收入（亿元）</w:t>
            </w:r>
          </w:p>
        </w:tc>
        <w:tc>
          <w:tcPr>
            <w:tcW w:w="1238" w:type="dxa"/>
            <w:gridSpan w:val="3"/>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c>
          <w:tcPr>
            <w:tcW w:w="1200" w:type="dxa"/>
            <w:gridSpan w:val="3"/>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c>
          <w:tcPr>
            <w:tcW w:w="1238" w:type="dxa"/>
            <w:gridSpan w:val="2"/>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3" w:hRule="atLeast"/>
          <w:jc w:val="center"/>
        </w:trPr>
        <w:tc>
          <w:tcPr>
            <w:tcW w:w="5137" w:type="dxa"/>
            <w:gridSpan w:val="6"/>
            <w:vAlign w:val="center"/>
          </w:tcPr>
          <w:p>
            <w:pPr>
              <w:widowControl/>
              <w:snapToGrid w:val="0"/>
              <w:jc w:val="left"/>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规模以上工业主营业务收入增速（%）</w:t>
            </w:r>
          </w:p>
        </w:tc>
        <w:tc>
          <w:tcPr>
            <w:tcW w:w="1238" w:type="dxa"/>
            <w:gridSpan w:val="3"/>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c>
          <w:tcPr>
            <w:tcW w:w="1200" w:type="dxa"/>
            <w:gridSpan w:val="3"/>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c>
          <w:tcPr>
            <w:tcW w:w="1238" w:type="dxa"/>
            <w:gridSpan w:val="2"/>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9" w:hRule="atLeast"/>
          <w:jc w:val="center"/>
        </w:trPr>
        <w:tc>
          <w:tcPr>
            <w:tcW w:w="5137" w:type="dxa"/>
            <w:gridSpan w:val="6"/>
            <w:vAlign w:val="center"/>
          </w:tcPr>
          <w:p>
            <w:pPr>
              <w:widowControl/>
              <w:snapToGrid w:val="0"/>
              <w:jc w:val="left"/>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规模以上工业利润总额（亿元）</w:t>
            </w:r>
          </w:p>
        </w:tc>
        <w:tc>
          <w:tcPr>
            <w:tcW w:w="1238" w:type="dxa"/>
            <w:gridSpan w:val="3"/>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c>
          <w:tcPr>
            <w:tcW w:w="1200" w:type="dxa"/>
            <w:gridSpan w:val="3"/>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c>
          <w:tcPr>
            <w:tcW w:w="1238" w:type="dxa"/>
            <w:gridSpan w:val="2"/>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9" w:hRule="atLeast"/>
          <w:jc w:val="center"/>
        </w:trPr>
        <w:tc>
          <w:tcPr>
            <w:tcW w:w="5137" w:type="dxa"/>
            <w:gridSpan w:val="6"/>
            <w:vAlign w:val="center"/>
          </w:tcPr>
          <w:p>
            <w:pPr>
              <w:widowControl/>
              <w:snapToGrid w:val="0"/>
              <w:jc w:val="left"/>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规模以上工业利润总额增速（%）</w:t>
            </w:r>
          </w:p>
        </w:tc>
        <w:tc>
          <w:tcPr>
            <w:tcW w:w="1238" w:type="dxa"/>
            <w:gridSpan w:val="3"/>
            <w:vAlign w:val="center"/>
          </w:tcPr>
          <w:p>
            <w:pPr>
              <w:widowControl/>
              <w:snapToGrid w:val="0"/>
              <w:jc w:val="center"/>
              <w:rPr>
                <w:rFonts w:hint="default" w:ascii="Times New Roman" w:hAnsi="Times New Roman" w:cs="Times New Roman"/>
                <w:color w:val="000000"/>
                <w:kern w:val="0"/>
                <w:szCs w:val="21"/>
                <w:highlight w:val="none"/>
              </w:rPr>
            </w:pPr>
          </w:p>
        </w:tc>
        <w:tc>
          <w:tcPr>
            <w:tcW w:w="1200" w:type="dxa"/>
            <w:gridSpan w:val="3"/>
            <w:vAlign w:val="center"/>
          </w:tcPr>
          <w:p>
            <w:pPr>
              <w:widowControl/>
              <w:snapToGrid w:val="0"/>
              <w:jc w:val="center"/>
              <w:rPr>
                <w:rFonts w:hint="default" w:ascii="Times New Roman" w:hAnsi="Times New Roman" w:cs="Times New Roman"/>
                <w:color w:val="000000"/>
                <w:kern w:val="0"/>
                <w:szCs w:val="21"/>
                <w:highlight w:val="none"/>
              </w:rPr>
            </w:pPr>
          </w:p>
        </w:tc>
        <w:tc>
          <w:tcPr>
            <w:tcW w:w="1238" w:type="dxa"/>
            <w:gridSpan w:val="2"/>
            <w:vAlign w:val="center"/>
          </w:tcPr>
          <w:p>
            <w:pPr>
              <w:widowControl/>
              <w:snapToGrid w:val="0"/>
              <w:jc w:val="center"/>
              <w:rPr>
                <w:rFonts w:hint="default" w:ascii="Times New Roman" w:hAnsi="Times New Roman" w:cs="Times New Roman"/>
                <w:color w:val="000000"/>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5137" w:type="dxa"/>
            <w:gridSpan w:val="6"/>
            <w:vAlign w:val="center"/>
          </w:tcPr>
          <w:p>
            <w:pPr>
              <w:widowControl/>
              <w:snapToGrid w:val="0"/>
              <w:jc w:val="left"/>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年末工业从业人数（人）</w:t>
            </w:r>
          </w:p>
        </w:tc>
        <w:tc>
          <w:tcPr>
            <w:tcW w:w="1238" w:type="dxa"/>
            <w:gridSpan w:val="3"/>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c>
          <w:tcPr>
            <w:tcW w:w="1200" w:type="dxa"/>
            <w:gridSpan w:val="3"/>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c>
          <w:tcPr>
            <w:tcW w:w="1238" w:type="dxa"/>
            <w:gridSpan w:val="2"/>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2" w:hRule="atLeast"/>
          <w:jc w:val="center"/>
        </w:trPr>
        <w:tc>
          <w:tcPr>
            <w:tcW w:w="5137" w:type="dxa"/>
            <w:gridSpan w:val="6"/>
            <w:vAlign w:val="center"/>
          </w:tcPr>
          <w:p>
            <w:pPr>
              <w:widowControl/>
              <w:snapToGrid w:val="0"/>
              <w:jc w:val="left"/>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高技术产业占规模以上工业增加值比重（%）</w:t>
            </w:r>
          </w:p>
        </w:tc>
        <w:tc>
          <w:tcPr>
            <w:tcW w:w="1238" w:type="dxa"/>
            <w:gridSpan w:val="3"/>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c>
          <w:tcPr>
            <w:tcW w:w="1200" w:type="dxa"/>
            <w:gridSpan w:val="3"/>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c>
          <w:tcPr>
            <w:tcW w:w="1238" w:type="dxa"/>
            <w:gridSpan w:val="2"/>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29" w:hRule="atLeast"/>
          <w:jc w:val="center"/>
        </w:trPr>
        <w:tc>
          <w:tcPr>
            <w:tcW w:w="5137" w:type="dxa"/>
            <w:gridSpan w:val="6"/>
            <w:vAlign w:val="center"/>
          </w:tcPr>
          <w:p>
            <w:pPr>
              <w:widowControl/>
              <w:snapToGrid w:val="0"/>
              <w:jc w:val="left"/>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工业企业技术改造投资（亿元）</w:t>
            </w:r>
          </w:p>
        </w:tc>
        <w:tc>
          <w:tcPr>
            <w:tcW w:w="1238" w:type="dxa"/>
            <w:gridSpan w:val="3"/>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c>
          <w:tcPr>
            <w:tcW w:w="1200" w:type="dxa"/>
            <w:gridSpan w:val="3"/>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c>
          <w:tcPr>
            <w:tcW w:w="1238" w:type="dxa"/>
            <w:gridSpan w:val="2"/>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0" w:hRule="atLeast"/>
          <w:jc w:val="center"/>
        </w:trPr>
        <w:tc>
          <w:tcPr>
            <w:tcW w:w="5137" w:type="dxa"/>
            <w:gridSpan w:val="6"/>
            <w:vAlign w:val="center"/>
          </w:tcPr>
          <w:p>
            <w:pPr>
              <w:widowControl/>
              <w:snapToGrid w:val="0"/>
              <w:jc w:val="left"/>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R&amp;D投入占地区GDP比重（%）</w:t>
            </w:r>
          </w:p>
        </w:tc>
        <w:tc>
          <w:tcPr>
            <w:tcW w:w="1238" w:type="dxa"/>
            <w:gridSpan w:val="3"/>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c>
          <w:tcPr>
            <w:tcW w:w="1200" w:type="dxa"/>
            <w:gridSpan w:val="3"/>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c>
          <w:tcPr>
            <w:tcW w:w="1238" w:type="dxa"/>
            <w:gridSpan w:val="2"/>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0" w:hRule="atLeast"/>
          <w:jc w:val="center"/>
        </w:trPr>
        <w:tc>
          <w:tcPr>
            <w:tcW w:w="5137" w:type="dxa"/>
            <w:gridSpan w:val="6"/>
            <w:vAlign w:val="center"/>
          </w:tcPr>
          <w:p>
            <w:pPr>
              <w:widowControl/>
              <w:snapToGrid w:val="0"/>
              <w:jc w:val="left"/>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有效发明专利数（件）</w:t>
            </w:r>
          </w:p>
        </w:tc>
        <w:tc>
          <w:tcPr>
            <w:tcW w:w="1238" w:type="dxa"/>
            <w:gridSpan w:val="3"/>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c>
          <w:tcPr>
            <w:tcW w:w="1200" w:type="dxa"/>
            <w:gridSpan w:val="3"/>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c>
          <w:tcPr>
            <w:tcW w:w="1238" w:type="dxa"/>
            <w:gridSpan w:val="2"/>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8" w:hRule="atLeast"/>
          <w:jc w:val="center"/>
        </w:trPr>
        <w:tc>
          <w:tcPr>
            <w:tcW w:w="5137" w:type="dxa"/>
            <w:gridSpan w:val="6"/>
            <w:vAlign w:val="center"/>
          </w:tcPr>
          <w:p>
            <w:pPr>
              <w:widowControl/>
              <w:snapToGrid w:val="0"/>
              <w:jc w:val="left"/>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规模以上单位工业增加值能耗（吨标煤/万元）</w:t>
            </w:r>
          </w:p>
        </w:tc>
        <w:tc>
          <w:tcPr>
            <w:tcW w:w="1238" w:type="dxa"/>
            <w:gridSpan w:val="3"/>
            <w:vAlign w:val="center"/>
          </w:tcPr>
          <w:p>
            <w:pPr>
              <w:widowControl/>
              <w:snapToGrid w:val="0"/>
              <w:jc w:val="left"/>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c>
          <w:tcPr>
            <w:tcW w:w="1200" w:type="dxa"/>
            <w:gridSpan w:val="3"/>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c>
          <w:tcPr>
            <w:tcW w:w="1238" w:type="dxa"/>
            <w:gridSpan w:val="2"/>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59" w:hRule="atLeast"/>
          <w:jc w:val="center"/>
        </w:trPr>
        <w:tc>
          <w:tcPr>
            <w:tcW w:w="5137" w:type="dxa"/>
            <w:gridSpan w:val="6"/>
            <w:vAlign w:val="center"/>
          </w:tcPr>
          <w:p>
            <w:pPr>
              <w:widowControl/>
              <w:snapToGrid w:val="0"/>
              <w:jc w:val="left"/>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单位工业增加值二氧化碳排放量下降幅度（%）</w:t>
            </w:r>
          </w:p>
        </w:tc>
        <w:tc>
          <w:tcPr>
            <w:tcW w:w="1238" w:type="dxa"/>
            <w:gridSpan w:val="3"/>
            <w:vAlign w:val="center"/>
          </w:tcPr>
          <w:p>
            <w:pPr>
              <w:widowControl/>
              <w:snapToGrid w:val="0"/>
              <w:jc w:val="left"/>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c>
          <w:tcPr>
            <w:tcW w:w="1200" w:type="dxa"/>
            <w:gridSpan w:val="3"/>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c>
          <w:tcPr>
            <w:tcW w:w="1238" w:type="dxa"/>
            <w:gridSpan w:val="2"/>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7" w:hRule="atLeast"/>
          <w:jc w:val="center"/>
        </w:trPr>
        <w:tc>
          <w:tcPr>
            <w:tcW w:w="5137" w:type="dxa"/>
            <w:gridSpan w:val="6"/>
            <w:vAlign w:val="center"/>
          </w:tcPr>
          <w:p>
            <w:pPr>
              <w:widowControl/>
              <w:snapToGrid w:val="0"/>
              <w:jc w:val="left"/>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单位工业增加值用水量下降幅度（%）</w:t>
            </w:r>
          </w:p>
        </w:tc>
        <w:tc>
          <w:tcPr>
            <w:tcW w:w="1238" w:type="dxa"/>
            <w:gridSpan w:val="3"/>
            <w:vAlign w:val="center"/>
          </w:tcPr>
          <w:p>
            <w:pPr>
              <w:widowControl/>
              <w:snapToGrid w:val="0"/>
              <w:jc w:val="left"/>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c>
          <w:tcPr>
            <w:tcW w:w="1200" w:type="dxa"/>
            <w:gridSpan w:val="3"/>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c>
          <w:tcPr>
            <w:tcW w:w="1238" w:type="dxa"/>
            <w:gridSpan w:val="2"/>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0" w:hRule="atLeast"/>
          <w:jc w:val="center"/>
        </w:trPr>
        <w:tc>
          <w:tcPr>
            <w:tcW w:w="5137" w:type="dxa"/>
            <w:gridSpan w:val="6"/>
            <w:vAlign w:val="center"/>
          </w:tcPr>
          <w:p>
            <w:pPr>
              <w:widowControl/>
              <w:snapToGrid w:val="0"/>
              <w:jc w:val="left"/>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工业固体废物综合利用率（%）</w:t>
            </w:r>
          </w:p>
        </w:tc>
        <w:tc>
          <w:tcPr>
            <w:tcW w:w="1238" w:type="dxa"/>
            <w:gridSpan w:val="3"/>
            <w:vAlign w:val="center"/>
          </w:tcPr>
          <w:p>
            <w:pPr>
              <w:widowControl/>
              <w:snapToGrid w:val="0"/>
              <w:jc w:val="left"/>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c>
          <w:tcPr>
            <w:tcW w:w="1200" w:type="dxa"/>
            <w:gridSpan w:val="3"/>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c>
          <w:tcPr>
            <w:tcW w:w="1238" w:type="dxa"/>
            <w:gridSpan w:val="2"/>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0" w:hRule="atLeast"/>
          <w:jc w:val="center"/>
        </w:trPr>
        <w:tc>
          <w:tcPr>
            <w:tcW w:w="5137" w:type="dxa"/>
            <w:gridSpan w:val="6"/>
            <w:vAlign w:val="center"/>
          </w:tcPr>
          <w:p>
            <w:pPr>
              <w:widowControl/>
              <w:snapToGrid w:val="0"/>
              <w:jc w:val="left"/>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规模以上工业企业清洁生产审核实施率（%）</w:t>
            </w:r>
          </w:p>
        </w:tc>
        <w:tc>
          <w:tcPr>
            <w:tcW w:w="1238" w:type="dxa"/>
            <w:gridSpan w:val="3"/>
            <w:vAlign w:val="center"/>
          </w:tcPr>
          <w:p>
            <w:pPr>
              <w:widowControl/>
              <w:snapToGrid w:val="0"/>
              <w:jc w:val="left"/>
              <w:rPr>
                <w:rFonts w:hint="default" w:ascii="Times New Roman" w:hAnsi="Times New Roman" w:cs="Times New Roman"/>
                <w:color w:val="000000"/>
                <w:kern w:val="0"/>
                <w:szCs w:val="21"/>
                <w:highlight w:val="none"/>
              </w:rPr>
            </w:pPr>
          </w:p>
        </w:tc>
        <w:tc>
          <w:tcPr>
            <w:tcW w:w="1200" w:type="dxa"/>
            <w:gridSpan w:val="3"/>
            <w:vAlign w:val="center"/>
          </w:tcPr>
          <w:p>
            <w:pPr>
              <w:widowControl/>
              <w:snapToGrid w:val="0"/>
              <w:jc w:val="center"/>
              <w:rPr>
                <w:rFonts w:hint="default" w:ascii="Times New Roman" w:hAnsi="Times New Roman" w:cs="Times New Roman"/>
                <w:color w:val="000000"/>
                <w:kern w:val="0"/>
                <w:szCs w:val="21"/>
                <w:highlight w:val="none"/>
              </w:rPr>
            </w:pPr>
          </w:p>
        </w:tc>
        <w:tc>
          <w:tcPr>
            <w:tcW w:w="1238" w:type="dxa"/>
            <w:gridSpan w:val="2"/>
            <w:vAlign w:val="center"/>
          </w:tcPr>
          <w:p>
            <w:pPr>
              <w:widowControl/>
              <w:snapToGrid w:val="0"/>
              <w:jc w:val="center"/>
              <w:rPr>
                <w:rFonts w:hint="default" w:ascii="Times New Roman" w:hAnsi="Times New Roman" w:cs="Times New Roman"/>
                <w:color w:val="000000"/>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5" w:hRule="atLeast"/>
          <w:jc w:val="center"/>
        </w:trPr>
        <w:tc>
          <w:tcPr>
            <w:tcW w:w="5137" w:type="dxa"/>
            <w:gridSpan w:val="6"/>
            <w:vAlign w:val="center"/>
          </w:tcPr>
          <w:p>
            <w:pPr>
              <w:widowControl/>
              <w:snapToGrid w:val="0"/>
              <w:jc w:val="left"/>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生产性服务业增加值（亿元）</w:t>
            </w:r>
          </w:p>
        </w:tc>
        <w:tc>
          <w:tcPr>
            <w:tcW w:w="1238" w:type="dxa"/>
            <w:gridSpan w:val="3"/>
            <w:vAlign w:val="center"/>
          </w:tcPr>
          <w:p>
            <w:pPr>
              <w:widowControl/>
              <w:snapToGrid w:val="0"/>
              <w:jc w:val="left"/>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c>
          <w:tcPr>
            <w:tcW w:w="1200" w:type="dxa"/>
            <w:gridSpan w:val="3"/>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c>
          <w:tcPr>
            <w:tcW w:w="1238" w:type="dxa"/>
            <w:gridSpan w:val="2"/>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1" w:hRule="atLeast"/>
          <w:jc w:val="center"/>
        </w:trPr>
        <w:tc>
          <w:tcPr>
            <w:tcW w:w="8813" w:type="dxa"/>
            <w:gridSpan w:val="14"/>
            <w:vAlign w:val="center"/>
          </w:tcPr>
          <w:p>
            <w:pPr>
              <w:widowControl/>
              <w:snapToGrid w:val="0"/>
              <w:jc w:val="center"/>
              <w:rPr>
                <w:rFonts w:hint="default" w:ascii="Times New Roman" w:hAnsi="Times New Roman" w:cs="Times New Roman"/>
                <w:b/>
                <w:bCs/>
                <w:color w:val="000000"/>
                <w:kern w:val="0"/>
                <w:szCs w:val="21"/>
                <w:highlight w:val="none"/>
              </w:rPr>
            </w:pPr>
            <w:r>
              <w:rPr>
                <w:rFonts w:hint="default" w:ascii="Times New Roman" w:hAnsi="Times New Roman" w:cs="Times New Roman"/>
                <w:b/>
                <w:bCs/>
                <w:color w:val="000000"/>
                <w:kern w:val="0"/>
                <w:szCs w:val="21"/>
                <w:highlight w:val="none"/>
              </w:rPr>
              <w:t>主导产业发展情况（20</w:t>
            </w:r>
            <w:r>
              <w:rPr>
                <w:rFonts w:hint="default" w:ascii="Times New Roman" w:hAnsi="Times New Roman" w:cs="Times New Roman"/>
                <w:b/>
                <w:bCs/>
                <w:color w:val="000000"/>
                <w:kern w:val="0"/>
                <w:szCs w:val="21"/>
                <w:highlight w:val="none"/>
                <w:u w:val="none"/>
              </w:rPr>
              <w:t>17</w:t>
            </w:r>
            <w:r>
              <w:rPr>
                <w:rFonts w:hint="default" w:ascii="Times New Roman" w:hAnsi="Times New Roman" w:cs="Times New Roman"/>
                <w:b/>
                <w:bCs/>
                <w:color w:val="000000"/>
                <w:kern w:val="0"/>
                <w:szCs w:val="21"/>
                <w:highlight w:val="none"/>
              </w:rPr>
              <w:t>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38" w:hRule="atLeast"/>
          <w:jc w:val="center"/>
        </w:trPr>
        <w:tc>
          <w:tcPr>
            <w:tcW w:w="1152" w:type="dxa"/>
            <w:vAlign w:val="center"/>
          </w:tcPr>
          <w:p>
            <w:pPr>
              <w:widowControl/>
              <w:snapToGrid w:val="0"/>
              <w:jc w:val="center"/>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主导产业（产品）名称</w:t>
            </w:r>
          </w:p>
        </w:tc>
        <w:tc>
          <w:tcPr>
            <w:tcW w:w="1166" w:type="dxa"/>
            <w:vAlign w:val="center"/>
          </w:tcPr>
          <w:p>
            <w:pPr>
              <w:widowControl/>
              <w:snapToGrid w:val="0"/>
              <w:jc w:val="center"/>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工业增加值占比（%）</w:t>
            </w:r>
          </w:p>
        </w:tc>
        <w:tc>
          <w:tcPr>
            <w:tcW w:w="1045" w:type="dxa"/>
            <w:gridSpan w:val="2"/>
            <w:vAlign w:val="center"/>
          </w:tcPr>
          <w:p>
            <w:pPr>
              <w:widowControl/>
              <w:snapToGrid w:val="0"/>
              <w:jc w:val="center"/>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工业增加值增速（%）</w:t>
            </w:r>
          </w:p>
        </w:tc>
        <w:tc>
          <w:tcPr>
            <w:tcW w:w="1222" w:type="dxa"/>
            <w:vAlign w:val="center"/>
          </w:tcPr>
          <w:p>
            <w:pPr>
              <w:widowControl/>
              <w:snapToGrid w:val="0"/>
              <w:jc w:val="center"/>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产品产量占全国比重（%）</w:t>
            </w:r>
          </w:p>
        </w:tc>
        <w:tc>
          <w:tcPr>
            <w:tcW w:w="1045" w:type="dxa"/>
            <w:gridSpan w:val="3"/>
            <w:vAlign w:val="center"/>
          </w:tcPr>
          <w:p>
            <w:pPr>
              <w:widowControl/>
              <w:snapToGrid w:val="0"/>
              <w:jc w:val="center"/>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销售收入（亿元）</w:t>
            </w:r>
          </w:p>
        </w:tc>
        <w:tc>
          <w:tcPr>
            <w:tcW w:w="1015" w:type="dxa"/>
            <w:gridSpan w:val="2"/>
            <w:vAlign w:val="center"/>
          </w:tcPr>
          <w:p>
            <w:pPr>
              <w:widowControl/>
              <w:snapToGrid w:val="0"/>
              <w:jc w:val="center"/>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利润总额（亿元）</w:t>
            </w:r>
          </w:p>
        </w:tc>
        <w:tc>
          <w:tcPr>
            <w:tcW w:w="1095" w:type="dxa"/>
            <w:gridSpan w:val="3"/>
            <w:vAlign w:val="center"/>
          </w:tcPr>
          <w:p>
            <w:pPr>
              <w:widowControl/>
              <w:snapToGrid w:val="0"/>
              <w:jc w:val="center"/>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出口额（亿元）</w:t>
            </w:r>
          </w:p>
        </w:tc>
        <w:tc>
          <w:tcPr>
            <w:tcW w:w="1073" w:type="dxa"/>
            <w:vAlign w:val="center"/>
          </w:tcPr>
          <w:p>
            <w:pPr>
              <w:widowControl/>
              <w:snapToGrid w:val="0"/>
              <w:jc w:val="center"/>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产能利用率（%）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78" w:hRule="atLeast"/>
          <w:jc w:val="center"/>
        </w:trPr>
        <w:tc>
          <w:tcPr>
            <w:tcW w:w="1152" w:type="dxa"/>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c>
          <w:tcPr>
            <w:tcW w:w="1166" w:type="dxa"/>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c>
          <w:tcPr>
            <w:tcW w:w="1045" w:type="dxa"/>
            <w:gridSpan w:val="2"/>
            <w:vAlign w:val="center"/>
          </w:tcPr>
          <w:p>
            <w:pPr>
              <w:widowControl/>
              <w:snapToGrid w:val="0"/>
              <w:jc w:val="center"/>
              <w:rPr>
                <w:rFonts w:hint="default" w:ascii="Times New Roman" w:hAnsi="Times New Roman" w:cs="Times New Roman"/>
                <w:color w:val="000000"/>
                <w:kern w:val="0"/>
                <w:szCs w:val="21"/>
                <w:highlight w:val="none"/>
              </w:rPr>
            </w:pPr>
          </w:p>
        </w:tc>
        <w:tc>
          <w:tcPr>
            <w:tcW w:w="1222" w:type="dxa"/>
            <w:vAlign w:val="center"/>
          </w:tcPr>
          <w:p>
            <w:pPr>
              <w:widowControl/>
              <w:snapToGrid w:val="0"/>
              <w:jc w:val="center"/>
              <w:rPr>
                <w:rFonts w:hint="default" w:ascii="Times New Roman" w:hAnsi="Times New Roman" w:cs="Times New Roman"/>
                <w:color w:val="000000"/>
                <w:kern w:val="0"/>
                <w:szCs w:val="21"/>
                <w:highlight w:val="none"/>
              </w:rPr>
            </w:pPr>
          </w:p>
        </w:tc>
        <w:tc>
          <w:tcPr>
            <w:tcW w:w="1045" w:type="dxa"/>
            <w:gridSpan w:val="3"/>
            <w:vAlign w:val="center"/>
          </w:tcPr>
          <w:p>
            <w:pPr>
              <w:widowControl/>
              <w:snapToGrid w:val="0"/>
              <w:jc w:val="center"/>
              <w:rPr>
                <w:rFonts w:hint="default" w:ascii="Times New Roman" w:hAnsi="Times New Roman" w:cs="Times New Roman"/>
                <w:color w:val="000000"/>
                <w:kern w:val="0"/>
                <w:szCs w:val="21"/>
                <w:highlight w:val="none"/>
              </w:rPr>
            </w:pPr>
          </w:p>
        </w:tc>
        <w:tc>
          <w:tcPr>
            <w:tcW w:w="1015" w:type="dxa"/>
            <w:gridSpan w:val="2"/>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c>
          <w:tcPr>
            <w:tcW w:w="1095" w:type="dxa"/>
            <w:gridSpan w:val="3"/>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c>
          <w:tcPr>
            <w:tcW w:w="1073" w:type="dxa"/>
            <w:vAlign w:val="center"/>
          </w:tcPr>
          <w:p>
            <w:pPr>
              <w:widowControl/>
              <w:snapToGrid w:val="0"/>
              <w:jc w:val="center"/>
              <w:rPr>
                <w:rFonts w:hint="default" w:ascii="Times New Roman" w:hAnsi="Times New Roman" w:cs="Times New Roman"/>
                <w:color w:val="000000"/>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0" w:hRule="atLeast"/>
          <w:jc w:val="center"/>
        </w:trPr>
        <w:tc>
          <w:tcPr>
            <w:tcW w:w="1152" w:type="dxa"/>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c>
          <w:tcPr>
            <w:tcW w:w="1166" w:type="dxa"/>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c>
          <w:tcPr>
            <w:tcW w:w="1045" w:type="dxa"/>
            <w:gridSpan w:val="2"/>
            <w:vAlign w:val="center"/>
          </w:tcPr>
          <w:p>
            <w:pPr>
              <w:widowControl/>
              <w:snapToGrid w:val="0"/>
              <w:jc w:val="center"/>
              <w:rPr>
                <w:rFonts w:hint="default" w:ascii="Times New Roman" w:hAnsi="Times New Roman" w:cs="Times New Roman"/>
                <w:color w:val="000000"/>
                <w:kern w:val="0"/>
                <w:szCs w:val="21"/>
                <w:highlight w:val="none"/>
              </w:rPr>
            </w:pPr>
          </w:p>
        </w:tc>
        <w:tc>
          <w:tcPr>
            <w:tcW w:w="1222" w:type="dxa"/>
            <w:vAlign w:val="center"/>
          </w:tcPr>
          <w:p>
            <w:pPr>
              <w:widowControl/>
              <w:snapToGrid w:val="0"/>
              <w:jc w:val="center"/>
              <w:rPr>
                <w:rFonts w:hint="default" w:ascii="Times New Roman" w:hAnsi="Times New Roman" w:cs="Times New Roman"/>
                <w:color w:val="000000"/>
                <w:kern w:val="0"/>
                <w:szCs w:val="21"/>
                <w:highlight w:val="none"/>
              </w:rPr>
            </w:pPr>
          </w:p>
        </w:tc>
        <w:tc>
          <w:tcPr>
            <w:tcW w:w="1045" w:type="dxa"/>
            <w:gridSpan w:val="3"/>
            <w:vAlign w:val="center"/>
          </w:tcPr>
          <w:p>
            <w:pPr>
              <w:widowControl/>
              <w:snapToGrid w:val="0"/>
              <w:jc w:val="center"/>
              <w:rPr>
                <w:rFonts w:hint="default" w:ascii="Times New Roman" w:hAnsi="Times New Roman" w:cs="Times New Roman"/>
                <w:color w:val="000000"/>
                <w:kern w:val="0"/>
                <w:szCs w:val="21"/>
                <w:highlight w:val="none"/>
              </w:rPr>
            </w:pPr>
          </w:p>
        </w:tc>
        <w:tc>
          <w:tcPr>
            <w:tcW w:w="1015" w:type="dxa"/>
            <w:gridSpan w:val="2"/>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c>
          <w:tcPr>
            <w:tcW w:w="1095" w:type="dxa"/>
            <w:gridSpan w:val="3"/>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c>
          <w:tcPr>
            <w:tcW w:w="1073" w:type="dxa"/>
            <w:vAlign w:val="center"/>
          </w:tcPr>
          <w:p>
            <w:pPr>
              <w:widowControl/>
              <w:snapToGrid w:val="0"/>
              <w:jc w:val="center"/>
              <w:rPr>
                <w:rFonts w:hint="default" w:ascii="Times New Roman" w:hAnsi="Times New Roman" w:cs="Times New Roman"/>
                <w:color w:val="000000"/>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0" w:hRule="atLeast"/>
          <w:jc w:val="center"/>
        </w:trPr>
        <w:tc>
          <w:tcPr>
            <w:tcW w:w="1152" w:type="dxa"/>
            <w:vAlign w:val="center"/>
          </w:tcPr>
          <w:p>
            <w:pPr>
              <w:widowControl/>
              <w:snapToGrid w:val="0"/>
              <w:jc w:val="center"/>
              <w:rPr>
                <w:rFonts w:hint="default" w:ascii="Times New Roman" w:hAnsi="Times New Roman" w:cs="Times New Roman"/>
                <w:color w:val="000000"/>
                <w:kern w:val="0"/>
                <w:szCs w:val="21"/>
                <w:highlight w:val="none"/>
              </w:rPr>
            </w:pPr>
          </w:p>
        </w:tc>
        <w:tc>
          <w:tcPr>
            <w:tcW w:w="1166" w:type="dxa"/>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c>
          <w:tcPr>
            <w:tcW w:w="1045" w:type="dxa"/>
            <w:gridSpan w:val="2"/>
            <w:vAlign w:val="center"/>
          </w:tcPr>
          <w:p>
            <w:pPr>
              <w:widowControl/>
              <w:snapToGrid w:val="0"/>
              <w:jc w:val="center"/>
              <w:rPr>
                <w:rFonts w:hint="default" w:ascii="Times New Roman" w:hAnsi="Times New Roman" w:cs="Times New Roman"/>
                <w:color w:val="000000"/>
                <w:kern w:val="0"/>
                <w:szCs w:val="21"/>
                <w:highlight w:val="none"/>
              </w:rPr>
            </w:pPr>
          </w:p>
        </w:tc>
        <w:tc>
          <w:tcPr>
            <w:tcW w:w="1222" w:type="dxa"/>
            <w:vAlign w:val="center"/>
          </w:tcPr>
          <w:p>
            <w:pPr>
              <w:widowControl/>
              <w:snapToGrid w:val="0"/>
              <w:jc w:val="center"/>
              <w:rPr>
                <w:rFonts w:hint="default" w:ascii="Times New Roman" w:hAnsi="Times New Roman" w:cs="Times New Roman"/>
                <w:color w:val="000000"/>
                <w:kern w:val="0"/>
                <w:szCs w:val="21"/>
                <w:highlight w:val="none"/>
              </w:rPr>
            </w:pPr>
          </w:p>
        </w:tc>
        <w:tc>
          <w:tcPr>
            <w:tcW w:w="1045" w:type="dxa"/>
            <w:gridSpan w:val="3"/>
            <w:vAlign w:val="center"/>
          </w:tcPr>
          <w:p>
            <w:pPr>
              <w:widowControl/>
              <w:snapToGrid w:val="0"/>
              <w:jc w:val="center"/>
              <w:rPr>
                <w:rFonts w:hint="default" w:ascii="Times New Roman" w:hAnsi="Times New Roman" w:cs="Times New Roman"/>
                <w:color w:val="000000"/>
                <w:kern w:val="0"/>
                <w:szCs w:val="21"/>
                <w:highlight w:val="none"/>
              </w:rPr>
            </w:pPr>
          </w:p>
        </w:tc>
        <w:tc>
          <w:tcPr>
            <w:tcW w:w="1015" w:type="dxa"/>
            <w:gridSpan w:val="2"/>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c>
          <w:tcPr>
            <w:tcW w:w="1095" w:type="dxa"/>
            <w:gridSpan w:val="3"/>
            <w:vAlign w:val="center"/>
          </w:tcPr>
          <w:p>
            <w:pPr>
              <w:widowControl/>
              <w:snapToGrid w:val="0"/>
              <w:jc w:val="center"/>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　</w:t>
            </w:r>
          </w:p>
        </w:tc>
        <w:tc>
          <w:tcPr>
            <w:tcW w:w="1073" w:type="dxa"/>
            <w:vAlign w:val="center"/>
          </w:tcPr>
          <w:p>
            <w:pPr>
              <w:widowControl/>
              <w:snapToGrid w:val="0"/>
              <w:jc w:val="center"/>
              <w:rPr>
                <w:rFonts w:hint="default" w:ascii="Times New Roman" w:hAnsi="Times New Roman" w:cs="Times New Roman"/>
                <w:color w:val="000000"/>
                <w:kern w:val="0"/>
                <w:szCs w:val="21"/>
                <w:highlight w:val="none"/>
              </w:rPr>
            </w:pPr>
          </w:p>
        </w:tc>
      </w:tr>
    </w:tbl>
    <w:p>
      <w:pPr>
        <w:widowControl/>
        <w:rPr>
          <w:rFonts w:hint="default" w:ascii="Times New Roman" w:hAnsi="Times New Roman" w:eastAsia="仿宋_GB2312" w:cs="Times New Roman"/>
          <w:sz w:val="28"/>
          <w:szCs w:val="28"/>
          <w:highlight w:val="none"/>
        </w:rPr>
      </w:pPr>
    </w:p>
    <w:p>
      <w:pPr>
        <w:widowControl/>
        <w:snapToGrid w:val="0"/>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br w:type="page"/>
      </w:r>
    </w:p>
    <w:p>
      <w:pPr>
        <w:widowControl/>
        <w:snapToGrid w:val="0"/>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二、重要考核指标情况</w:t>
      </w:r>
    </w:p>
    <w:tbl>
      <w:tblPr>
        <w:tblStyle w:val="8"/>
        <w:tblW w:w="90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989"/>
        <w:gridCol w:w="2989"/>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Align w:val="top"/>
          </w:tcPr>
          <w:p>
            <w:pPr>
              <w:widowControl/>
              <w:snapToGrid w:val="0"/>
              <w:jc w:val="center"/>
              <w:rPr>
                <w:rFonts w:hint="default" w:ascii="Times New Roman" w:hAnsi="Times New Roman" w:eastAsia="仿宋_GB2312" w:cs="Times New Roman"/>
                <w:sz w:val="24"/>
                <w:szCs w:val="24"/>
                <w:highlight w:val="none"/>
              </w:rPr>
            </w:pPr>
          </w:p>
        </w:tc>
        <w:tc>
          <w:tcPr>
            <w:tcW w:w="5978" w:type="dxa"/>
            <w:gridSpan w:val="2"/>
            <w:vAlign w:val="top"/>
          </w:tcPr>
          <w:p>
            <w:pPr>
              <w:widowControl/>
              <w:snapToGrid w:val="0"/>
              <w:jc w:val="center"/>
              <w:rPr>
                <w:rFonts w:hint="default" w:ascii="Times New Roman" w:hAnsi="Times New Roman" w:eastAsia="黑体" w:cs="Times New Roman"/>
                <w:sz w:val="24"/>
                <w:szCs w:val="24"/>
                <w:highlight w:val="none"/>
              </w:rPr>
            </w:pPr>
            <w:r>
              <w:rPr>
                <w:rFonts w:hint="default" w:ascii="Times New Roman" w:hAnsi="Times New Roman" w:eastAsia="仿宋_GB2312" w:cs="Times New Roman"/>
                <w:sz w:val="24"/>
                <w:szCs w:val="24"/>
                <w:highlight w:val="none"/>
              </w:rPr>
              <w:t>指  标</w:t>
            </w:r>
          </w:p>
        </w:tc>
        <w:tc>
          <w:tcPr>
            <w:tcW w:w="2312" w:type="dxa"/>
            <w:vAlign w:val="top"/>
          </w:tcPr>
          <w:p>
            <w:pPr>
              <w:widowControl/>
              <w:snapToGrid w:val="0"/>
              <w:jc w:val="center"/>
              <w:rPr>
                <w:rFonts w:hint="default" w:ascii="Times New Roman" w:hAnsi="Times New Roman" w:eastAsia="黑体" w:cs="Times New Roman"/>
                <w:sz w:val="24"/>
                <w:szCs w:val="24"/>
                <w:highlight w:val="none"/>
              </w:rPr>
            </w:pPr>
            <w:r>
              <w:rPr>
                <w:rFonts w:hint="default" w:ascii="Times New Roman" w:hAnsi="Times New Roman" w:eastAsia="仿宋_GB2312" w:cs="Times New Roman"/>
                <w:sz w:val="24"/>
                <w:szCs w:val="24"/>
                <w:highlight w:val="none"/>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743" w:type="dxa"/>
            <w:vAlign w:val="center"/>
          </w:tcPr>
          <w:p>
            <w:pPr>
              <w:widowControl/>
              <w:snapToGrid w:val="0"/>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创新</w:t>
            </w:r>
          </w:p>
          <w:p>
            <w:pPr>
              <w:widowControl/>
              <w:snapToGrid w:val="0"/>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水平</w:t>
            </w:r>
          </w:p>
        </w:tc>
        <w:tc>
          <w:tcPr>
            <w:tcW w:w="5978" w:type="dxa"/>
            <w:gridSpan w:val="2"/>
            <w:vAlign w:val="center"/>
          </w:tcPr>
          <w:p>
            <w:pPr>
              <w:widowControl/>
              <w:snapToGri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高技术产业增加值占工业增加值比重（%）</w:t>
            </w:r>
          </w:p>
        </w:tc>
        <w:tc>
          <w:tcPr>
            <w:tcW w:w="2312" w:type="dxa"/>
            <w:vAlign w:val="top"/>
          </w:tcPr>
          <w:p>
            <w:pPr>
              <w:widowControl/>
              <w:snapToGrid w:val="0"/>
              <w:rPr>
                <w:rFonts w:hint="default" w:ascii="Times New Roman" w:hAnsi="Times New Roman" w:eastAsia="黑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Merge w:val="restart"/>
            <w:vAlign w:val="center"/>
          </w:tcPr>
          <w:p>
            <w:pPr>
              <w:widowControl/>
              <w:snapToGrid w:val="0"/>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技术</w:t>
            </w:r>
          </w:p>
          <w:p>
            <w:pPr>
              <w:widowControl/>
              <w:snapToGrid w:val="0"/>
              <w:jc w:val="center"/>
              <w:rPr>
                <w:rFonts w:hint="default" w:ascii="Times New Roman" w:hAnsi="Times New Roman" w:eastAsia="仿宋_GB2312" w:cs="Times New Roman"/>
                <w:color w:val="000000"/>
                <w:kern w:val="0"/>
                <w:sz w:val="24"/>
                <w:szCs w:val="24"/>
                <w:highlight w:val="none"/>
              </w:rPr>
            </w:pPr>
            <w:r>
              <w:rPr>
                <w:rFonts w:hint="default" w:ascii="Times New Roman" w:hAnsi="Times New Roman" w:eastAsia="仿宋_GB2312" w:cs="Times New Roman"/>
                <w:color w:val="000000"/>
                <w:kern w:val="0"/>
                <w:sz w:val="24"/>
                <w:szCs w:val="24"/>
                <w:highlight w:val="none"/>
              </w:rPr>
              <w:t>改造</w:t>
            </w:r>
          </w:p>
        </w:tc>
        <w:tc>
          <w:tcPr>
            <w:tcW w:w="5978" w:type="dxa"/>
            <w:gridSpan w:val="2"/>
            <w:vAlign w:val="top"/>
          </w:tcPr>
          <w:p>
            <w:pPr>
              <w:widowControl/>
              <w:snapToGrid w:val="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color w:val="000000"/>
                <w:kern w:val="0"/>
                <w:sz w:val="24"/>
                <w:szCs w:val="24"/>
                <w:highlight w:val="none"/>
              </w:rPr>
              <w:t>工业增加值占全省比重（%）</w:t>
            </w:r>
          </w:p>
        </w:tc>
        <w:tc>
          <w:tcPr>
            <w:tcW w:w="2312" w:type="dxa"/>
            <w:vAlign w:val="top"/>
          </w:tcPr>
          <w:p>
            <w:pPr>
              <w:widowControl/>
              <w:snapToGrid w:val="0"/>
              <w:rPr>
                <w:rFonts w:hint="default" w:ascii="Times New Roman" w:hAnsi="Times New Roman" w:eastAsia="黑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Merge w:val="continue"/>
            <w:vAlign w:val="center"/>
          </w:tcPr>
          <w:p>
            <w:pPr>
              <w:widowControl/>
              <w:snapToGrid w:val="0"/>
              <w:jc w:val="center"/>
              <w:rPr>
                <w:rFonts w:hint="default" w:ascii="Times New Roman" w:hAnsi="Times New Roman" w:eastAsia="仿宋_GB2312" w:cs="Times New Roman"/>
                <w:sz w:val="24"/>
                <w:szCs w:val="24"/>
                <w:highlight w:val="none"/>
              </w:rPr>
            </w:pPr>
          </w:p>
        </w:tc>
        <w:tc>
          <w:tcPr>
            <w:tcW w:w="5978" w:type="dxa"/>
            <w:gridSpan w:val="2"/>
            <w:vAlign w:val="top"/>
          </w:tcPr>
          <w:p>
            <w:pPr>
              <w:widowControl/>
              <w:snapToGrid w:val="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技术改造投资占工业投资比重（%）</w:t>
            </w:r>
          </w:p>
        </w:tc>
        <w:tc>
          <w:tcPr>
            <w:tcW w:w="2312" w:type="dxa"/>
            <w:vAlign w:val="top"/>
          </w:tcPr>
          <w:p>
            <w:pPr>
              <w:widowControl/>
              <w:snapToGrid w:val="0"/>
              <w:rPr>
                <w:rFonts w:hint="default" w:ascii="Times New Roman" w:hAnsi="Times New Roman" w:eastAsia="黑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Merge w:val="continue"/>
            <w:vAlign w:val="center"/>
          </w:tcPr>
          <w:p>
            <w:pPr>
              <w:widowControl/>
              <w:snapToGrid w:val="0"/>
              <w:jc w:val="center"/>
              <w:rPr>
                <w:rFonts w:hint="default" w:ascii="Times New Roman" w:hAnsi="Times New Roman" w:eastAsia="仿宋_GB2312" w:cs="Times New Roman"/>
                <w:sz w:val="24"/>
                <w:szCs w:val="24"/>
                <w:highlight w:val="none"/>
              </w:rPr>
            </w:pPr>
          </w:p>
        </w:tc>
        <w:tc>
          <w:tcPr>
            <w:tcW w:w="5978" w:type="dxa"/>
            <w:gridSpan w:val="2"/>
            <w:vAlign w:val="top"/>
          </w:tcPr>
          <w:p>
            <w:pPr>
              <w:widowControl/>
              <w:snapToGrid w:val="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color w:val="000000"/>
                <w:sz w:val="24"/>
                <w:szCs w:val="24"/>
                <w:highlight w:val="none"/>
              </w:rPr>
              <w:t>技术改造投资增速（%）</w:t>
            </w:r>
          </w:p>
        </w:tc>
        <w:tc>
          <w:tcPr>
            <w:tcW w:w="2312" w:type="dxa"/>
            <w:vAlign w:val="top"/>
          </w:tcPr>
          <w:p>
            <w:pPr>
              <w:widowControl/>
              <w:snapToGrid w:val="0"/>
              <w:rPr>
                <w:rFonts w:hint="default" w:ascii="Times New Roman" w:hAnsi="Times New Roman" w:eastAsia="黑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Merge w:val="restart"/>
            <w:vAlign w:val="center"/>
          </w:tcPr>
          <w:p>
            <w:pPr>
              <w:widowControl/>
              <w:snapToGrid w:val="0"/>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五大</w:t>
            </w:r>
          </w:p>
          <w:p>
            <w:pPr>
              <w:widowControl/>
              <w:snapToGrid w:val="0"/>
              <w:jc w:val="center"/>
              <w:rPr>
                <w:rFonts w:hint="default" w:ascii="Times New Roman" w:hAnsi="Times New Roman" w:cs="Times New Roman"/>
                <w:sz w:val="24"/>
                <w:szCs w:val="24"/>
                <w:highlight w:val="none"/>
              </w:rPr>
            </w:pPr>
            <w:r>
              <w:rPr>
                <w:rFonts w:hint="default" w:ascii="Times New Roman" w:hAnsi="Times New Roman" w:eastAsia="仿宋_GB2312" w:cs="Times New Roman"/>
                <w:sz w:val="24"/>
                <w:szCs w:val="24"/>
                <w:highlight w:val="none"/>
              </w:rPr>
              <w:t>工程</w:t>
            </w:r>
          </w:p>
        </w:tc>
        <w:tc>
          <w:tcPr>
            <w:tcW w:w="2989" w:type="dxa"/>
            <w:vMerge w:val="restart"/>
            <w:vAlign w:val="center"/>
          </w:tcPr>
          <w:p>
            <w:pPr>
              <w:widowControl/>
              <w:snapToGrid w:val="0"/>
              <w:jc w:val="both"/>
              <w:rPr>
                <w:rFonts w:hint="default" w:ascii="Times New Roman" w:hAnsi="Times New Roman" w:cs="Times New Roman"/>
                <w:sz w:val="24"/>
                <w:szCs w:val="24"/>
                <w:highlight w:val="none"/>
              </w:rPr>
            </w:pPr>
            <w:r>
              <w:rPr>
                <w:rFonts w:hint="default" w:ascii="Times New Roman" w:hAnsi="Times New Roman" w:eastAsia="仿宋_GB2312" w:cs="Times New Roman"/>
                <w:sz w:val="24"/>
                <w:szCs w:val="24"/>
                <w:highlight w:val="none"/>
              </w:rPr>
              <w:t>制造业创新中心</w:t>
            </w:r>
          </w:p>
        </w:tc>
        <w:tc>
          <w:tcPr>
            <w:tcW w:w="2989" w:type="dxa"/>
            <w:vAlign w:val="center"/>
          </w:tcPr>
          <w:p>
            <w:pPr>
              <w:widowControl/>
              <w:snapToGri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国家级（个）</w:t>
            </w:r>
          </w:p>
        </w:tc>
        <w:tc>
          <w:tcPr>
            <w:tcW w:w="2312" w:type="dxa"/>
            <w:vAlign w:val="top"/>
          </w:tcPr>
          <w:p>
            <w:pPr>
              <w:widowControl/>
              <w:snapToGrid w:val="0"/>
              <w:rPr>
                <w:rFonts w:hint="default" w:ascii="Times New Roman" w:hAnsi="Times New Roman" w:eastAsia="黑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Merge w:val="continue"/>
            <w:vAlign w:val="center"/>
          </w:tcPr>
          <w:p>
            <w:pPr>
              <w:widowControl/>
              <w:snapToGrid w:val="0"/>
              <w:jc w:val="center"/>
              <w:rPr>
                <w:rFonts w:hint="default" w:ascii="Times New Roman" w:hAnsi="Times New Roman" w:eastAsia="仿宋_GB2312" w:cs="Times New Roman"/>
                <w:sz w:val="24"/>
                <w:szCs w:val="24"/>
                <w:highlight w:val="none"/>
              </w:rPr>
            </w:pPr>
          </w:p>
        </w:tc>
        <w:tc>
          <w:tcPr>
            <w:tcW w:w="2989" w:type="dxa"/>
            <w:vMerge w:val="continue"/>
            <w:vAlign w:val="top"/>
          </w:tcPr>
          <w:p>
            <w:pPr>
              <w:widowControl/>
              <w:snapToGrid w:val="0"/>
              <w:rPr>
                <w:rFonts w:hint="default" w:ascii="Times New Roman" w:hAnsi="Times New Roman" w:cs="Times New Roman"/>
                <w:sz w:val="24"/>
                <w:szCs w:val="24"/>
                <w:highlight w:val="none"/>
              </w:rPr>
            </w:pPr>
          </w:p>
        </w:tc>
        <w:tc>
          <w:tcPr>
            <w:tcW w:w="2989" w:type="dxa"/>
            <w:vAlign w:val="center"/>
          </w:tcPr>
          <w:p>
            <w:pPr>
              <w:widowControl/>
              <w:snapToGri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省</w:t>
            </w:r>
            <w:r>
              <w:rPr>
                <w:rFonts w:hint="eastAsia" w:ascii="Times New Roman" w:hAnsi="Times New Roman" w:eastAsia="仿宋_GB2312" w:cs="Times New Roman"/>
                <w:sz w:val="24"/>
                <w:szCs w:val="24"/>
                <w:highlight w:val="none"/>
                <w:lang w:val="en-US" w:eastAsia="zh-CN"/>
              </w:rPr>
              <w:t xml:space="preserve">  </w:t>
            </w:r>
            <w:r>
              <w:rPr>
                <w:rFonts w:hint="default" w:ascii="Times New Roman" w:hAnsi="Times New Roman" w:eastAsia="仿宋_GB2312" w:cs="Times New Roman"/>
                <w:sz w:val="24"/>
                <w:szCs w:val="24"/>
                <w:highlight w:val="none"/>
              </w:rPr>
              <w:t>级</w:t>
            </w:r>
            <w:r>
              <w:rPr>
                <w:rFonts w:hint="default" w:ascii="Times New Roman" w:hAnsi="Times New Roman" w:eastAsia="仿宋_GB2312" w:cs="Times New Roman"/>
                <w:sz w:val="24"/>
                <w:szCs w:val="24"/>
                <w:highlight w:val="none"/>
                <w:lang w:eastAsia="zh-CN"/>
              </w:rPr>
              <w:t>（</w:t>
            </w:r>
            <w:r>
              <w:rPr>
                <w:rFonts w:hint="default" w:ascii="Times New Roman" w:hAnsi="Times New Roman" w:cs="Times New Roman"/>
                <w:sz w:val="24"/>
                <w:szCs w:val="24"/>
                <w:highlight w:val="none"/>
              </w:rPr>
              <w:t>个）</w:t>
            </w:r>
          </w:p>
        </w:tc>
        <w:tc>
          <w:tcPr>
            <w:tcW w:w="2312" w:type="dxa"/>
            <w:vAlign w:val="top"/>
          </w:tcPr>
          <w:p>
            <w:pPr>
              <w:widowControl/>
              <w:snapToGrid w:val="0"/>
              <w:rPr>
                <w:rFonts w:hint="default" w:ascii="Times New Roman" w:hAnsi="Times New Roman" w:eastAsia="黑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743" w:type="dxa"/>
            <w:vMerge w:val="continue"/>
            <w:vAlign w:val="top"/>
          </w:tcPr>
          <w:p>
            <w:pPr>
              <w:widowControl/>
              <w:snapToGrid w:val="0"/>
              <w:rPr>
                <w:rFonts w:hint="default" w:ascii="Times New Roman" w:hAnsi="Times New Roman" w:eastAsia="仿宋_GB2312" w:cs="Times New Roman"/>
                <w:sz w:val="24"/>
                <w:szCs w:val="24"/>
                <w:highlight w:val="none"/>
              </w:rPr>
            </w:pPr>
          </w:p>
        </w:tc>
        <w:tc>
          <w:tcPr>
            <w:tcW w:w="2989" w:type="dxa"/>
            <w:vMerge w:val="restart"/>
            <w:vAlign w:val="center"/>
          </w:tcPr>
          <w:p>
            <w:pPr>
              <w:widowControl/>
              <w:snapToGri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智能制造工程项目</w:t>
            </w:r>
          </w:p>
        </w:tc>
        <w:tc>
          <w:tcPr>
            <w:tcW w:w="2989" w:type="dxa"/>
            <w:vAlign w:val="center"/>
          </w:tcPr>
          <w:p>
            <w:pPr>
              <w:widowControl/>
              <w:snapToGri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国家级（个）</w:t>
            </w:r>
          </w:p>
        </w:tc>
        <w:tc>
          <w:tcPr>
            <w:tcW w:w="2312" w:type="dxa"/>
            <w:vAlign w:val="top"/>
          </w:tcPr>
          <w:p>
            <w:pPr>
              <w:widowControl/>
              <w:snapToGrid w:val="0"/>
              <w:rPr>
                <w:rFonts w:hint="default" w:ascii="Times New Roman" w:hAnsi="Times New Roman" w:eastAsia="黑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743" w:type="dxa"/>
            <w:vMerge w:val="continue"/>
            <w:vAlign w:val="top"/>
          </w:tcPr>
          <w:p>
            <w:pPr>
              <w:widowControl/>
              <w:snapToGrid w:val="0"/>
              <w:rPr>
                <w:highlight w:val="none"/>
              </w:rPr>
            </w:pPr>
          </w:p>
        </w:tc>
        <w:tc>
          <w:tcPr>
            <w:tcW w:w="2989" w:type="dxa"/>
            <w:vMerge w:val="continue"/>
            <w:vAlign w:val="top"/>
          </w:tcPr>
          <w:p>
            <w:pPr>
              <w:widowControl/>
              <w:snapToGrid w:val="0"/>
              <w:rPr>
                <w:highlight w:val="none"/>
              </w:rPr>
            </w:pPr>
          </w:p>
        </w:tc>
        <w:tc>
          <w:tcPr>
            <w:tcW w:w="2989" w:type="dxa"/>
            <w:vAlign w:val="center"/>
          </w:tcPr>
          <w:p>
            <w:pPr>
              <w:widowControl/>
              <w:snapToGri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省</w:t>
            </w:r>
            <w:r>
              <w:rPr>
                <w:rFonts w:hint="eastAsia" w:ascii="Times New Roman" w:hAnsi="Times New Roman" w:eastAsia="仿宋_GB2312" w:cs="Times New Roman"/>
                <w:sz w:val="24"/>
                <w:szCs w:val="24"/>
                <w:highlight w:val="none"/>
                <w:lang w:val="en-US" w:eastAsia="zh-CN"/>
              </w:rPr>
              <w:t xml:space="preserve">  </w:t>
            </w:r>
            <w:r>
              <w:rPr>
                <w:rFonts w:hint="default" w:ascii="Times New Roman" w:hAnsi="Times New Roman" w:eastAsia="仿宋_GB2312" w:cs="Times New Roman"/>
                <w:sz w:val="24"/>
                <w:szCs w:val="24"/>
                <w:highlight w:val="none"/>
              </w:rPr>
              <w:t>级</w:t>
            </w:r>
            <w:r>
              <w:rPr>
                <w:rFonts w:hint="default" w:ascii="Times New Roman" w:hAnsi="Times New Roman" w:eastAsia="仿宋_GB2312" w:cs="Times New Roman"/>
                <w:sz w:val="24"/>
                <w:szCs w:val="24"/>
                <w:highlight w:val="none"/>
                <w:lang w:eastAsia="zh-CN"/>
              </w:rPr>
              <w:t>（</w:t>
            </w:r>
            <w:r>
              <w:rPr>
                <w:rFonts w:hint="default" w:ascii="Times New Roman" w:hAnsi="Times New Roman" w:cs="Times New Roman"/>
                <w:sz w:val="24"/>
                <w:szCs w:val="24"/>
                <w:highlight w:val="none"/>
              </w:rPr>
              <w:t>个）</w:t>
            </w:r>
          </w:p>
        </w:tc>
        <w:tc>
          <w:tcPr>
            <w:tcW w:w="2312" w:type="dxa"/>
            <w:vAlign w:val="top"/>
          </w:tcPr>
          <w:p>
            <w:pPr>
              <w:widowControl/>
              <w:snapToGrid w:val="0"/>
              <w:rPr>
                <w:rFonts w:hint="default" w:ascii="Times New Roman" w:hAnsi="Times New Roman" w:eastAsia="仿宋_GB2312"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743" w:type="dxa"/>
            <w:vMerge w:val="continue"/>
            <w:vAlign w:val="top"/>
          </w:tcPr>
          <w:p>
            <w:pPr>
              <w:widowControl/>
              <w:snapToGrid w:val="0"/>
              <w:rPr>
                <w:rFonts w:hint="default" w:ascii="Times New Roman" w:hAnsi="Times New Roman" w:eastAsia="仿宋_GB2312" w:cs="Times New Roman"/>
                <w:sz w:val="24"/>
                <w:szCs w:val="24"/>
                <w:highlight w:val="none"/>
              </w:rPr>
            </w:pPr>
          </w:p>
        </w:tc>
        <w:tc>
          <w:tcPr>
            <w:tcW w:w="2989" w:type="dxa"/>
            <w:vMerge w:val="restart"/>
            <w:vAlign w:val="center"/>
          </w:tcPr>
          <w:p>
            <w:pPr>
              <w:widowControl/>
              <w:snapToGri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工业强基工程项目</w:t>
            </w:r>
          </w:p>
        </w:tc>
        <w:tc>
          <w:tcPr>
            <w:tcW w:w="2989" w:type="dxa"/>
            <w:vAlign w:val="center"/>
          </w:tcPr>
          <w:p>
            <w:pPr>
              <w:widowControl/>
              <w:snapToGri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国家级（个）</w:t>
            </w:r>
          </w:p>
        </w:tc>
        <w:tc>
          <w:tcPr>
            <w:tcW w:w="2312" w:type="dxa"/>
            <w:vAlign w:val="top"/>
          </w:tcPr>
          <w:p>
            <w:pPr>
              <w:widowControl/>
              <w:snapToGrid w:val="0"/>
              <w:rPr>
                <w:rFonts w:hint="default" w:ascii="Times New Roman" w:hAnsi="Times New Roman" w:eastAsia="黑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743" w:type="dxa"/>
            <w:vMerge w:val="continue"/>
            <w:vAlign w:val="top"/>
          </w:tcPr>
          <w:p>
            <w:pPr>
              <w:widowControl/>
              <w:snapToGrid w:val="0"/>
              <w:rPr>
                <w:highlight w:val="none"/>
              </w:rPr>
            </w:pPr>
          </w:p>
        </w:tc>
        <w:tc>
          <w:tcPr>
            <w:tcW w:w="2989" w:type="dxa"/>
            <w:vMerge w:val="continue"/>
            <w:vAlign w:val="top"/>
          </w:tcPr>
          <w:p>
            <w:pPr>
              <w:widowControl/>
              <w:snapToGrid w:val="0"/>
              <w:rPr>
                <w:highlight w:val="none"/>
              </w:rPr>
            </w:pPr>
          </w:p>
        </w:tc>
        <w:tc>
          <w:tcPr>
            <w:tcW w:w="2989" w:type="dxa"/>
            <w:vAlign w:val="center"/>
          </w:tcPr>
          <w:p>
            <w:pPr>
              <w:widowControl/>
              <w:snapToGri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省</w:t>
            </w:r>
            <w:r>
              <w:rPr>
                <w:rFonts w:hint="eastAsia" w:ascii="Times New Roman" w:hAnsi="Times New Roman" w:eastAsia="仿宋_GB2312" w:cs="Times New Roman"/>
                <w:sz w:val="24"/>
                <w:szCs w:val="24"/>
                <w:highlight w:val="none"/>
                <w:lang w:val="en-US" w:eastAsia="zh-CN"/>
              </w:rPr>
              <w:t xml:space="preserve">  </w:t>
            </w:r>
            <w:r>
              <w:rPr>
                <w:rFonts w:hint="default" w:ascii="Times New Roman" w:hAnsi="Times New Roman" w:eastAsia="仿宋_GB2312" w:cs="Times New Roman"/>
                <w:sz w:val="24"/>
                <w:szCs w:val="24"/>
                <w:highlight w:val="none"/>
              </w:rPr>
              <w:t>级</w:t>
            </w:r>
            <w:r>
              <w:rPr>
                <w:rFonts w:hint="default" w:ascii="Times New Roman" w:hAnsi="Times New Roman" w:eastAsia="仿宋_GB2312" w:cs="Times New Roman"/>
                <w:sz w:val="24"/>
                <w:szCs w:val="24"/>
                <w:highlight w:val="none"/>
                <w:lang w:eastAsia="zh-CN"/>
              </w:rPr>
              <w:t>（</w:t>
            </w:r>
            <w:r>
              <w:rPr>
                <w:rFonts w:hint="default" w:ascii="Times New Roman" w:hAnsi="Times New Roman" w:cs="Times New Roman"/>
                <w:sz w:val="24"/>
                <w:szCs w:val="24"/>
                <w:highlight w:val="none"/>
              </w:rPr>
              <w:t>个）</w:t>
            </w:r>
          </w:p>
        </w:tc>
        <w:tc>
          <w:tcPr>
            <w:tcW w:w="2312" w:type="dxa"/>
            <w:vAlign w:val="top"/>
          </w:tcPr>
          <w:p>
            <w:pPr>
              <w:widowControl/>
              <w:snapToGrid w:val="0"/>
              <w:rPr>
                <w:rFonts w:hint="default" w:ascii="Times New Roman" w:hAnsi="Times New Roman" w:eastAsia="仿宋_GB2312"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743" w:type="dxa"/>
            <w:vMerge w:val="continue"/>
            <w:vAlign w:val="top"/>
          </w:tcPr>
          <w:p>
            <w:pPr>
              <w:widowControl/>
              <w:snapToGrid w:val="0"/>
              <w:rPr>
                <w:rFonts w:hint="default" w:ascii="Times New Roman" w:hAnsi="Times New Roman" w:eastAsia="仿宋_GB2312" w:cs="Times New Roman"/>
                <w:sz w:val="24"/>
                <w:szCs w:val="24"/>
                <w:highlight w:val="none"/>
              </w:rPr>
            </w:pPr>
          </w:p>
        </w:tc>
        <w:tc>
          <w:tcPr>
            <w:tcW w:w="2989" w:type="dxa"/>
            <w:vMerge w:val="restart"/>
            <w:vAlign w:val="center"/>
          </w:tcPr>
          <w:p>
            <w:pPr>
              <w:widowControl/>
              <w:snapToGri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绿色制造工程项目</w:t>
            </w:r>
          </w:p>
        </w:tc>
        <w:tc>
          <w:tcPr>
            <w:tcW w:w="2989" w:type="dxa"/>
            <w:vAlign w:val="center"/>
          </w:tcPr>
          <w:p>
            <w:pPr>
              <w:widowControl/>
              <w:snapToGri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国家级（个）</w:t>
            </w:r>
          </w:p>
        </w:tc>
        <w:tc>
          <w:tcPr>
            <w:tcW w:w="2312" w:type="dxa"/>
            <w:vAlign w:val="top"/>
          </w:tcPr>
          <w:p>
            <w:pPr>
              <w:widowControl/>
              <w:snapToGrid w:val="0"/>
              <w:rPr>
                <w:rFonts w:hint="default" w:ascii="Times New Roman" w:hAnsi="Times New Roman" w:eastAsia="黑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743" w:type="dxa"/>
            <w:vMerge w:val="continue"/>
            <w:vAlign w:val="top"/>
          </w:tcPr>
          <w:p>
            <w:pPr>
              <w:widowControl/>
              <w:snapToGrid w:val="0"/>
              <w:rPr>
                <w:highlight w:val="none"/>
              </w:rPr>
            </w:pPr>
          </w:p>
        </w:tc>
        <w:tc>
          <w:tcPr>
            <w:tcW w:w="2989" w:type="dxa"/>
            <w:vMerge w:val="continue"/>
            <w:vAlign w:val="top"/>
          </w:tcPr>
          <w:p>
            <w:pPr>
              <w:widowControl/>
              <w:snapToGrid w:val="0"/>
              <w:rPr>
                <w:highlight w:val="none"/>
              </w:rPr>
            </w:pPr>
          </w:p>
        </w:tc>
        <w:tc>
          <w:tcPr>
            <w:tcW w:w="2989" w:type="dxa"/>
            <w:vAlign w:val="center"/>
          </w:tcPr>
          <w:p>
            <w:pPr>
              <w:widowControl/>
              <w:snapToGri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省</w:t>
            </w:r>
            <w:r>
              <w:rPr>
                <w:rFonts w:hint="eastAsia" w:ascii="Times New Roman" w:hAnsi="Times New Roman" w:eastAsia="仿宋_GB2312" w:cs="Times New Roman"/>
                <w:sz w:val="24"/>
                <w:szCs w:val="24"/>
                <w:highlight w:val="none"/>
                <w:lang w:val="en-US" w:eastAsia="zh-CN"/>
              </w:rPr>
              <w:t xml:space="preserve">  </w:t>
            </w:r>
            <w:r>
              <w:rPr>
                <w:rFonts w:hint="default" w:ascii="Times New Roman" w:hAnsi="Times New Roman" w:eastAsia="仿宋_GB2312" w:cs="Times New Roman"/>
                <w:sz w:val="24"/>
                <w:szCs w:val="24"/>
                <w:highlight w:val="none"/>
              </w:rPr>
              <w:t>级</w:t>
            </w:r>
            <w:r>
              <w:rPr>
                <w:rFonts w:hint="default" w:ascii="Times New Roman" w:hAnsi="Times New Roman" w:eastAsia="仿宋_GB2312" w:cs="Times New Roman"/>
                <w:sz w:val="24"/>
                <w:szCs w:val="24"/>
                <w:highlight w:val="none"/>
                <w:lang w:eastAsia="zh-CN"/>
              </w:rPr>
              <w:t>（</w:t>
            </w:r>
            <w:r>
              <w:rPr>
                <w:rFonts w:hint="default" w:ascii="Times New Roman" w:hAnsi="Times New Roman" w:cs="Times New Roman"/>
                <w:sz w:val="24"/>
                <w:szCs w:val="24"/>
                <w:highlight w:val="none"/>
              </w:rPr>
              <w:t>个）</w:t>
            </w:r>
          </w:p>
        </w:tc>
        <w:tc>
          <w:tcPr>
            <w:tcW w:w="2312" w:type="dxa"/>
            <w:vAlign w:val="top"/>
          </w:tcPr>
          <w:p>
            <w:pPr>
              <w:widowControl/>
              <w:snapToGrid w:val="0"/>
              <w:rPr>
                <w:rFonts w:hint="default" w:ascii="Times New Roman" w:hAnsi="Times New Roman" w:eastAsia="仿宋_GB2312"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743" w:type="dxa"/>
            <w:vMerge w:val="continue"/>
            <w:vAlign w:val="top"/>
          </w:tcPr>
          <w:p>
            <w:pPr>
              <w:widowControl/>
              <w:snapToGrid w:val="0"/>
              <w:rPr>
                <w:rFonts w:hint="default" w:ascii="Times New Roman" w:hAnsi="Times New Roman" w:eastAsia="仿宋_GB2312" w:cs="Times New Roman"/>
                <w:sz w:val="24"/>
                <w:szCs w:val="24"/>
                <w:highlight w:val="none"/>
              </w:rPr>
            </w:pPr>
          </w:p>
        </w:tc>
        <w:tc>
          <w:tcPr>
            <w:tcW w:w="2989" w:type="dxa"/>
            <w:vMerge w:val="restart"/>
            <w:vAlign w:val="center"/>
          </w:tcPr>
          <w:p>
            <w:pPr>
              <w:widowControl/>
              <w:snapToGri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高端装备创新工程项目</w:t>
            </w:r>
          </w:p>
        </w:tc>
        <w:tc>
          <w:tcPr>
            <w:tcW w:w="2989" w:type="dxa"/>
            <w:vAlign w:val="center"/>
          </w:tcPr>
          <w:p>
            <w:pPr>
              <w:widowControl/>
              <w:snapToGri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国家级（个）</w:t>
            </w:r>
          </w:p>
        </w:tc>
        <w:tc>
          <w:tcPr>
            <w:tcW w:w="2312" w:type="dxa"/>
            <w:vAlign w:val="top"/>
          </w:tcPr>
          <w:p>
            <w:pPr>
              <w:widowControl/>
              <w:snapToGrid w:val="0"/>
              <w:rPr>
                <w:rFonts w:hint="default" w:ascii="Times New Roman" w:hAnsi="Times New Roman" w:eastAsia="黑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743" w:type="dxa"/>
            <w:vMerge w:val="continue"/>
            <w:vAlign w:val="top"/>
          </w:tcPr>
          <w:p>
            <w:pPr>
              <w:widowControl/>
              <w:snapToGrid w:val="0"/>
              <w:rPr>
                <w:highlight w:val="none"/>
              </w:rPr>
            </w:pPr>
          </w:p>
        </w:tc>
        <w:tc>
          <w:tcPr>
            <w:tcW w:w="2989" w:type="dxa"/>
            <w:vMerge w:val="continue"/>
            <w:vAlign w:val="top"/>
          </w:tcPr>
          <w:p>
            <w:pPr>
              <w:widowControl/>
              <w:snapToGrid w:val="0"/>
              <w:rPr>
                <w:highlight w:val="none"/>
              </w:rPr>
            </w:pPr>
          </w:p>
        </w:tc>
        <w:tc>
          <w:tcPr>
            <w:tcW w:w="2989" w:type="dxa"/>
            <w:vAlign w:val="center"/>
          </w:tcPr>
          <w:p>
            <w:pPr>
              <w:widowControl/>
              <w:snapToGri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省</w:t>
            </w:r>
            <w:r>
              <w:rPr>
                <w:rFonts w:hint="eastAsia" w:ascii="Times New Roman" w:hAnsi="Times New Roman" w:eastAsia="仿宋_GB2312" w:cs="Times New Roman"/>
                <w:sz w:val="24"/>
                <w:szCs w:val="24"/>
                <w:highlight w:val="none"/>
                <w:lang w:val="en-US" w:eastAsia="zh-CN"/>
              </w:rPr>
              <w:t xml:space="preserve">  </w:t>
            </w:r>
            <w:r>
              <w:rPr>
                <w:rFonts w:hint="default" w:ascii="Times New Roman" w:hAnsi="Times New Roman" w:eastAsia="仿宋_GB2312" w:cs="Times New Roman"/>
                <w:sz w:val="24"/>
                <w:szCs w:val="24"/>
                <w:highlight w:val="none"/>
              </w:rPr>
              <w:t>级</w:t>
            </w:r>
            <w:r>
              <w:rPr>
                <w:rFonts w:hint="default" w:ascii="Times New Roman" w:hAnsi="Times New Roman" w:eastAsia="仿宋_GB2312" w:cs="Times New Roman"/>
                <w:sz w:val="24"/>
                <w:szCs w:val="24"/>
                <w:highlight w:val="none"/>
                <w:lang w:eastAsia="zh-CN"/>
              </w:rPr>
              <w:t>（</w:t>
            </w:r>
            <w:r>
              <w:rPr>
                <w:rFonts w:hint="default" w:ascii="Times New Roman" w:hAnsi="Times New Roman" w:cs="Times New Roman"/>
                <w:sz w:val="24"/>
                <w:szCs w:val="24"/>
                <w:highlight w:val="none"/>
              </w:rPr>
              <w:t>个）</w:t>
            </w:r>
          </w:p>
        </w:tc>
        <w:tc>
          <w:tcPr>
            <w:tcW w:w="2312" w:type="dxa"/>
            <w:vAlign w:val="top"/>
          </w:tcPr>
          <w:p>
            <w:pPr>
              <w:widowControl/>
              <w:snapToGrid w:val="0"/>
              <w:rPr>
                <w:rFonts w:hint="default" w:ascii="Times New Roman" w:hAnsi="Times New Roman" w:eastAsia="仿宋_GB2312"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Merge w:val="restart"/>
            <w:vAlign w:val="top"/>
          </w:tcPr>
          <w:p>
            <w:pPr>
              <w:widowControl/>
              <w:snapToGrid w:val="0"/>
              <w:jc w:val="center"/>
              <w:rPr>
                <w:rFonts w:hint="default" w:ascii="Times New Roman" w:hAnsi="Times New Roman" w:eastAsia="仿宋_GB2312" w:cs="Times New Roman"/>
                <w:sz w:val="24"/>
                <w:szCs w:val="24"/>
                <w:highlight w:val="none"/>
              </w:rPr>
            </w:pPr>
          </w:p>
          <w:p>
            <w:pPr>
              <w:widowControl/>
              <w:snapToGrid w:val="0"/>
              <w:jc w:val="center"/>
              <w:rPr>
                <w:rFonts w:hint="default" w:ascii="Times New Roman" w:hAnsi="Times New Roman" w:eastAsia="仿宋_GB2312" w:cs="Times New Roman"/>
                <w:sz w:val="24"/>
                <w:szCs w:val="24"/>
                <w:highlight w:val="none"/>
              </w:rPr>
            </w:pPr>
          </w:p>
          <w:p>
            <w:pPr>
              <w:widowControl/>
              <w:snapToGrid w:val="0"/>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重点领域</w:t>
            </w:r>
          </w:p>
        </w:tc>
        <w:tc>
          <w:tcPr>
            <w:tcW w:w="5978" w:type="dxa"/>
            <w:gridSpan w:val="2"/>
            <w:vAlign w:val="top"/>
          </w:tcPr>
          <w:p>
            <w:pPr>
              <w:widowControl/>
              <w:snapToGrid w:val="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国家新型工业化产业示范基地数量（个）</w:t>
            </w:r>
          </w:p>
        </w:tc>
        <w:tc>
          <w:tcPr>
            <w:tcW w:w="2312" w:type="dxa"/>
            <w:vAlign w:val="top"/>
          </w:tcPr>
          <w:p>
            <w:pPr>
              <w:widowControl/>
              <w:snapToGrid w:val="0"/>
              <w:rPr>
                <w:rFonts w:hint="default" w:ascii="Times New Roman" w:hAnsi="Times New Roman" w:eastAsia="黑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Merge w:val="continue"/>
            <w:vAlign w:val="top"/>
          </w:tcPr>
          <w:p>
            <w:pPr>
              <w:widowControl/>
              <w:snapToGrid w:val="0"/>
              <w:rPr>
                <w:rFonts w:hint="default" w:ascii="Times New Roman" w:hAnsi="Times New Roman" w:eastAsia="仿宋_GB2312" w:cs="Times New Roman"/>
                <w:sz w:val="24"/>
                <w:szCs w:val="24"/>
                <w:highlight w:val="none"/>
              </w:rPr>
            </w:pPr>
          </w:p>
        </w:tc>
        <w:tc>
          <w:tcPr>
            <w:tcW w:w="5978" w:type="dxa"/>
            <w:gridSpan w:val="2"/>
            <w:vAlign w:val="top"/>
          </w:tcPr>
          <w:p>
            <w:pPr>
              <w:widowControl/>
              <w:snapToGrid w:val="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获得中国质量奖、全国质量奖、质量标杆数量（个）</w:t>
            </w:r>
          </w:p>
        </w:tc>
        <w:tc>
          <w:tcPr>
            <w:tcW w:w="2312" w:type="dxa"/>
            <w:vAlign w:val="top"/>
          </w:tcPr>
          <w:p>
            <w:pPr>
              <w:widowControl/>
              <w:snapToGrid w:val="0"/>
              <w:rPr>
                <w:rFonts w:hint="default" w:ascii="Times New Roman" w:hAnsi="Times New Roman" w:eastAsia="黑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Merge w:val="continue"/>
            <w:vAlign w:val="top"/>
          </w:tcPr>
          <w:p>
            <w:pPr>
              <w:widowControl/>
              <w:snapToGrid w:val="0"/>
              <w:rPr>
                <w:rFonts w:hint="default" w:ascii="Times New Roman" w:hAnsi="Times New Roman" w:eastAsia="仿宋_GB2312" w:cs="Times New Roman"/>
                <w:sz w:val="24"/>
                <w:szCs w:val="24"/>
                <w:highlight w:val="none"/>
              </w:rPr>
            </w:pPr>
          </w:p>
        </w:tc>
        <w:tc>
          <w:tcPr>
            <w:tcW w:w="5978" w:type="dxa"/>
            <w:gridSpan w:val="2"/>
            <w:vAlign w:val="top"/>
          </w:tcPr>
          <w:p>
            <w:pPr>
              <w:widowControl/>
              <w:snapToGrid w:val="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获得企业品牌培育示范企业数量（个）</w:t>
            </w:r>
          </w:p>
        </w:tc>
        <w:tc>
          <w:tcPr>
            <w:tcW w:w="2312" w:type="dxa"/>
            <w:vAlign w:val="top"/>
          </w:tcPr>
          <w:p>
            <w:pPr>
              <w:widowControl/>
              <w:snapToGrid w:val="0"/>
              <w:rPr>
                <w:rFonts w:hint="default" w:ascii="Times New Roman" w:hAnsi="Times New Roman" w:eastAsia="黑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Merge w:val="continue"/>
            <w:vAlign w:val="top"/>
          </w:tcPr>
          <w:p>
            <w:pPr>
              <w:widowControl/>
              <w:snapToGrid w:val="0"/>
              <w:rPr>
                <w:rFonts w:hint="default" w:ascii="Times New Roman" w:hAnsi="Times New Roman" w:eastAsia="仿宋_GB2312" w:cs="Times New Roman"/>
                <w:sz w:val="24"/>
                <w:szCs w:val="24"/>
                <w:highlight w:val="none"/>
              </w:rPr>
            </w:pPr>
          </w:p>
        </w:tc>
        <w:tc>
          <w:tcPr>
            <w:tcW w:w="5978" w:type="dxa"/>
            <w:gridSpan w:val="2"/>
            <w:vAlign w:val="top"/>
          </w:tcPr>
          <w:p>
            <w:pPr>
              <w:widowControl/>
              <w:snapToGrid w:val="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获得产业集群区域品牌建设试点示范单位数量（个）</w:t>
            </w:r>
          </w:p>
        </w:tc>
        <w:tc>
          <w:tcPr>
            <w:tcW w:w="2312" w:type="dxa"/>
            <w:vAlign w:val="top"/>
          </w:tcPr>
          <w:p>
            <w:pPr>
              <w:widowControl/>
              <w:snapToGrid w:val="0"/>
              <w:rPr>
                <w:rFonts w:hint="default" w:ascii="Times New Roman" w:hAnsi="Times New Roman" w:eastAsia="黑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3" w:type="dxa"/>
            <w:vMerge w:val="continue"/>
            <w:vAlign w:val="top"/>
          </w:tcPr>
          <w:p>
            <w:pPr>
              <w:widowControl/>
              <w:snapToGrid w:val="0"/>
              <w:rPr>
                <w:rFonts w:hint="default" w:ascii="Times New Roman" w:hAnsi="Times New Roman" w:eastAsia="仿宋_GB2312" w:cs="Times New Roman"/>
                <w:sz w:val="24"/>
                <w:szCs w:val="24"/>
                <w:highlight w:val="none"/>
              </w:rPr>
            </w:pPr>
          </w:p>
        </w:tc>
        <w:tc>
          <w:tcPr>
            <w:tcW w:w="5978" w:type="dxa"/>
            <w:gridSpan w:val="2"/>
            <w:vAlign w:val="top"/>
          </w:tcPr>
          <w:p>
            <w:pPr>
              <w:widowControl/>
              <w:snapToGrid w:val="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制造业单项冠军</w:t>
            </w:r>
            <w:r>
              <w:rPr>
                <w:rFonts w:hint="eastAsia" w:ascii="Times New Roman" w:hAnsi="Times New Roman" w:eastAsia="仿宋_GB2312" w:cs="Times New Roman"/>
                <w:sz w:val="24"/>
                <w:szCs w:val="24"/>
                <w:highlight w:val="none"/>
                <w:lang w:val="en-US" w:eastAsia="zh-CN"/>
              </w:rPr>
              <w:t>数量（个）</w:t>
            </w:r>
          </w:p>
        </w:tc>
        <w:tc>
          <w:tcPr>
            <w:tcW w:w="2312" w:type="dxa"/>
            <w:vAlign w:val="top"/>
          </w:tcPr>
          <w:p>
            <w:pPr>
              <w:widowControl/>
              <w:snapToGrid w:val="0"/>
              <w:rPr>
                <w:rFonts w:hint="default" w:ascii="Times New Roman" w:hAnsi="Times New Roman" w:eastAsia="黑体" w:cs="Times New Roman"/>
                <w:sz w:val="24"/>
                <w:szCs w:val="24"/>
                <w:highlight w:val="none"/>
              </w:rPr>
            </w:pPr>
          </w:p>
        </w:tc>
      </w:tr>
    </w:tbl>
    <w:p>
      <w:pPr>
        <w:widowControl/>
        <w:snapToGrid w:val="0"/>
        <w:rPr>
          <w:rFonts w:hint="default" w:ascii="Times New Roman" w:hAnsi="Times New Roman" w:eastAsia="黑体" w:cs="Times New Roman"/>
          <w:sz w:val="32"/>
          <w:highlight w:val="none"/>
        </w:rPr>
      </w:pPr>
    </w:p>
    <w:p>
      <w:pPr>
        <w:widowControl/>
        <w:snapToGrid w:val="0"/>
        <w:rPr>
          <w:rFonts w:hint="default" w:ascii="Times New Roman" w:hAnsi="Times New Roman" w:eastAsia="黑体" w:cs="Times New Roman"/>
          <w:sz w:val="32"/>
          <w:highlight w:val="none"/>
        </w:rPr>
      </w:pPr>
    </w:p>
    <w:p>
      <w:pPr>
        <w:widowControl/>
        <w:snapToGrid w:val="0"/>
        <w:rPr>
          <w:rFonts w:hint="default" w:ascii="Times New Roman" w:hAnsi="Times New Roman" w:eastAsia="黑体" w:cs="Times New Roman"/>
          <w:sz w:val="32"/>
          <w:highlight w:val="none"/>
        </w:rPr>
      </w:pPr>
    </w:p>
    <w:p>
      <w:pPr>
        <w:widowControl/>
        <w:snapToGrid w:val="0"/>
        <w:rPr>
          <w:rFonts w:hint="default" w:ascii="Times New Roman" w:hAnsi="Times New Roman" w:eastAsia="黑体" w:cs="Times New Roman"/>
          <w:sz w:val="32"/>
          <w:highlight w:val="none"/>
        </w:rPr>
      </w:pPr>
    </w:p>
    <w:p>
      <w:pPr>
        <w:widowControl/>
        <w:snapToGrid w:val="0"/>
        <w:rPr>
          <w:rFonts w:hint="default" w:ascii="Times New Roman" w:hAnsi="Times New Roman" w:eastAsia="黑体" w:cs="Times New Roman"/>
          <w:sz w:val="32"/>
          <w:highlight w:val="none"/>
        </w:rPr>
      </w:pPr>
    </w:p>
    <w:p>
      <w:pPr>
        <w:widowControl/>
        <w:snapToGrid w:val="0"/>
        <w:rPr>
          <w:rFonts w:hint="default" w:ascii="Times New Roman" w:hAnsi="Times New Roman" w:eastAsia="黑体" w:cs="Times New Roman"/>
          <w:sz w:val="32"/>
          <w:highlight w:val="none"/>
        </w:rPr>
      </w:pPr>
    </w:p>
    <w:p>
      <w:pPr>
        <w:widowControl/>
        <w:snapToGrid w:val="0"/>
        <w:rPr>
          <w:rFonts w:hint="default" w:ascii="Times New Roman" w:hAnsi="Times New Roman" w:eastAsia="黑体" w:cs="Times New Roman"/>
          <w:sz w:val="32"/>
          <w:highlight w:val="none"/>
        </w:rPr>
      </w:pPr>
    </w:p>
    <w:p>
      <w:pPr>
        <w:widowControl/>
        <w:snapToGrid w:val="0"/>
        <w:rPr>
          <w:rFonts w:hint="default" w:ascii="Times New Roman" w:hAnsi="Times New Roman" w:eastAsia="黑体" w:cs="Times New Roman"/>
          <w:sz w:val="32"/>
          <w:highlight w:val="none"/>
        </w:rPr>
      </w:pPr>
    </w:p>
    <w:p>
      <w:pPr>
        <w:widowControl/>
        <w:snapToGrid w:val="0"/>
        <w:rPr>
          <w:rFonts w:hint="default" w:ascii="Times New Roman" w:hAnsi="Times New Roman" w:eastAsia="黑体" w:cs="Times New Roman"/>
          <w:sz w:val="32"/>
          <w:highlight w:val="none"/>
        </w:rPr>
      </w:pPr>
    </w:p>
    <w:p>
      <w:pPr>
        <w:widowControl/>
        <w:snapToGrid w:val="0"/>
        <w:rPr>
          <w:rFonts w:hint="default" w:ascii="Times New Roman" w:hAnsi="Times New Roman" w:eastAsia="黑体" w:cs="Times New Roman"/>
          <w:sz w:val="32"/>
          <w:highlight w:val="none"/>
        </w:rPr>
      </w:pPr>
    </w:p>
    <w:p>
      <w:pPr>
        <w:widowControl/>
        <w:snapToGrid w:val="0"/>
        <w:rPr>
          <w:rFonts w:hint="default" w:ascii="Times New Roman" w:hAnsi="Times New Roman" w:eastAsia="黑体" w:cs="Times New Roman"/>
          <w:sz w:val="32"/>
          <w:highlight w:val="none"/>
        </w:rPr>
      </w:pPr>
    </w:p>
    <w:p>
      <w:pPr>
        <w:widowControl/>
        <w:snapToGrid w:val="0"/>
        <w:rPr>
          <w:rFonts w:hint="default" w:ascii="Times New Roman" w:hAnsi="Times New Roman" w:eastAsia="黑体" w:cs="Times New Roman"/>
          <w:sz w:val="32"/>
          <w:highlight w:val="none"/>
        </w:rPr>
      </w:pPr>
    </w:p>
    <w:p>
      <w:pPr>
        <w:widowControl/>
        <w:snapToGrid w:val="0"/>
        <w:rPr>
          <w:rFonts w:hint="default" w:ascii="Times New Roman" w:hAnsi="Times New Roman" w:eastAsia="黑体" w:cs="Times New Roman"/>
          <w:sz w:val="32"/>
          <w:highlight w:val="none"/>
        </w:rPr>
      </w:pPr>
    </w:p>
    <w:p>
      <w:pPr>
        <w:widowControl/>
        <w:snapToGrid w:val="0"/>
        <w:rPr>
          <w:rFonts w:hint="default" w:ascii="Times New Roman" w:hAnsi="Times New Roman" w:eastAsia="黑体" w:cs="Times New Roman"/>
          <w:sz w:val="32"/>
          <w:highlight w:val="none"/>
        </w:rPr>
      </w:pPr>
    </w:p>
    <w:p>
      <w:pPr>
        <w:widowControl/>
        <w:snapToGrid w:val="0"/>
        <w:rPr>
          <w:rFonts w:hint="default" w:ascii="Times New Roman" w:hAnsi="Times New Roman" w:eastAsia="黑体" w:cs="Times New Roman"/>
          <w:sz w:val="32"/>
          <w:highlight w:val="none"/>
        </w:rPr>
      </w:pPr>
    </w:p>
    <w:p>
      <w:pPr>
        <w:widowControl/>
        <w:snapToGrid w:val="0"/>
        <w:rPr>
          <w:rFonts w:hint="default" w:ascii="Times New Roman" w:hAnsi="Times New Roman" w:eastAsia="黑体" w:cs="Times New Roman"/>
          <w:sz w:val="32"/>
          <w:highlight w:val="none"/>
        </w:rPr>
      </w:pPr>
    </w:p>
    <w:p>
      <w:pPr>
        <w:widowControl/>
        <w:snapToGrid w:val="0"/>
        <w:rPr>
          <w:rFonts w:hint="default" w:ascii="Times New Roman" w:hAnsi="Times New Roman" w:eastAsia="黑体" w:cs="Times New Roman"/>
          <w:sz w:val="32"/>
          <w:highlight w:val="none"/>
        </w:rPr>
      </w:pPr>
    </w:p>
    <w:p>
      <w:pPr>
        <w:widowControl/>
        <w:snapToGrid w:val="0"/>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三、市（州）现有基础条件及推荐单位意见</w:t>
      </w:r>
    </w:p>
    <w:tbl>
      <w:tblPr>
        <w:tblStyle w:val="8"/>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9055" w:type="dxa"/>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b/>
                <w:sz w:val="24"/>
                <w:highlight w:val="none"/>
              </w:rPr>
            </w:pPr>
            <w:r>
              <w:rPr>
                <w:rFonts w:hint="default" w:ascii="Times New Roman" w:hAnsi="Times New Roman" w:eastAsia="黑体" w:cs="Times New Roman"/>
                <w:bCs/>
                <w:sz w:val="24"/>
                <w:highlight w:val="none"/>
              </w:rPr>
              <w:t>市（州）现有工作基础、已开展的相关举措和成效</w:t>
            </w:r>
            <w:r>
              <w:rPr>
                <w:rFonts w:hint="default" w:ascii="Times New Roman" w:hAnsi="Times New Roman" w:eastAsia="楷体" w:cs="Times New Roman"/>
                <w:b/>
                <w:sz w:val="24"/>
                <w:highlight w:val="none"/>
              </w:rPr>
              <w:t>（可加附页）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1" w:hRule="atLeast"/>
          <w:jc w:val="center"/>
        </w:trPr>
        <w:tc>
          <w:tcPr>
            <w:tcW w:w="9055" w:type="dxa"/>
            <w:tcBorders>
              <w:left w:val="single" w:color="auto" w:sz="4" w:space="0"/>
              <w:right w:val="single" w:color="auto" w:sz="4" w:space="0"/>
            </w:tcBorders>
            <w:vAlign w:val="center"/>
          </w:tcPr>
          <w:p>
            <w:pPr>
              <w:jc w:val="center"/>
              <w:rPr>
                <w:rFonts w:hint="default" w:ascii="Times New Roman" w:hAnsi="Times New Roman" w:cs="Times New Roman"/>
                <w:sz w:val="24"/>
                <w:highlight w:val="none"/>
              </w:rPr>
            </w:pPr>
          </w:p>
          <w:p>
            <w:pPr>
              <w:jc w:val="center"/>
              <w:rPr>
                <w:rFonts w:hint="default" w:ascii="Times New Roman" w:hAnsi="Times New Roman" w:cs="Times New Roman"/>
                <w:sz w:val="24"/>
                <w:highlight w:val="none"/>
              </w:rPr>
            </w:pPr>
          </w:p>
          <w:p>
            <w:pPr>
              <w:jc w:val="center"/>
              <w:rPr>
                <w:rFonts w:hint="default" w:ascii="Times New Roman" w:hAnsi="Times New Roman" w:cs="Times New Roman"/>
                <w:sz w:val="24"/>
                <w:highlight w:val="none"/>
              </w:rPr>
            </w:pPr>
          </w:p>
          <w:p>
            <w:pPr>
              <w:jc w:val="center"/>
              <w:rPr>
                <w:rFonts w:hint="default" w:ascii="Times New Roman" w:hAnsi="Times New Roman" w:cs="Times New Roman"/>
                <w:sz w:val="24"/>
                <w:highlight w:val="none"/>
              </w:rPr>
            </w:pPr>
          </w:p>
          <w:p>
            <w:pPr>
              <w:jc w:val="center"/>
              <w:rPr>
                <w:rFonts w:hint="default" w:ascii="Times New Roman" w:hAnsi="Times New Roman" w:cs="Times New Roman"/>
                <w:sz w:val="24"/>
                <w:highlight w:val="none"/>
              </w:rPr>
            </w:pPr>
          </w:p>
          <w:p>
            <w:pPr>
              <w:jc w:val="center"/>
              <w:rPr>
                <w:rFonts w:hint="default" w:ascii="Times New Roman" w:hAnsi="Times New Roman" w:cs="Times New Roman"/>
                <w:sz w:val="24"/>
                <w:highlight w:val="none"/>
              </w:rPr>
            </w:pPr>
          </w:p>
          <w:p>
            <w:pPr>
              <w:jc w:val="center"/>
              <w:rPr>
                <w:rFonts w:hint="default" w:ascii="Times New Roman" w:hAnsi="Times New Roman"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9055" w:type="dxa"/>
            <w:tcBorders>
              <w:left w:val="single" w:color="auto" w:sz="4" w:space="0"/>
              <w:right w:val="single" w:color="auto" w:sz="4" w:space="0"/>
            </w:tcBorders>
            <w:vAlign w:val="center"/>
          </w:tcPr>
          <w:p>
            <w:pPr>
              <w:jc w:val="center"/>
              <w:rPr>
                <w:rFonts w:hint="default" w:ascii="Times New Roman" w:hAnsi="Times New Roman" w:eastAsia="楷体" w:cs="Times New Roman"/>
                <w:b/>
                <w:sz w:val="24"/>
                <w:highlight w:val="none"/>
              </w:rPr>
            </w:pPr>
            <w:r>
              <w:rPr>
                <w:rFonts w:hint="default" w:ascii="Times New Roman" w:hAnsi="Times New Roman" w:eastAsia="黑体" w:cs="Times New Roman"/>
                <w:bCs/>
                <w:sz w:val="24"/>
                <w:highlight w:val="none"/>
              </w:rPr>
              <w:t>省级工业和信息化主管部门意见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95" w:hRule="atLeast"/>
          <w:jc w:val="center"/>
        </w:trPr>
        <w:tc>
          <w:tcPr>
            <w:tcW w:w="9055" w:type="dxa"/>
            <w:tcBorders>
              <w:left w:val="single" w:color="auto" w:sz="4" w:space="0"/>
              <w:right w:val="single" w:color="auto" w:sz="4" w:space="0"/>
            </w:tcBorders>
            <w:vAlign w:val="center"/>
          </w:tcPr>
          <w:p>
            <w:pPr>
              <w:rPr>
                <w:rFonts w:hint="default" w:ascii="Times New Roman" w:hAnsi="Times New Roman" w:eastAsia="楷体" w:cs="Times New Roman"/>
                <w:b/>
                <w:sz w:val="24"/>
                <w:highlight w:val="none"/>
              </w:rPr>
            </w:pPr>
          </w:p>
          <w:p>
            <w:pPr>
              <w:rPr>
                <w:rFonts w:hint="default" w:ascii="Times New Roman" w:hAnsi="Times New Roman" w:eastAsia="楷体" w:cs="Times New Roman"/>
                <w:b/>
                <w:sz w:val="24"/>
                <w:highlight w:val="none"/>
              </w:rPr>
            </w:pPr>
          </w:p>
          <w:p>
            <w:pPr>
              <w:rPr>
                <w:rFonts w:hint="default" w:ascii="Times New Roman" w:hAnsi="Times New Roman" w:eastAsia="楷体" w:cs="Times New Roman"/>
                <w:b/>
                <w:sz w:val="24"/>
                <w:highlight w:val="none"/>
              </w:rPr>
            </w:pPr>
          </w:p>
          <w:p>
            <w:pPr>
              <w:rPr>
                <w:rFonts w:hint="default" w:ascii="Times New Roman" w:hAnsi="Times New Roman" w:eastAsia="楷体" w:cs="Times New Roman"/>
                <w:b/>
                <w:sz w:val="24"/>
                <w:highlight w:val="none"/>
              </w:rPr>
            </w:pPr>
          </w:p>
          <w:p>
            <w:pPr>
              <w:rPr>
                <w:rFonts w:hint="default" w:ascii="Times New Roman" w:hAnsi="Times New Roman" w:eastAsia="楷体" w:cs="Times New Roman"/>
                <w:b/>
                <w:sz w:val="24"/>
                <w:highlight w:val="none"/>
              </w:rPr>
            </w:pPr>
          </w:p>
          <w:p>
            <w:pPr>
              <w:rPr>
                <w:rFonts w:hint="default" w:ascii="Times New Roman" w:hAnsi="Times New Roman" w:eastAsia="楷体" w:cs="Times New Roman"/>
                <w:b/>
                <w:sz w:val="24"/>
                <w:highlight w:val="none"/>
              </w:rPr>
            </w:pPr>
          </w:p>
          <w:p>
            <w:pPr>
              <w:rPr>
                <w:rFonts w:hint="default" w:ascii="Times New Roman" w:hAnsi="Times New Roman" w:eastAsia="楷体" w:cs="Times New Roman"/>
                <w:b/>
                <w:sz w:val="24"/>
                <w:highlight w:val="none"/>
              </w:rPr>
            </w:pPr>
          </w:p>
          <w:p>
            <w:pPr>
              <w:rPr>
                <w:rFonts w:hint="default" w:ascii="Times New Roman" w:hAnsi="Times New Roman" w:eastAsia="楷体" w:cs="Times New Roman"/>
                <w:b/>
                <w:sz w:val="24"/>
                <w:highlight w:val="none"/>
              </w:rPr>
            </w:pPr>
          </w:p>
          <w:p>
            <w:pPr>
              <w:rPr>
                <w:rFonts w:hint="default" w:ascii="Times New Roman" w:hAnsi="Times New Roman" w:eastAsia="楷体" w:cs="Times New Roman"/>
                <w:b/>
                <w:sz w:val="24"/>
                <w:highlight w:val="none"/>
              </w:rPr>
            </w:pPr>
          </w:p>
          <w:p>
            <w:pPr>
              <w:rPr>
                <w:rFonts w:hint="default" w:ascii="Times New Roman" w:hAnsi="Times New Roman" w:eastAsia="楷体" w:cs="Times New Roman"/>
                <w:b/>
                <w:sz w:val="24"/>
                <w:highlight w:val="none"/>
              </w:rPr>
            </w:pPr>
          </w:p>
          <w:p>
            <w:pPr>
              <w:rPr>
                <w:rFonts w:hint="default" w:ascii="Times New Roman" w:hAnsi="Times New Roman" w:eastAsia="楷体" w:cs="Times New Roman"/>
                <w:b/>
                <w:sz w:val="24"/>
                <w:highlight w:val="none"/>
              </w:rPr>
            </w:pPr>
          </w:p>
          <w:p>
            <w:pPr>
              <w:rPr>
                <w:rFonts w:hint="default" w:ascii="Times New Roman" w:hAnsi="Times New Roman" w:eastAsia="楷体" w:cs="Times New Roman"/>
                <w:b/>
                <w:sz w:val="24"/>
                <w:highlight w:val="none"/>
              </w:rPr>
            </w:pPr>
          </w:p>
          <w:p>
            <w:pPr>
              <w:rPr>
                <w:rFonts w:hint="default" w:ascii="Times New Roman" w:hAnsi="Times New Roman" w:eastAsia="楷体" w:cs="Times New Roman"/>
                <w:b/>
                <w:sz w:val="24"/>
                <w:highlight w:val="none"/>
              </w:rPr>
            </w:pPr>
          </w:p>
          <w:p>
            <w:pPr>
              <w:rPr>
                <w:rFonts w:hint="default" w:ascii="Times New Roman" w:hAnsi="Times New Roman" w:eastAsia="楷体" w:cs="Times New Roman"/>
                <w:b/>
                <w:sz w:val="24"/>
                <w:highlight w:val="none"/>
              </w:rPr>
            </w:pPr>
          </w:p>
          <w:p>
            <w:pPr>
              <w:rPr>
                <w:rFonts w:hint="default" w:ascii="Times New Roman" w:hAnsi="Times New Roman" w:eastAsia="楷体" w:cs="Times New Roman"/>
                <w:b/>
                <w:sz w:val="24"/>
                <w:highlight w:val="none"/>
              </w:rPr>
            </w:pPr>
          </w:p>
          <w:p>
            <w:pPr>
              <w:ind w:firstLine="6360" w:firstLineChars="2650"/>
              <w:rPr>
                <w:rFonts w:hint="default" w:ascii="Times New Roman" w:hAnsi="Times New Roman" w:eastAsia="楷体" w:cs="Times New Roman"/>
                <w:sz w:val="24"/>
                <w:highlight w:val="none"/>
              </w:rPr>
            </w:pPr>
            <w:r>
              <w:rPr>
                <w:rFonts w:hint="default" w:ascii="Times New Roman" w:hAnsi="Times New Roman" w:eastAsia="楷体" w:cs="Times New Roman"/>
                <w:sz w:val="24"/>
                <w:highlight w:val="none"/>
              </w:rPr>
              <w:t>（盖章）</w:t>
            </w:r>
          </w:p>
          <w:p>
            <w:pPr>
              <w:ind w:firstLine="6360" w:firstLineChars="2650"/>
              <w:rPr>
                <w:rFonts w:hint="default" w:ascii="Times New Roman" w:hAnsi="Times New Roman" w:eastAsia="楷体" w:cs="Times New Roman"/>
                <w:sz w:val="24"/>
                <w:highlight w:val="none"/>
              </w:rPr>
            </w:pPr>
          </w:p>
          <w:p>
            <w:pPr>
              <w:jc w:val="center"/>
              <w:rPr>
                <w:rFonts w:hint="default" w:ascii="Times New Roman" w:hAnsi="Times New Roman" w:eastAsia="楷体" w:cs="Times New Roman"/>
                <w:sz w:val="24"/>
                <w:highlight w:val="none"/>
              </w:rPr>
            </w:pPr>
            <w:r>
              <w:rPr>
                <w:rFonts w:hint="default" w:ascii="Times New Roman" w:hAnsi="Times New Roman" w:eastAsia="楷体" w:cs="Times New Roman"/>
                <w:sz w:val="24"/>
                <w:highlight w:val="none"/>
              </w:rPr>
              <w:t xml:space="preserve">                                       年   月   日     </w:t>
            </w:r>
          </w:p>
          <w:p>
            <w:pPr>
              <w:jc w:val="center"/>
              <w:rPr>
                <w:rFonts w:hint="default" w:ascii="Times New Roman" w:hAnsi="Times New Roman" w:eastAsia="楷体" w:cs="Times New Roman"/>
                <w:b/>
                <w:sz w:val="24"/>
                <w:highlight w:val="none"/>
              </w:rPr>
            </w:pPr>
          </w:p>
        </w:tc>
      </w:tr>
    </w:tbl>
    <w:p>
      <w:pPr>
        <w:rPr>
          <w:rFonts w:hint="default" w:ascii="Times New Roman" w:hAnsi="Times New Roman" w:cs="Times New Roman"/>
          <w:highlight w:val="none"/>
        </w:rPr>
      </w:pPr>
    </w:p>
    <w:sectPr>
      <w:footerReference r:id="rId4" w:type="default"/>
      <w:pgSz w:w="11906" w:h="16838"/>
      <w:pgMar w:top="1587" w:right="1474" w:bottom="1474" w:left="1587" w:header="851" w:footer="992" w:gutter="0"/>
      <w:pgBorders>
        <w:top w:val="none" w:color="auto" w:sz="0" w:space="0"/>
        <w:left w:val="none" w:color="auto" w:sz="0" w:space="0"/>
        <w:bottom w:val="none" w:color="auto" w:sz="0" w:space="0"/>
        <w:right w:val="none" w:color="auto" w:sz="0" w:space="0"/>
      </w:pgBorders>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altName w:val="微软雅黑"/>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t>1</w:t>
    </w:r>
    <w:r>
      <w:rPr>
        <w:rFonts w:ascii="Times New Roman" w:hAnsi="Times New Roma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5395839">
    <w:nsid w:val="5A531AFF"/>
    <w:multiLevelType w:val="singleLevel"/>
    <w:tmpl w:val="5A531AFF"/>
    <w:lvl w:ilvl="0" w:tentative="1">
      <w:start w:val="1"/>
      <w:numFmt w:val="chineseCounting"/>
      <w:suff w:val="nothing"/>
      <w:lvlText w:val="（%1）"/>
      <w:lvlJc w:val="left"/>
      <w:pPr>
        <w:ind w:left="0" w:firstLine="420"/>
      </w:pPr>
      <w:rPr>
        <w:rFonts w:hint="eastAsia"/>
      </w:rPr>
    </w:lvl>
  </w:abstractNum>
  <w:abstractNum w:abstractNumId="1515395414">
    <w:nsid w:val="5A531956"/>
    <w:multiLevelType w:val="singleLevel"/>
    <w:tmpl w:val="5A531956"/>
    <w:lvl w:ilvl="0" w:tentative="1">
      <w:start w:val="1"/>
      <w:numFmt w:val="chineseCounting"/>
      <w:suff w:val="nothing"/>
      <w:lvlText w:val="（%1）"/>
      <w:lvlJc w:val="left"/>
      <w:pPr>
        <w:ind w:left="0" w:firstLine="420"/>
      </w:pPr>
      <w:rPr>
        <w:rFonts w:hint="eastAsia"/>
      </w:rPr>
    </w:lvl>
  </w:abstractNum>
  <w:abstractNum w:abstractNumId="1515395889">
    <w:nsid w:val="5A531B31"/>
    <w:multiLevelType w:val="singleLevel"/>
    <w:tmpl w:val="5A531B31"/>
    <w:lvl w:ilvl="0" w:tentative="1">
      <w:start w:val="1"/>
      <w:numFmt w:val="chineseCounting"/>
      <w:suff w:val="nothing"/>
      <w:lvlText w:val="（%1）"/>
      <w:lvlJc w:val="left"/>
      <w:pPr>
        <w:ind w:left="0" w:firstLine="420"/>
      </w:pPr>
      <w:rPr>
        <w:rFonts w:hint="eastAsia"/>
      </w:rPr>
    </w:lvl>
  </w:abstractNum>
  <w:abstractNum w:abstractNumId="0">
    <w:nsid w:val="00000000"/>
    <w:multiLevelType w:val="singleLevel"/>
    <w:tmpl w:val="00000000"/>
    <w:lvl w:ilvl="0" w:tentative="1">
      <w:start w:val="1"/>
      <w:numFmt w:val="decimal"/>
      <w:suff w:val="nothing"/>
      <w:lvlText w:val="%1．"/>
      <w:lvlJc w:val="left"/>
      <w:pPr>
        <w:ind w:left="0" w:firstLine="400"/>
      </w:pPr>
      <w:rPr>
        <w:rFonts w:hint="default"/>
      </w:rPr>
    </w:lvl>
  </w:abstractNum>
  <w:abstractNum w:abstractNumId="7">
    <w:nsid w:val="00000007"/>
    <w:multiLevelType w:val="singleLevel"/>
    <w:tmpl w:val="00000007"/>
    <w:lvl w:ilvl="0" w:tentative="1">
      <w:start w:val="1"/>
      <w:numFmt w:val="chineseCounting"/>
      <w:suff w:val="nothing"/>
      <w:lvlText w:val="（%1）"/>
      <w:lvlJc w:val="left"/>
      <w:pPr>
        <w:ind w:left="0" w:firstLine="420"/>
      </w:pPr>
      <w:rPr>
        <w:rFonts w:hint="eastAsia"/>
      </w:rPr>
    </w:lvl>
  </w:abstractNum>
  <w:abstractNum w:abstractNumId="1516015845">
    <w:nsid w:val="5A5C90E5"/>
    <w:multiLevelType w:val="singleLevel"/>
    <w:tmpl w:val="5A5C90E5"/>
    <w:lvl w:ilvl="0" w:tentative="1">
      <w:start w:val="1"/>
      <w:numFmt w:val="chineseCounting"/>
      <w:suff w:val="nothing"/>
      <w:lvlText w:val="（%1）"/>
      <w:lvlJc w:val="left"/>
      <w:pPr>
        <w:ind w:left="0" w:firstLine="420"/>
      </w:pPr>
      <w:rPr>
        <w:rFonts w:hint="eastAsia"/>
      </w:rPr>
    </w:lvl>
  </w:abstractNum>
  <w:abstractNum w:abstractNumId="2">
    <w:nsid w:val="00000002"/>
    <w:multiLevelType w:val="singleLevel"/>
    <w:tmpl w:val="00000002"/>
    <w:lvl w:ilvl="0" w:tentative="1">
      <w:start w:val="1"/>
      <w:numFmt w:val="chineseCounting"/>
      <w:suff w:val="nothing"/>
      <w:lvlText w:val="（%1）"/>
      <w:lvlJc w:val="left"/>
      <w:pPr>
        <w:ind w:left="0" w:firstLine="420"/>
      </w:pPr>
      <w:rPr>
        <w:rFonts w:hint="eastAsia"/>
      </w:rPr>
    </w:lvl>
  </w:abstractNum>
  <w:abstractNum w:abstractNumId="1515395778">
    <w:nsid w:val="5A531AC2"/>
    <w:multiLevelType w:val="singleLevel"/>
    <w:tmpl w:val="5A531AC2"/>
    <w:lvl w:ilvl="0" w:tentative="1">
      <w:start w:val="1"/>
      <w:numFmt w:val="chineseCounting"/>
      <w:suff w:val="nothing"/>
      <w:lvlText w:val="第%1条 "/>
      <w:lvlJc w:val="left"/>
      <w:pPr>
        <w:tabs>
          <w:tab w:val="left" w:pos="0"/>
        </w:tabs>
        <w:ind w:left="0" w:firstLine="40"/>
      </w:pPr>
      <w:rPr>
        <w:rFonts w:hint="eastAsia" w:ascii="宋体" w:hAnsi="宋体" w:eastAsia="黑体" w:cs="宋体"/>
        <w:sz w:val="32"/>
      </w:rPr>
    </w:lvl>
  </w:abstractNum>
  <w:abstractNum w:abstractNumId="1">
    <w:nsid w:val="00000001"/>
    <w:multiLevelType w:val="singleLevel"/>
    <w:tmpl w:val="00000001"/>
    <w:lvl w:ilvl="0" w:tentative="1">
      <w:start w:val="1"/>
      <w:numFmt w:val="chineseCounting"/>
      <w:suff w:val="nothing"/>
      <w:lvlText w:val="%1、"/>
      <w:lvlJc w:val="left"/>
      <w:pPr>
        <w:ind w:left="0" w:firstLine="420"/>
      </w:pPr>
      <w:rPr>
        <w:rFonts w:hint="eastAsia"/>
      </w:rPr>
    </w:lvl>
  </w:abstractNum>
  <w:num w:numId="1">
    <w:abstractNumId w:val="1515395778"/>
  </w:num>
  <w:num w:numId="2">
    <w:abstractNumId w:val="1515395839"/>
  </w:num>
  <w:num w:numId="3">
    <w:abstractNumId w:val="1515395889"/>
  </w:num>
  <w:num w:numId="4">
    <w:abstractNumId w:val="0"/>
  </w:num>
  <w:num w:numId="5">
    <w:abstractNumId w:val="1515395414"/>
  </w:num>
  <w:num w:numId="6">
    <w:abstractNumId w:val="1"/>
  </w:num>
  <w:num w:numId="7">
    <w:abstractNumId w:val="2"/>
  </w:num>
  <w:num w:numId="8">
    <w:abstractNumId w:val="7"/>
  </w:num>
  <w:num w:numId="9">
    <w:abstractNumId w:val="15160158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dit="trackedChanges" w:enforcement="0"/>
  <w:defaultTabStop w:val="42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529E6"/>
    <w:rsid w:val="00141026"/>
    <w:rsid w:val="001434CE"/>
    <w:rsid w:val="00196DFC"/>
    <w:rsid w:val="001B1938"/>
    <w:rsid w:val="001F2F8D"/>
    <w:rsid w:val="002A347C"/>
    <w:rsid w:val="003B7162"/>
    <w:rsid w:val="00401811"/>
    <w:rsid w:val="0041111D"/>
    <w:rsid w:val="004111D8"/>
    <w:rsid w:val="00455431"/>
    <w:rsid w:val="004E1BC3"/>
    <w:rsid w:val="00551238"/>
    <w:rsid w:val="00612006"/>
    <w:rsid w:val="0065125B"/>
    <w:rsid w:val="007954B0"/>
    <w:rsid w:val="007E1D25"/>
    <w:rsid w:val="008219E9"/>
    <w:rsid w:val="0082281A"/>
    <w:rsid w:val="00893E89"/>
    <w:rsid w:val="008C3CAA"/>
    <w:rsid w:val="008E0F00"/>
    <w:rsid w:val="00911288"/>
    <w:rsid w:val="009672B1"/>
    <w:rsid w:val="00995014"/>
    <w:rsid w:val="00A11D57"/>
    <w:rsid w:val="00B63934"/>
    <w:rsid w:val="00B83711"/>
    <w:rsid w:val="00C35FBF"/>
    <w:rsid w:val="00D1098B"/>
    <w:rsid w:val="00D32969"/>
    <w:rsid w:val="00E23B02"/>
    <w:rsid w:val="00E50690"/>
    <w:rsid w:val="00EA3B62"/>
    <w:rsid w:val="00EA4069"/>
    <w:rsid w:val="00FB6422"/>
    <w:rsid w:val="00FD6271"/>
    <w:rsid w:val="013A3612"/>
    <w:rsid w:val="01A7612C"/>
    <w:rsid w:val="0246284B"/>
    <w:rsid w:val="02485A6A"/>
    <w:rsid w:val="02710DD5"/>
    <w:rsid w:val="027E29A5"/>
    <w:rsid w:val="02955C4E"/>
    <w:rsid w:val="02B31B7A"/>
    <w:rsid w:val="02E238BA"/>
    <w:rsid w:val="03905CE5"/>
    <w:rsid w:val="03F84410"/>
    <w:rsid w:val="040D7039"/>
    <w:rsid w:val="04372FFB"/>
    <w:rsid w:val="044D771D"/>
    <w:rsid w:val="04831DF5"/>
    <w:rsid w:val="04BC79D1"/>
    <w:rsid w:val="04CA4768"/>
    <w:rsid w:val="04D07C68"/>
    <w:rsid w:val="04E35692"/>
    <w:rsid w:val="04FC07BA"/>
    <w:rsid w:val="05567BCF"/>
    <w:rsid w:val="0570657B"/>
    <w:rsid w:val="059576B4"/>
    <w:rsid w:val="05B5126E"/>
    <w:rsid w:val="05F77758"/>
    <w:rsid w:val="06196C7E"/>
    <w:rsid w:val="062B0EAC"/>
    <w:rsid w:val="063130C9"/>
    <w:rsid w:val="06474F59"/>
    <w:rsid w:val="06631006"/>
    <w:rsid w:val="07115CA7"/>
    <w:rsid w:val="0730075A"/>
    <w:rsid w:val="073B5FE1"/>
    <w:rsid w:val="076012A9"/>
    <w:rsid w:val="07B51198"/>
    <w:rsid w:val="07F17513"/>
    <w:rsid w:val="08177753"/>
    <w:rsid w:val="081906D7"/>
    <w:rsid w:val="08413E1A"/>
    <w:rsid w:val="086B6DF8"/>
    <w:rsid w:val="08897A92"/>
    <w:rsid w:val="089C322F"/>
    <w:rsid w:val="08C14368"/>
    <w:rsid w:val="08C91775"/>
    <w:rsid w:val="08FD559B"/>
    <w:rsid w:val="09074ADD"/>
    <w:rsid w:val="093211A4"/>
    <w:rsid w:val="094E5251"/>
    <w:rsid w:val="09523C57"/>
    <w:rsid w:val="095274DB"/>
    <w:rsid w:val="097F5A20"/>
    <w:rsid w:val="09810F23"/>
    <w:rsid w:val="09C23012"/>
    <w:rsid w:val="09EE1557"/>
    <w:rsid w:val="09F15CC3"/>
    <w:rsid w:val="09FF139A"/>
    <w:rsid w:val="0A17271C"/>
    <w:rsid w:val="0A180C3C"/>
    <w:rsid w:val="0A2055A9"/>
    <w:rsid w:val="0A4444E4"/>
    <w:rsid w:val="0A6C7C27"/>
    <w:rsid w:val="0A852D4F"/>
    <w:rsid w:val="0AB93402"/>
    <w:rsid w:val="0AF67B8B"/>
    <w:rsid w:val="0B410F04"/>
    <w:rsid w:val="0B51119F"/>
    <w:rsid w:val="0B5334AF"/>
    <w:rsid w:val="0B542123"/>
    <w:rsid w:val="0B5463FA"/>
    <w:rsid w:val="0B6A7B4A"/>
    <w:rsid w:val="0BAD2CEB"/>
    <w:rsid w:val="0BBF5056"/>
    <w:rsid w:val="0BC72462"/>
    <w:rsid w:val="0C1D75EE"/>
    <w:rsid w:val="0C30080D"/>
    <w:rsid w:val="0C4A71B8"/>
    <w:rsid w:val="0C584667"/>
    <w:rsid w:val="0C5E5E59"/>
    <w:rsid w:val="0C6A76ED"/>
    <w:rsid w:val="0CF31BCF"/>
    <w:rsid w:val="0CF43DCE"/>
    <w:rsid w:val="0D475DD6"/>
    <w:rsid w:val="0D521BE9"/>
    <w:rsid w:val="0D53766A"/>
    <w:rsid w:val="0D5D0749"/>
    <w:rsid w:val="0D857C63"/>
    <w:rsid w:val="0D934BD1"/>
    <w:rsid w:val="0DCC2867"/>
    <w:rsid w:val="0E1B4EB5"/>
    <w:rsid w:val="0E3A4EE9"/>
    <w:rsid w:val="0EAE58E4"/>
    <w:rsid w:val="0EB25028"/>
    <w:rsid w:val="0EE96807"/>
    <w:rsid w:val="0F087FB5"/>
    <w:rsid w:val="0F46331D"/>
    <w:rsid w:val="0F6A0947"/>
    <w:rsid w:val="0F821E7D"/>
    <w:rsid w:val="0FA35C35"/>
    <w:rsid w:val="0FAF1A48"/>
    <w:rsid w:val="0FC14530"/>
    <w:rsid w:val="0FFA6CF7"/>
    <w:rsid w:val="10386129"/>
    <w:rsid w:val="10426A38"/>
    <w:rsid w:val="104A76C8"/>
    <w:rsid w:val="105A40DF"/>
    <w:rsid w:val="1074050C"/>
    <w:rsid w:val="10790217"/>
    <w:rsid w:val="1080431F"/>
    <w:rsid w:val="1091537A"/>
    <w:rsid w:val="10C57FD7"/>
    <w:rsid w:val="10F90765"/>
    <w:rsid w:val="110C1984"/>
    <w:rsid w:val="111700D2"/>
    <w:rsid w:val="111D020D"/>
    <w:rsid w:val="11277FB0"/>
    <w:rsid w:val="115433FE"/>
    <w:rsid w:val="11581E04"/>
    <w:rsid w:val="11755B31"/>
    <w:rsid w:val="11A021F8"/>
    <w:rsid w:val="11A345DB"/>
    <w:rsid w:val="11AC730F"/>
    <w:rsid w:val="122412C9"/>
    <w:rsid w:val="126F4193"/>
    <w:rsid w:val="128072E8"/>
    <w:rsid w:val="1281776D"/>
    <w:rsid w:val="12845885"/>
    <w:rsid w:val="12845CEE"/>
    <w:rsid w:val="12AC362F"/>
    <w:rsid w:val="13180760"/>
    <w:rsid w:val="13A16644"/>
    <w:rsid w:val="13B25C20"/>
    <w:rsid w:val="13F526CC"/>
    <w:rsid w:val="140838EB"/>
    <w:rsid w:val="145271E3"/>
    <w:rsid w:val="14846AB8"/>
    <w:rsid w:val="14A12BD5"/>
    <w:rsid w:val="14C44DEE"/>
    <w:rsid w:val="14FD2EFF"/>
    <w:rsid w:val="14FF6402"/>
    <w:rsid w:val="15044A88"/>
    <w:rsid w:val="15674B2D"/>
    <w:rsid w:val="156A222E"/>
    <w:rsid w:val="158717DE"/>
    <w:rsid w:val="158A2763"/>
    <w:rsid w:val="15CE57D6"/>
    <w:rsid w:val="15E9057E"/>
    <w:rsid w:val="15EA5FFF"/>
    <w:rsid w:val="160D75CA"/>
    <w:rsid w:val="161D5555"/>
    <w:rsid w:val="16321C77"/>
    <w:rsid w:val="16714FDF"/>
    <w:rsid w:val="167417E7"/>
    <w:rsid w:val="167A58EE"/>
    <w:rsid w:val="16810AFC"/>
    <w:rsid w:val="16930A17"/>
    <w:rsid w:val="16B75753"/>
    <w:rsid w:val="16DE7B91"/>
    <w:rsid w:val="16DF5613"/>
    <w:rsid w:val="17200267"/>
    <w:rsid w:val="172E00E3"/>
    <w:rsid w:val="17473D3D"/>
    <w:rsid w:val="17561DD9"/>
    <w:rsid w:val="176D617B"/>
    <w:rsid w:val="17770984"/>
    <w:rsid w:val="177E3CE2"/>
    <w:rsid w:val="178837F8"/>
    <w:rsid w:val="178F78CB"/>
    <w:rsid w:val="17AF5CEB"/>
    <w:rsid w:val="17BA1AFE"/>
    <w:rsid w:val="17D46E24"/>
    <w:rsid w:val="17DB67AF"/>
    <w:rsid w:val="180C2802"/>
    <w:rsid w:val="181771B3"/>
    <w:rsid w:val="184077D8"/>
    <w:rsid w:val="184A00E8"/>
    <w:rsid w:val="18687698"/>
    <w:rsid w:val="18721A3A"/>
    <w:rsid w:val="187C1BBC"/>
    <w:rsid w:val="18AD238B"/>
    <w:rsid w:val="18F040F9"/>
    <w:rsid w:val="191C263F"/>
    <w:rsid w:val="193E3E78"/>
    <w:rsid w:val="19441605"/>
    <w:rsid w:val="19445D81"/>
    <w:rsid w:val="1953639C"/>
    <w:rsid w:val="1955189F"/>
    <w:rsid w:val="197020C9"/>
    <w:rsid w:val="19B141B7"/>
    <w:rsid w:val="19C72AD7"/>
    <w:rsid w:val="19E13681"/>
    <w:rsid w:val="1A153EDB"/>
    <w:rsid w:val="1A2D3B01"/>
    <w:rsid w:val="1A535F3F"/>
    <w:rsid w:val="1A81100C"/>
    <w:rsid w:val="1AB52760"/>
    <w:rsid w:val="1AF20D68"/>
    <w:rsid w:val="1B22007D"/>
    <w:rsid w:val="1B602BF9"/>
    <w:rsid w:val="1B7E21A9"/>
    <w:rsid w:val="1BC11999"/>
    <w:rsid w:val="1BD163B0"/>
    <w:rsid w:val="1BFB4FF6"/>
    <w:rsid w:val="1C0F7519"/>
    <w:rsid w:val="1C1A58AA"/>
    <w:rsid w:val="1C427968"/>
    <w:rsid w:val="1C6E7533"/>
    <w:rsid w:val="1C80524F"/>
    <w:rsid w:val="1CB65729"/>
    <w:rsid w:val="1CB908AC"/>
    <w:rsid w:val="1D453D13"/>
    <w:rsid w:val="1D54432D"/>
    <w:rsid w:val="1DAB4D3C"/>
    <w:rsid w:val="1DAB6F3A"/>
    <w:rsid w:val="1DDC5928"/>
    <w:rsid w:val="1E0F4A61"/>
    <w:rsid w:val="1E4B57BF"/>
    <w:rsid w:val="1E730F02"/>
    <w:rsid w:val="1E81298F"/>
    <w:rsid w:val="1E8C402A"/>
    <w:rsid w:val="1E915F33"/>
    <w:rsid w:val="1EB83BF5"/>
    <w:rsid w:val="1EBD007C"/>
    <w:rsid w:val="1ED979AD"/>
    <w:rsid w:val="1EE01536"/>
    <w:rsid w:val="1EE45D3E"/>
    <w:rsid w:val="1F053CF4"/>
    <w:rsid w:val="1F0926FA"/>
    <w:rsid w:val="1F4C4468"/>
    <w:rsid w:val="1F9B098D"/>
    <w:rsid w:val="1F9F066F"/>
    <w:rsid w:val="1FA80624"/>
    <w:rsid w:val="1FB35111"/>
    <w:rsid w:val="1FB37310"/>
    <w:rsid w:val="203A2A6C"/>
    <w:rsid w:val="20602CAB"/>
    <w:rsid w:val="20841BE6"/>
    <w:rsid w:val="20A4469A"/>
    <w:rsid w:val="20DD7614"/>
    <w:rsid w:val="20DE6DFD"/>
    <w:rsid w:val="20E33285"/>
    <w:rsid w:val="21900E1F"/>
    <w:rsid w:val="219D5F36"/>
    <w:rsid w:val="21D96C95"/>
    <w:rsid w:val="21DB2198"/>
    <w:rsid w:val="21E140A1"/>
    <w:rsid w:val="21E45001"/>
    <w:rsid w:val="21E872AF"/>
    <w:rsid w:val="21F37F51"/>
    <w:rsid w:val="222E1FA2"/>
    <w:rsid w:val="22333EAB"/>
    <w:rsid w:val="22484D4A"/>
    <w:rsid w:val="226E4F8A"/>
    <w:rsid w:val="22762396"/>
    <w:rsid w:val="22962D47"/>
    <w:rsid w:val="22A060AD"/>
    <w:rsid w:val="22B578FD"/>
    <w:rsid w:val="22F464E8"/>
    <w:rsid w:val="230C030B"/>
    <w:rsid w:val="2316669C"/>
    <w:rsid w:val="233D7BE1"/>
    <w:rsid w:val="236751A2"/>
    <w:rsid w:val="23A32E08"/>
    <w:rsid w:val="23AB4992"/>
    <w:rsid w:val="23B665A6"/>
    <w:rsid w:val="240C6FB5"/>
    <w:rsid w:val="24117BB9"/>
    <w:rsid w:val="24657643"/>
    <w:rsid w:val="247B17E7"/>
    <w:rsid w:val="24940192"/>
    <w:rsid w:val="249869D6"/>
    <w:rsid w:val="24E10292"/>
    <w:rsid w:val="251406E0"/>
    <w:rsid w:val="25493139"/>
    <w:rsid w:val="25A115C9"/>
    <w:rsid w:val="25E67A17"/>
    <w:rsid w:val="260469DA"/>
    <w:rsid w:val="266959A5"/>
    <w:rsid w:val="26742C26"/>
    <w:rsid w:val="26993FF3"/>
    <w:rsid w:val="26BE651E"/>
    <w:rsid w:val="26CF203B"/>
    <w:rsid w:val="26DC5ACE"/>
    <w:rsid w:val="2701028C"/>
    <w:rsid w:val="271820AF"/>
    <w:rsid w:val="273F35F4"/>
    <w:rsid w:val="274676FC"/>
    <w:rsid w:val="27575417"/>
    <w:rsid w:val="276E7A3C"/>
    <w:rsid w:val="277A0E4F"/>
    <w:rsid w:val="278D3E11"/>
    <w:rsid w:val="27E34FFB"/>
    <w:rsid w:val="2843631A"/>
    <w:rsid w:val="28602F17"/>
    <w:rsid w:val="28A37638"/>
    <w:rsid w:val="28A718C1"/>
    <w:rsid w:val="28D33A0A"/>
    <w:rsid w:val="290D2324"/>
    <w:rsid w:val="29621FF4"/>
    <w:rsid w:val="29BF6B0B"/>
    <w:rsid w:val="29CA162A"/>
    <w:rsid w:val="29E05285"/>
    <w:rsid w:val="2A06727F"/>
    <w:rsid w:val="2A2B1A3D"/>
    <w:rsid w:val="2A3325E4"/>
    <w:rsid w:val="2A642E9C"/>
    <w:rsid w:val="2A66059D"/>
    <w:rsid w:val="2A6D05ED"/>
    <w:rsid w:val="2A727C33"/>
    <w:rsid w:val="2AAD2F10"/>
    <w:rsid w:val="2AD021CB"/>
    <w:rsid w:val="2AD16DE9"/>
    <w:rsid w:val="2AE90DE5"/>
    <w:rsid w:val="2AF20181"/>
    <w:rsid w:val="2AFE1A16"/>
    <w:rsid w:val="2B122C35"/>
    <w:rsid w:val="2B20324F"/>
    <w:rsid w:val="2B62173A"/>
    <w:rsid w:val="2B754ED7"/>
    <w:rsid w:val="2B7E1F9B"/>
    <w:rsid w:val="2C113E5C"/>
    <w:rsid w:val="2C3A399C"/>
    <w:rsid w:val="2CA83FD0"/>
    <w:rsid w:val="2CAB4F54"/>
    <w:rsid w:val="2CC66E03"/>
    <w:rsid w:val="2CDA5AA3"/>
    <w:rsid w:val="2D025963"/>
    <w:rsid w:val="2D1D7812"/>
    <w:rsid w:val="2D3319B5"/>
    <w:rsid w:val="2DC8572C"/>
    <w:rsid w:val="2DD14D37"/>
    <w:rsid w:val="2DF75B66"/>
    <w:rsid w:val="2E063012"/>
    <w:rsid w:val="2E1E4E36"/>
    <w:rsid w:val="2E2B414C"/>
    <w:rsid w:val="2E402DEC"/>
    <w:rsid w:val="2E482652"/>
    <w:rsid w:val="2E627EA9"/>
    <w:rsid w:val="2ECB6253"/>
    <w:rsid w:val="2ED14F6B"/>
    <w:rsid w:val="2ED8336B"/>
    <w:rsid w:val="2F0C5108"/>
    <w:rsid w:val="2F2965ED"/>
    <w:rsid w:val="2F4E2FA9"/>
    <w:rsid w:val="2F552934"/>
    <w:rsid w:val="2F64514D"/>
    <w:rsid w:val="2F6B4AD8"/>
    <w:rsid w:val="2F9B5627"/>
    <w:rsid w:val="2FAB1145"/>
    <w:rsid w:val="2FBD105F"/>
    <w:rsid w:val="2FE77CA5"/>
    <w:rsid w:val="30002DCD"/>
    <w:rsid w:val="300375D5"/>
    <w:rsid w:val="303867AA"/>
    <w:rsid w:val="306D3401"/>
    <w:rsid w:val="308E3936"/>
    <w:rsid w:val="30937DBD"/>
    <w:rsid w:val="309532C1"/>
    <w:rsid w:val="30A04ED5"/>
    <w:rsid w:val="30A60FDC"/>
    <w:rsid w:val="310E7707"/>
    <w:rsid w:val="31324444"/>
    <w:rsid w:val="31331EC5"/>
    <w:rsid w:val="3138634D"/>
    <w:rsid w:val="31627191"/>
    <w:rsid w:val="318520B1"/>
    <w:rsid w:val="31D53C4D"/>
    <w:rsid w:val="322A6BDA"/>
    <w:rsid w:val="323E7DF9"/>
    <w:rsid w:val="32410D7E"/>
    <w:rsid w:val="32584226"/>
    <w:rsid w:val="325E291C"/>
    <w:rsid w:val="326957C5"/>
    <w:rsid w:val="32AE71B3"/>
    <w:rsid w:val="32C957DF"/>
    <w:rsid w:val="32F13120"/>
    <w:rsid w:val="33020E3C"/>
    <w:rsid w:val="33306488"/>
    <w:rsid w:val="335E6CEC"/>
    <w:rsid w:val="33C643FD"/>
    <w:rsid w:val="34052FE8"/>
    <w:rsid w:val="342E63AB"/>
    <w:rsid w:val="345A26F2"/>
    <w:rsid w:val="345B6CC7"/>
    <w:rsid w:val="346B298C"/>
    <w:rsid w:val="348979BE"/>
    <w:rsid w:val="34C865A9"/>
    <w:rsid w:val="34EB675E"/>
    <w:rsid w:val="3537465F"/>
    <w:rsid w:val="358643DE"/>
    <w:rsid w:val="35956BF6"/>
    <w:rsid w:val="359E5308"/>
    <w:rsid w:val="36200D59"/>
    <w:rsid w:val="36293BE7"/>
    <w:rsid w:val="363C540D"/>
    <w:rsid w:val="365921B8"/>
    <w:rsid w:val="365C313C"/>
    <w:rsid w:val="366175C4"/>
    <w:rsid w:val="36B85A54"/>
    <w:rsid w:val="36F05BAE"/>
    <w:rsid w:val="373A2B2A"/>
    <w:rsid w:val="373E3439"/>
    <w:rsid w:val="37536B91"/>
    <w:rsid w:val="37910FBB"/>
    <w:rsid w:val="379A3E49"/>
    <w:rsid w:val="37F5761B"/>
    <w:rsid w:val="38145D11"/>
    <w:rsid w:val="38361D6B"/>
    <w:rsid w:val="38650F93"/>
    <w:rsid w:val="38774730"/>
    <w:rsid w:val="38BB3F20"/>
    <w:rsid w:val="38C735B6"/>
    <w:rsid w:val="38CE09C2"/>
    <w:rsid w:val="38F81807"/>
    <w:rsid w:val="38FD503E"/>
    <w:rsid w:val="39072D1B"/>
    <w:rsid w:val="39271051"/>
    <w:rsid w:val="39B642A0"/>
    <w:rsid w:val="39BE4A47"/>
    <w:rsid w:val="39CA62DC"/>
    <w:rsid w:val="39D001E5"/>
    <w:rsid w:val="39F871AB"/>
    <w:rsid w:val="39FA26AE"/>
    <w:rsid w:val="39FC5BB1"/>
    <w:rsid w:val="3A18603F"/>
    <w:rsid w:val="3A2D057F"/>
    <w:rsid w:val="3A7D1602"/>
    <w:rsid w:val="3A8D3E1B"/>
    <w:rsid w:val="3AE94535"/>
    <w:rsid w:val="3B1A4D04"/>
    <w:rsid w:val="3B3047CC"/>
    <w:rsid w:val="3B5576EF"/>
    <w:rsid w:val="3B6D0F0B"/>
    <w:rsid w:val="3BC06D84"/>
    <w:rsid w:val="3BD83E3D"/>
    <w:rsid w:val="3BEA1B59"/>
    <w:rsid w:val="3BF227E9"/>
    <w:rsid w:val="3C4071FA"/>
    <w:rsid w:val="3C9D15FD"/>
    <w:rsid w:val="3CC527C1"/>
    <w:rsid w:val="3CDA4CE5"/>
    <w:rsid w:val="3D0038A0"/>
    <w:rsid w:val="3DC448E2"/>
    <w:rsid w:val="3DD23BF8"/>
    <w:rsid w:val="3DD622A4"/>
    <w:rsid w:val="3E5F0364"/>
    <w:rsid w:val="3EF44FD4"/>
    <w:rsid w:val="3EF721D5"/>
    <w:rsid w:val="3F281FAB"/>
    <w:rsid w:val="3F565079"/>
    <w:rsid w:val="3F5F4684"/>
    <w:rsid w:val="3FEF0B07"/>
    <w:rsid w:val="402C0554"/>
    <w:rsid w:val="402D41BC"/>
    <w:rsid w:val="40757A4F"/>
    <w:rsid w:val="40CA7159"/>
    <w:rsid w:val="40F17018"/>
    <w:rsid w:val="40F94425"/>
    <w:rsid w:val="4186530E"/>
    <w:rsid w:val="41961677"/>
    <w:rsid w:val="41970E2B"/>
    <w:rsid w:val="41C62D08"/>
    <w:rsid w:val="41F768C6"/>
    <w:rsid w:val="42375131"/>
    <w:rsid w:val="42783D8A"/>
    <w:rsid w:val="42BA4046"/>
    <w:rsid w:val="42C42797"/>
    <w:rsid w:val="42E661CE"/>
    <w:rsid w:val="42FB4E6F"/>
    <w:rsid w:val="432A1241"/>
    <w:rsid w:val="43656A9D"/>
    <w:rsid w:val="43904469"/>
    <w:rsid w:val="43981875"/>
    <w:rsid w:val="43C03060"/>
    <w:rsid w:val="440234A3"/>
    <w:rsid w:val="4430746A"/>
    <w:rsid w:val="4438014F"/>
    <w:rsid w:val="444A3897"/>
    <w:rsid w:val="444C7EFB"/>
    <w:rsid w:val="447424DD"/>
    <w:rsid w:val="44A21D28"/>
    <w:rsid w:val="44C91BE7"/>
    <w:rsid w:val="44E9469A"/>
    <w:rsid w:val="45050AF8"/>
    <w:rsid w:val="450E6E58"/>
    <w:rsid w:val="4556724D"/>
    <w:rsid w:val="455E0086"/>
    <w:rsid w:val="45947CBE"/>
    <w:rsid w:val="45B21BFB"/>
    <w:rsid w:val="45C168FC"/>
    <w:rsid w:val="473009C7"/>
    <w:rsid w:val="473D4EEF"/>
    <w:rsid w:val="47596A1D"/>
    <w:rsid w:val="47986502"/>
    <w:rsid w:val="47B84838"/>
    <w:rsid w:val="47BB79BB"/>
    <w:rsid w:val="4828256E"/>
    <w:rsid w:val="482C0F74"/>
    <w:rsid w:val="48570EBF"/>
    <w:rsid w:val="48670E07"/>
    <w:rsid w:val="48791073"/>
    <w:rsid w:val="48816480"/>
    <w:rsid w:val="48AA50C6"/>
    <w:rsid w:val="48D82DD6"/>
    <w:rsid w:val="48E01D1C"/>
    <w:rsid w:val="49023556"/>
    <w:rsid w:val="490779DE"/>
    <w:rsid w:val="49175A7A"/>
    <w:rsid w:val="49244D8F"/>
    <w:rsid w:val="494A394A"/>
    <w:rsid w:val="49507BA0"/>
    <w:rsid w:val="49865D2D"/>
    <w:rsid w:val="498D0F3C"/>
    <w:rsid w:val="49985F9F"/>
    <w:rsid w:val="49EB34D3"/>
    <w:rsid w:val="4A375B51"/>
    <w:rsid w:val="4A3D7A5A"/>
    <w:rsid w:val="4A6A1823"/>
    <w:rsid w:val="4A9326B9"/>
    <w:rsid w:val="4AC46A3A"/>
    <w:rsid w:val="4AD5598B"/>
    <w:rsid w:val="4B14423A"/>
    <w:rsid w:val="4B24043A"/>
    <w:rsid w:val="4B390BF7"/>
    <w:rsid w:val="4B3B0528"/>
    <w:rsid w:val="4B4F0B9C"/>
    <w:rsid w:val="4B92038C"/>
    <w:rsid w:val="4BE87A96"/>
    <w:rsid w:val="4BEE199F"/>
    <w:rsid w:val="4C0D4452"/>
    <w:rsid w:val="4C405F26"/>
    <w:rsid w:val="4C58104F"/>
    <w:rsid w:val="4C766400"/>
    <w:rsid w:val="4CDE6D29"/>
    <w:rsid w:val="4D3B1641"/>
    <w:rsid w:val="4D465454"/>
    <w:rsid w:val="4D5521EB"/>
    <w:rsid w:val="4D8330BA"/>
    <w:rsid w:val="4DBD0916"/>
    <w:rsid w:val="4DE51ADA"/>
    <w:rsid w:val="4E317E21"/>
    <w:rsid w:val="4E4625D0"/>
    <w:rsid w:val="4E7A454C"/>
    <w:rsid w:val="4E8D0FEE"/>
    <w:rsid w:val="4E936D3A"/>
    <w:rsid w:val="4EA42792"/>
    <w:rsid w:val="4EB124A8"/>
    <w:rsid w:val="4EB359AB"/>
    <w:rsid w:val="4EC00544"/>
    <w:rsid w:val="4EDF1CF2"/>
    <w:rsid w:val="4F14474A"/>
    <w:rsid w:val="4F203DE0"/>
    <w:rsid w:val="4F265CEA"/>
    <w:rsid w:val="4F46299B"/>
    <w:rsid w:val="4F573F3A"/>
    <w:rsid w:val="4F606DC8"/>
    <w:rsid w:val="4FA931B8"/>
    <w:rsid w:val="4FAC5BC3"/>
    <w:rsid w:val="4FCF4E7E"/>
    <w:rsid w:val="4FDA3AE0"/>
    <w:rsid w:val="4FEA34A9"/>
    <w:rsid w:val="4FF02E34"/>
    <w:rsid w:val="502B3F12"/>
    <w:rsid w:val="502D2C99"/>
    <w:rsid w:val="506A1275"/>
    <w:rsid w:val="509016B8"/>
    <w:rsid w:val="50AE44EC"/>
    <w:rsid w:val="50CB608F"/>
    <w:rsid w:val="511D5E24"/>
    <w:rsid w:val="51322546"/>
    <w:rsid w:val="514C786D"/>
    <w:rsid w:val="514F07F2"/>
    <w:rsid w:val="51555F7E"/>
    <w:rsid w:val="51742FB0"/>
    <w:rsid w:val="51B02E51"/>
    <w:rsid w:val="51CC6EC2"/>
    <w:rsid w:val="52114133"/>
    <w:rsid w:val="523C29F9"/>
    <w:rsid w:val="52463308"/>
    <w:rsid w:val="52686D40"/>
    <w:rsid w:val="5296438C"/>
    <w:rsid w:val="52A1019F"/>
    <w:rsid w:val="52B04F36"/>
    <w:rsid w:val="53391617"/>
    <w:rsid w:val="53614D5A"/>
    <w:rsid w:val="53731ACF"/>
    <w:rsid w:val="537B1187"/>
    <w:rsid w:val="53987EBC"/>
    <w:rsid w:val="53A15B43"/>
    <w:rsid w:val="53AF7057"/>
    <w:rsid w:val="53C77F81"/>
    <w:rsid w:val="53E64FB3"/>
    <w:rsid w:val="54275A1C"/>
    <w:rsid w:val="544143C8"/>
    <w:rsid w:val="544E36DD"/>
    <w:rsid w:val="545E3978"/>
    <w:rsid w:val="546F3C12"/>
    <w:rsid w:val="548206B4"/>
    <w:rsid w:val="54AD6F7A"/>
    <w:rsid w:val="54D2133D"/>
    <w:rsid w:val="54F33E6B"/>
    <w:rsid w:val="551556A5"/>
    <w:rsid w:val="552072B9"/>
    <w:rsid w:val="55487179"/>
    <w:rsid w:val="55594E94"/>
    <w:rsid w:val="55797948"/>
    <w:rsid w:val="559B1D35"/>
    <w:rsid w:val="55EB4403"/>
    <w:rsid w:val="560E7E3B"/>
    <w:rsid w:val="56150435"/>
    <w:rsid w:val="56284268"/>
    <w:rsid w:val="56490020"/>
    <w:rsid w:val="5683367D"/>
    <w:rsid w:val="569F1D24"/>
    <w:rsid w:val="56B241CC"/>
    <w:rsid w:val="56B358EC"/>
    <w:rsid w:val="57233722"/>
    <w:rsid w:val="579364F4"/>
    <w:rsid w:val="57D342A4"/>
    <w:rsid w:val="57DC35A0"/>
    <w:rsid w:val="58113D88"/>
    <w:rsid w:val="581A6C16"/>
    <w:rsid w:val="58244C4D"/>
    <w:rsid w:val="58322F61"/>
    <w:rsid w:val="58907EDA"/>
    <w:rsid w:val="58A5289B"/>
    <w:rsid w:val="58C70276"/>
    <w:rsid w:val="58EF7EF3"/>
    <w:rsid w:val="59161438"/>
    <w:rsid w:val="5955311B"/>
    <w:rsid w:val="599A3D2F"/>
    <w:rsid w:val="599C7113"/>
    <w:rsid w:val="59B07FB1"/>
    <w:rsid w:val="59B92E3F"/>
    <w:rsid w:val="59DE5F7A"/>
    <w:rsid w:val="5A242194"/>
    <w:rsid w:val="5A436627"/>
    <w:rsid w:val="5A9D6751"/>
    <w:rsid w:val="5AE7002E"/>
    <w:rsid w:val="5AEE543B"/>
    <w:rsid w:val="5B0E1573"/>
    <w:rsid w:val="5B204D10"/>
    <w:rsid w:val="5B28211D"/>
    <w:rsid w:val="5BB82598"/>
    <w:rsid w:val="5BF062E2"/>
    <w:rsid w:val="5C320050"/>
    <w:rsid w:val="5CDC7622"/>
    <w:rsid w:val="5CEE6205"/>
    <w:rsid w:val="5CF94596"/>
    <w:rsid w:val="5D094830"/>
    <w:rsid w:val="5D2A05E8"/>
    <w:rsid w:val="5D6E1FD6"/>
    <w:rsid w:val="5D923490"/>
    <w:rsid w:val="5DFC50BD"/>
    <w:rsid w:val="5E5644D2"/>
    <w:rsid w:val="5E9033B3"/>
    <w:rsid w:val="5F0F7504"/>
    <w:rsid w:val="5F6B1E1C"/>
    <w:rsid w:val="5FA41BF6"/>
    <w:rsid w:val="5FBA1B9B"/>
    <w:rsid w:val="5FC45A43"/>
    <w:rsid w:val="5FD96BCD"/>
    <w:rsid w:val="5FFF100B"/>
    <w:rsid w:val="606A06BA"/>
    <w:rsid w:val="60BE0144"/>
    <w:rsid w:val="60BF1449"/>
    <w:rsid w:val="6107183D"/>
    <w:rsid w:val="61502F36"/>
    <w:rsid w:val="615B12C7"/>
    <w:rsid w:val="617A47B8"/>
    <w:rsid w:val="61D95419"/>
    <w:rsid w:val="623A6737"/>
    <w:rsid w:val="62595967"/>
    <w:rsid w:val="627D7D1F"/>
    <w:rsid w:val="628A19B9"/>
    <w:rsid w:val="62E30B43"/>
    <w:rsid w:val="63082288"/>
    <w:rsid w:val="631728A2"/>
    <w:rsid w:val="636A48AB"/>
    <w:rsid w:val="636D582F"/>
    <w:rsid w:val="63723EB5"/>
    <w:rsid w:val="63F97611"/>
    <w:rsid w:val="64BF1959"/>
    <w:rsid w:val="64C34ADC"/>
    <w:rsid w:val="64DA4701"/>
    <w:rsid w:val="650C1A58"/>
    <w:rsid w:val="65694391"/>
    <w:rsid w:val="659A4B3F"/>
    <w:rsid w:val="65AA1556"/>
    <w:rsid w:val="65AA4DDA"/>
    <w:rsid w:val="65CD0811"/>
    <w:rsid w:val="65D72426"/>
    <w:rsid w:val="65E826C0"/>
    <w:rsid w:val="65FF3B4F"/>
    <w:rsid w:val="660157E8"/>
    <w:rsid w:val="663372BC"/>
    <w:rsid w:val="66375CC2"/>
    <w:rsid w:val="6667518D"/>
    <w:rsid w:val="66A0406D"/>
    <w:rsid w:val="66D3165A"/>
    <w:rsid w:val="673A09E8"/>
    <w:rsid w:val="67D268BF"/>
    <w:rsid w:val="67E01870"/>
    <w:rsid w:val="67F7461E"/>
    <w:rsid w:val="694036BC"/>
    <w:rsid w:val="6960616F"/>
    <w:rsid w:val="6A123A14"/>
    <w:rsid w:val="6A2D2040"/>
    <w:rsid w:val="6A35744C"/>
    <w:rsid w:val="6A4F7FF6"/>
    <w:rsid w:val="6AA9520C"/>
    <w:rsid w:val="6AAC3C13"/>
    <w:rsid w:val="6B0D4F31"/>
    <w:rsid w:val="6B3F5380"/>
    <w:rsid w:val="6B6F3044"/>
    <w:rsid w:val="6B9A4795"/>
    <w:rsid w:val="6BB21E11"/>
    <w:rsid w:val="6BED679D"/>
    <w:rsid w:val="6BF92043"/>
    <w:rsid w:val="6BFB3534"/>
    <w:rsid w:val="6BFB6DB8"/>
    <w:rsid w:val="6C08064C"/>
    <w:rsid w:val="6C4007A6"/>
    <w:rsid w:val="6C43392F"/>
    <w:rsid w:val="6C4910B5"/>
    <w:rsid w:val="6C5164C2"/>
    <w:rsid w:val="6C7553FD"/>
    <w:rsid w:val="6C87699C"/>
    <w:rsid w:val="6CD23598"/>
    <w:rsid w:val="6D18628B"/>
    <w:rsid w:val="6D5A4776"/>
    <w:rsid w:val="6D7F7D4C"/>
    <w:rsid w:val="6DB07703"/>
    <w:rsid w:val="6DB82591"/>
    <w:rsid w:val="6DCF21B6"/>
    <w:rsid w:val="6DEA65E3"/>
    <w:rsid w:val="6E357F35"/>
    <w:rsid w:val="6E985482"/>
    <w:rsid w:val="6EA61A2B"/>
    <w:rsid w:val="6EBA5637"/>
    <w:rsid w:val="6EFA4222"/>
    <w:rsid w:val="6F080FB9"/>
    <w:rsid w:val="6F1E78D9"/>
    <w:rsid w:val="6F3D238D"/>
    <w:rsid w:val="6F5B51C0"/>
    <w:rsid w:val="6F9C01A8"/>
    <w:rsid w:val="6FC56DEE"/>
    <w:rsid w:val="6FD24C25"/>
    <w:rsid w:val="6FEB37AA"/>
    <w:rsid w:val="6FF8724E"/>
    <w:rsid w:val="705553D8"/>
    <w:rsid w:val="705C2D71"/>
    <w:rsid w:val="706630F4"/>
    <w:rsid w:val="70A01FD4"/>
    <w:rsid w:val="70AE1C60"/>
    <w:rsid w:val="70C3128F"/>
    <w:rsid w:val="70DC0B34"/>
    <w:rsid w:val="710517B0"/>
    <w:rsid w:val="712325AD"/>
    <w:rsid w:val="71BF306A"/>
    <w:rsid w:val="71F260FE"/>
    <w:rsid w:val="720915A6"/>
    <w:rsid w:val="72601FB5"/>
    <w:rsid w:val="72993414"/>
    <w:rsid w:val="729D4A26"/>
    <w:rsid w:val="72C6448C"/>
    <w:rsid w:val="72C806E0"/>
    <w:rsid w:val="72CF006A"/>
    <w:rsid w:val="72E826C1"/>
    <w:rsid w:val="72FB43B2"/>
    <w:rsid w:val="730B464C"/>
    <w:rsid w:val="733B1918"/>
    <w:rsid w:val="736308DE"/>
    <w:rsid w:val="73706993"/>
    <w:rsid w:val="73A43546"/>
    <w:rsid w:val="73BF0CB3"/>
    <w:rsid w:val="73DA1821"/>
    <w:rsid w:val="73E51DB1"/>
    <w:rsid w:val="73F310C6"/>
    <w:rsid w:val="741D578E"/>
    <w:rsid w:val="742D5A28"/>
    <w:rsid w:val="74614F7E"/>
    <w:rsid w:val="74B72109"/>
    <w:rsid w:val="74C04F97"/>
    <w:rsid w:val="74C47221"/>
    <w:rsid w:val="74F26A6B"/>
    <w:rsid w:val="75061AC9"/>
    <w:rsid w:val="750F3E1D"/>
    <w:rsid w:val="752E0E4E"/>
    <w:rsid w:val="75321A53"/>
    <w:rsid w:val="755A0A19"/>
    <w:rsid w:val="756B2EB1"/>
    <w:rsid w:val="759130F1"/>
    <w:rsid w:val="75956274"/>
    <w:rsid w:val="759C73E8"/>
    <w:rsid w:val="75C500C8"/>
    <w:rsid w:val="75CD3A2D"/>
    <w:rsid w:val="76517CAC"/>
    <w:rsid w:val="766146C3"/>
    <w:rsid w:val="76BF86DB"/>
    <w:rsid w:val="76D46C00"/>
    <w:rsid w:val="77000D49"/>
    <w:rsid w:val="771F5D7B"/>
    <w:rsid w:val="772037FC"/>
    <w:rsid w:val="77214B01"/>
    <w:rsid w:val="77380EA3"/>
    <w:rsid w:val="7762556B"/>
    <w:rsid w:val="7778770E"/>
    <w:rsid w:val="77C47B8E"/>
    <w:rsid w:val="77C70B12"/>
    <w:rsid w:val="780505F7"/>
    <w:rsid w:val="780B633A"/>
    <w:rsid w:val="78121E8B"/>
    <w:rsid w:val="78151CD1"/>
    <w:rsid w:val="782B4FB4"/>
    <w:rsid w:val="783201C2"/>
    <w:rsid w:val="783436C5"/>
    <w:rsid w:val="785D19DA"/>
    <w:rsid w:val="789F07F6"/>
    <w:rsid w:val="78A06277"/>
    <w:rsid w:val="78A13CF9"/>
    <w:rsid w:val="78D16A46"/>
    <w:rsid w:val="78D51BC9"/>
    <w:rsid w:val="78FB1E09"/>
    <w:rsid w:val="79017595"/>
    <w:rsid w:val="790B20A3"/>
    <w:rsid w:val="79294BA1"/>
    <w:rsid w:val="79304861"/>
    <w:rsid w:val="79AD76AE"/>
    <w:rsid w:val="79C11BD2"/>
    <w:rsid w:val="79FD3604"/>
    <w:rsid w:val="7A255FC5"/>
    <w:rsid w:val="7A35088C"/>
    <w:rsid w:val="7A373D8F"/>
    <w:rsid w:val="7A6C09E6"/>
    <w:rsid w:val="7A8A5D97"/>
    <w:rsid w:val="7A8F7CA1"/>
    <w:rsid w:val="7A95734F"/>
    <w:rsid w:val="7AC23973"/>
    <w:rsid w:val="7AF83E4D"/>
    <w:rsid w:val="7AF976D0"/>
    <w:rsid w:val="7B664481"/>
    <w:rsid w:val="7B7706F1"/>
    <w:rsid w:val="7B870E20"/>
    <w:rsid w:val="7BBC2C91"/>
    <w:rsid w:val="7C01687E"/>
    <w:rsid w:val="7C3E66E2"/>
    <w:rsid w:val="7C4777C1"/>
    <w:rsid w:val="7C4C127B"/>
    <w:rsid w:val="7C682DAA"/>
    <w:rsid w:val="7C9603F6"/>
    <w:rsid w:val="7CAE2219"/>
    <w:rsid w:val="7CDA6F4E"/>
    <w:rsid w:val="7CDC52E7"/>
    <w:rsid w:val="7CEE0A85"/>
    <w:rsid w:val="7D016EE9"/>
    <w:rsid w:val="7D0E6DBB"/>
    <w:rsid w:val="7D2C0DAD"/>
    <w:rsid w:val="7D3C6605"/>
    <w:rsid w:val="7D5C493C"/>
    <w:rsid w:val="7D5E45BC"/>
    <w:rsid w:val="7D603342"/>
    <w:rsid w:val="7D71105E"/>
    <w:rsid w:val="7D9D1B22"/>
    <w:rsid w:val="7DBB4955"/>
    <w:rsid w:val="7DE91FA1"/>
    <w:rsid w:val="7E163D6A"/>
    <w:rsid w:val="7E2A2A0B"/>
    <w:rsid w:val="7E805998"/>
    <w:rsid w:val="7EB54B6D"/>
    <w:rsid w:val="7F074977"/>
    <w:rsid w:val="7F0823F9"/>
    <w:rsid w:val="7F3044B7"/>
    <w:rsid w:val="7F5411F3"/>
    <w:rsid w:val="7F724027"/>
    <w:rsid w:val="7F934B69"/>
    <w:rsid w:val="7FBF0CE5"/>
    <w:rsid w:val="7FD90169"/>
    <w:rsid w:val="7FFF388A"/>
    <w:rsid w:val="BBBF05AE"/>
    <w:rsid w:val="F7FF4305"/>
    <w:rsid w:val="FB7D2E5B"/>
    <w:rsid w:val="FFDF655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iPriority w:val="0"/>
  </w:style>
  <w:style w:type="table" w:default="1" w:styleId="8">
    <w:name w:val="Normal Table"/>
    <w:semiHidden/>
    <w:qFormat/>
    <w:uiPriority w:val="0"/>
    <w:tblPr>
      <w:tblStyle w:val="8"/>
      <w:tblLayout w:type="fixed"/>
      <w:tblCellMar>
        <w:top w:w="0" w:type="dxa"/>
        <w:left w:w="108" w:type="dxa"/>
        <w:bottom w:w="0" w:type="dxa"/>
        <w:right w:w="108" w:type="dxa"/>
      </w:tblCellMar>
    </w:tblPr>
    <w:tcPr>
      <w:textDirection w:val="lrTb"/>
    </w:tcPr>
  </w:style>
  <w:style w:type="paragraph" w:styleId="2">
    <w:name w:val="Document Map"/>
    <w:basedOn w:val="1"/>
    <w:link w:val="13"/>
    <w:qFormat/>
    <w:uiPriority w:val="0"/>
    <w:rPr>
      <w:rFonts w:ascii="宋体" w:eastAsia="宋体"/>
      <w:sz w:val="18"/>
      <w:szCs w:val="18"/>
    </w:rPr>
  </w:style>
  <w:style w:type="paragraph" w:styleId="3">
    <w:name w:val="Balloon Text"/>
    <w:basedOn w:val="1"/>
    <w:link w:val="12"/>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7">
    <w:name w:val="Emphasis"/>
    <w:qFormat/>
    <w:uiPriority w:val="20"/>
    <w:rPr>
      <w:color w:val="CC0000"/>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0">
    <w:name w:val="_Style 9"/>
    <w:basedOn w:val="1"/>
    <w:qFormat/>
    <w:uiPriority w:val="0"/>
    <w:pPr>
      <w:ind w:firstLine="420" w:firstLineChars="200"/>
    </w:pPr>
  </w:style>
  <w:style w:type="character" w:customStyle="1" w:styleId="11">
    <w:name w:val="页眉 Char"/>
    <w:link w:val="5"/>
    <w:uiPriority w:val="0"/>
    <w:rPr>
      <w:sz w:val="18"/>
      <w:szCs w:val="18"/>
    </w:rPr>
  </w:style>
  <w:style w:type="character" w:customStyle="1" w:styleId="12">
    <w:name w:val="批注框文本 Char"/>
    <w:link w:val="3"/>
    <w:qFormat/>
    <w:uiPriority w:val="0"/>
    <w:rPr>
      <w:sz w:val="18"/>
      <w:szCs w:val="18"/>
    </w:rPr>
  </w:style>
  <w:style w:type="character" w:customStyle="1" w:styleId="13">
    <w:name w:val="文档结构图 Char"/>
    <w:link w:val="2"/>
    <w:qFormat/>
    <w:uiPriority w:val="0"/>
    <w:rPr>
      <w:rFonts w:ascii="宋体" w:eastAsia="宋体"/>
      <w:sz w:val="18"/>
      <w:szCs w:val="18"/>
    </w:rPr>
  </w:style>
  <w:style w:type="character" w:customStyle="1" w:styleId="14">
    <w:name w:val="页脚 Char"/>
    <w:link w:val="4"/>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705</Words>
  <Characters>4020</Characters>
  <Lines>33</Lines>
  <Paragraphs>9</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2018-01-16T01:16:00Z</dcterms:created>
  <dc:creator>李媛恒</dc:creator>
  <cp:lastModifiedBy>Admin</cp:lastModifiedBy>
  <cp:lastPrinted>2018-01-25T10:19:00Z</cp:lastPrinted>
  <dcterms:modified xsi:type="dcterms:W3CDTF">2018-02-07T08:52:23Z</dcterms:modified>
  <dc:title>工业和信息化部关于工业促投资稳增长成效明显市（州）激励措施的实施办法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