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附件3-1：</w:t>
      </w:r>
      <w:bookmarkStart w:id="0" w:name="_GoBack"/>
      <w:bookmarkEnd w:id="0"/>
    </w:p>
    <w:p>
      <w:pPr>
        <w:spacing w:line="4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国际标准项目转化情况汇总表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4"/>
        <w:gridCol w:w="775"/>
        <w:gridCol w:w="1134"/>
        <w:gridCol w:w="1134"/>
        <w:gridCol w:w="993"/>
        <w:gridCol w:w="1250"/>
        <w:gridCol w:w="450"/>
        <w:gridCol w:w="425"/>
        <w:gridCol w:w="425"/>
        <w:gridCol w:w="426"/>
        <w:gridCol w:w="425"/>
        <w:gridCol w:w="709"/>
        <w:gridCol w:w="631"/>
        <w:gridCol w:w="735"/>
        <w:gridCol w:w="851"/>
        <w:gridCol w:w="1417"/>
        <w:gridCol w:w="709"/>
        <w:gridCol w:w="1134"/>
        <w:gridCol w:w="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" w:hRule="atLeast"/>
        </w:trPr>
        <w:tc>
          <w:tcPr>
            <w:tcW w:w="64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国际标准名称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国际标准编号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所属国际技术委员会</w:t>
            </w:r>
          </w:p>
        </w:tc>
        <w:tc>
          <w:tcPr>
            <w:tcW w:w="12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对口国内技术委员会</w:t>
            </w:r>
          </w:p>
        </w:tc>
        <w:tc>
          <w:tcPr>
            <w:tcW w:w="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转化结论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已转或正转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不转理由</w:t>
            </w:r>
          </w:p>
        </w:tc>
        <w:tc>
          <w:tcPr>
            <w:tcW w:w="476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" w:hRule="atLeast"/>
        </w:trPr>
        <w:tc>
          <w:tcPr>
            <w:tcW w:w="644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已转</w:t>
            </w: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正转</w:t>
            </w:r>
          </w:p>
        </w:tc>
        <w:tc>
          <w:tcPr>
            <w:tcW w:w="4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待转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不转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转化率%</w:t>
            </w:r>
          </w:p>
        </w:tc>
        <w:tc>
          <w:tcPr>
            <w:tcW w:w="13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转化方式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4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国内名称</w:t>
            </w: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nil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" w:hRule="atLeast"/>
        </w:trPr>
        <w:tc>
          <w:tcPr>
            <w:tcW w:w="644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left w:val="single" w:color="auto" w:sz="4" w:space="0"/>
              <w:right w:val="nil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" w:hRule="atLeast"/>
        </w:trPr>
        <w:tc>
          <w:tcPr>
            <w:tcW w:w="644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①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②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③</w:t>
            </w: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④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⑤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⑥</w:t>
            </w: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⑦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⑧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⑨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⑩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⑪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⑫</w:t>
            </w: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930" w:type="dxa"/>
            <w:gridSpan w:val="6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687" w:type="dxa"/>
            <w:gridSpan w:val="4"/>
            <w:tcBorders>
              <w:left w:val="nil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一、ISO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687" w:type="dxa"/>
            <w:gridSpan w:val="4"/>
            <w:tcBorders>
              <w:left w:val="nil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二、IEC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687" w:type="dxa"/>
            <w:gridSpan w:val="4"/>
            <w:tcBorders>
              <w:left w:val="nil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三、ITU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930" w:type="dxa"/>
            <w:gridSpan w:val="6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 w:ascii="宋体" w:hAnsi="宋体"/>
                <w:sz w:val="24"/>
                <w:szCs w:val="24"/>
              </w:rPr>
              <w:t>XXX-1</w:t>
            </w:r>
            <w:r>
              <w:rPr>
                <w:rFonts w:hint="eastAsia"/>
                <w:sz w:val="24"/>
                <w:szCs w:val="24"/>
              </w:rPr>
              <w:t>（其他国外先进标准）</w:t>
            </w: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930" w:type="dxa"/>
            <w:gridSpan w:val="6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XXX-2</w:t>
            </w:r>
            <w:r>
              <w:rPr>
                <w:rFonts w:hint="eastAsia"/>
                <w:sz w:val="24"/>
                <w:szCs w:val="24"/>
              </w:rPr>
              <w:t>（其他国外先进标准）</w:t>
            </w: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4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Calibri"/>
          <w:b/>
          <w:szCs w:val="21"/>
        </w:rPr>
      </w:pPr>
      <w:r>
        <w:rPr>
          <w:rFonts w:hint="eastAsia"/>
          <w:sz w:val="24"/>
          <w:szCs w:val="24"/>
        </w:rPr>
        <w:t>注：1、请在“</w:t>
      </w:r>
      <w:r>
        <w:rPr>
          <w:rFonts w:eastAsia="仿宋" w:cs="Calibri"/>
          <w:b/>
          <w:szCs w:val="21"/>
        </w:rPr>
        <w:t>②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③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④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⑤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⑦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⑧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”，</w:t>
      </w:r>
      <w:r>
        <w:rPr>
          <w:rFonts w:eastAsia="仿宋" w:cs="Calibri"/>
          <w:b/>
          <w:szCs w:val="21"/>
        </w:rPr>
        <w:t>①=②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③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④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⑤</w:t>
      </w:r>
      <w:r>
        <w:rPr>
          <w:rFonts w:hAnsi="仿宋" w:eastAsia="仿宋" w:cs="Calibri"/>
          <w:b/>
          <w:szCs w:val="21"/>
        </w:rPr>
        <w:t>；</w:t>
      </w:r>
      <w:r>
        <w:rPr>
          <w:rFonts w:eastAsia="仿宋" w:cs="Calibri"/>
          <w:b/>
          <w:szCs w:val="21"/>
        </w:rPr>
        <w:t>⑥=②</w:t>
      </w:r>
      <w:r>
        <w:rPr>
          <w:rFonts w:hint="eastAsia" w:eastAsia="仿宋" w:cs="Calibri"/>
          <w:b/>
          <w:szCs w:val="21"/>
          <w:lang w:val="en-US" w:eastAsia="zh-CN"/>
        </w:rPr>
        <w:t>÷</w:t>
      </w:r>
      <w:r>
        <w:rPr>
          <w:rFonts w:hAnsi="仿宋" w:eastAsia="仿宋" w:cs="Calibri"/>
          <w:b/>
          <w:szCs w:val="21"/>
        </w:rPr>
        <w:t>（</w:t>
      </w:r>
      <w:r>
        <w:rPr>
          <w:rFonts w:eastAsia="仿宋" w:cs="Calibri"/>
          <w:b/>
          <w:szCs w:val="21"/>
        </w:rPr>
        <w:t>②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③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④</w:t>
      </w:r>
      <w:r>
        <w:rPr>
          <w:rFonts w:hAnsi="仿宋" w:eastAsia="仿宋" w:cs="Calibri"/>
          <w:b/>
          <w:szCs w:val="21"/>
        </w:rPr>
        <w:t>）</w:t>
      </w:r>
      <w:r>
        <w:rPr>
          <w:rFonts w:hint="eastAsia"/>
          <w:sz w:val="24"/>
          <w:szCs w:val="24"/>
        </w:rPr>
        <w:t>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2、已转：已转化为国家标准或行业标准的，需在</w:t>
      </w:r>
      <w:r>
        <w:rPr>
          <w:rFonts w:eastAsia="仿宋" w:cs="Calibri"/>
          <w:b/>
          <w:szCs w:val="21"/>
        </w:rPr>
        <w:t>⑨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int="eastAsia"/>
          <w:sz w:val="24"/>
          <w:szCs w:val="24"/>
        </w:rPr>
        <w:t>中填写国内标准编号和名称；正转：已列入国家标准或行业标准制定计划，需在</w:t>
      </w:r>
      <w:r>
        <w:rPr>
          <w:rFonts w:eastAsia="仿宋" w:cs="Calibri"/>
          <w:b/>
          <w:szCs w:val="21"/>
        </w:rPr>
        <w:t>⑨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int="eastAsia"/>
          <w:sz w:val="24"/>
          <w:szCs w:val="24"/>
        </w:rPr>
        <w:t>中填写计划编号和计划名称；待转：需在</w:t>
      </w:r>
      <w:r>
        <w:rPr>
          <w:rFonts w:eastAsia="仿宋" w:cs="Calibri"/>
          <w:b/>
          <w:szCs w:val="21"/>
        </w:rPr>
        <w:t>⑪</w:t>
      </w:r>
      <w:r>
        <w:rPr>
          <w:rFonts w:hint="eastAsia"/>
          <w:sz w:val="24"/>
          <w:szCs w:val="24"/>
        </w:rPr>
        <w:t>栏目中填写计划年度；不转化：经研究不适应我国产业发展需求的，需在</w:t>
      </w:r>
      <w:r>
        <w:rPr>
          <w:rFonts w:eastAsia="仿宋" w:cs="Calibri"/>
          <w:b/>
          <w:szCs w:val="21"/>
        </w:rPr>
        <w:t>⑫</w:t>
      </w:r>
      <w:r>
        <w:rPr>
          <w:rFonts w:hint="eastAsia"/>
          <w:sz w:val="24"/>
          <w:szCs w:val="24"/>
        </w:rPr>
        <w:t>中填写主要理由。</w:t>
      </w:r>
    </w:p>
    <w:sectPr>
      <w:footerReference r:id="rId4" w:type="default"/>
      <w:pgSz w:w="16838" w:h="11906" w:orient="landscape"/>
      <w:pgMar w:top="1135" w:right="1440" w:bottom="993" w:left="1440" w:header="851" w:footer="410" w:gutter="0"/>
      <w:pgNumType w:fmt="decimal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0E554C8F"/>
    <w:rsid w:val="156051A2"/>
    <w:rsid w:val="18340143"/>
    <w:rsid w:val="264272D7"/>
    <w:rsid w:val="2B3012EB"/>
    <w:rsid w:val="32127335"/>
    <w:rsid w:val="3F8C7AD1"/>
    <w:rsid w:val="41D81894"/>
    <w:rsid w:val="498118A6"/>
    <w:rsid w:val="49A761F7"/>
    <w:rsid w:val="4BAB06EB"/>
    <w:rsid w:val="4FAA26BF"/>
    <w:rsid w:val="51A45CFD"/>
    <w:rsid w:val="527350D1"/>
    <w:rsid w:val="56EB3FA6"/>
    <w:rsid w:val="57684BF4"/>
    <w:rsid w:val="629F09AF"/>
    <w:rsid w:val="66D222BD"/>
    <w:rsid w:val="710806FF"/>
    <w:rsid w:val="723B77F7"/>
    <w:rsid w:val="73C62B81"/>
    <w:rsid w:val="7A3A0A0B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2016-08-18T08:41:26Z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