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jc w:val="center"/>
        <w:rPr>
          <w:rFonts w:ascii="黑体" w:hAnsi="黑体" w:eastAsia="黑体" w:cs="黑体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</w:rPr>
        <w:t>钢铁企业能耗情况自查报告</w:t>
      </w:r>
      <w:bookmarkEnd w:id="0"/>
    </w:p>
    <w:p>
      <w:pPr>
        <w:jc w:val="center"/>
        <w:rPr>
          <w:rFonts w:ascii="仿宋_GB2312" w:eastAsia="仿宋_GB2312"/>
          <w:sz w:val="28"/>
          <w:szCs w:val="28"/>
        </w:rPr>
      </w:pPr>
    </w:p>
    <w:p>
      <w:pPr>
        <w:snapToGrid w:val="0"/>
        <w:spacing w:line="360" w:lineRule="auto"/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一、企业概况</w:t>
      </w:r>
    </w:p>
    <w:p>
      <w:pPr>
        <w:snapToGrid w:val="0"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企业简介、生产规模、2015年企业生产经营情况等。</w:t>
      </w:r>
    </w:p>
    <w:p>
      <w:pPr>
        <w:snapToGrid w:val="0"/>
        <w:spacing w:line="360" w:lineRule="auto"/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二、能耗情况</w:t>
      </w:r>
    </w:p>
    <w:p>
      <w:pPr>
        <w:snapToGrid w:val="0"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2015年企业全年主要产品产量和能源消耗情况（填写附表1）。企业</w:t>
      </w:r>
      <w:r>
        <w:rPr>
          <w:rFonts w:ascii="仿宋_GB2312" w:hAnsi="仿宋_GB2312" w:eastAsia="仿宋_GB2312" w:cs="仿宋_GB2312"/>
          <w:sz w:val="32"/>
          <w:szCs w:val="32"/>
        </w:rPr>
        <w:t>应</w:t>
      </w:r>
      <w:r>
        <w:rPr>
          <w:rFonts w:hint="eastAsia" w:ascii="仿宋_GB2312" w:hAnsi="仿宋_GB2312" w:eastAsia="仿宋_GB2312" w:cs="仿宋_GB2312"/>
          <w:sz w:val="32"/>
          <w:szCs w:val="32"/>
        </w:rPr>
        <w:t>提供2015年1-12月焦化、烧结、球团、炼铁、转炉、电炉等工序分月能源消耗数据台账备查。</w:t>
      </w:r>
    </w:p>
    <w:p>
      <w:pPr>
        <w:snapToGrid w:val="0"/>
        <w:spacing w:line="360" w:lineRule="auto"/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、能耗限额标准达标情况</w:t>
      </w:r>
    </w:p>
    <w:p>
      <w:pPr>
        <w:snapToGrid w:val="0"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企业对照</w:t>
      </w:r>
      <w:r>
        <w:rPr>
          <w:rFonts w:hint="eastAsia" w:ascii="仿宋" w:hAnsi="仿宋" w:eastAsia="仿宋" w:cs="仿宋_GB2312"/>
          <w:sz w:val="32"/>
          <w:szCs w:val="32"/>
        </w:rPr>
        <w:t>《粗钢生产主要工序单位产品能源消耗限额》</w:t>
      </w:r>
      <w:r>
        <w:rPr>
          <w:rFonts w:ascii="仿宋_GB2312" w:eastAsia="仿宋_GB2312"/>
          <w:sz w:val="32"/>
          <w:szCs w:val="32"/>
        </w:rPr>
        <w:t>（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GB 21256-2013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《焦炭单位产品能源消耗限额》（GB 21342-2013）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</w:t>
      </w:r>
      <w:r>
        <w:rPr>
          <w:rFonts w:ascii="仿宋_GB2312" w:hAnsi="仿宋_GB2312" w:eastAsia="仿宋_GB2312" w:cs="仿宋_GB2312"/>
          <w:sz w:val="32"/>
          <w:szCs w:val="32"/>
        </w:rPr>
        <w:t>强制性标准，</w:t>
      </w:r>
      <w:r>
        <w:rPr>
          <w:rFonts w:hint="eastAsia" w:ascii="仿宋_GB2312" w:hAnsi="仿宋_GB2312" w:eastAsia="仿宋_GB2312" w:cs="仿宋_GB2312"/>
          <w:sz w:val="32"/>
          <w:szCs w:val="32"/>
        </w:rPr>
        <w:t>说明</w:t>
      </w:r>
      <w:r>
        <w:rPr>
          <w:rFonts w:ascii="仿宋_GB2312" w:hAnsi="仿宋_GB2312" w:eastAsia="仿宋_GB2312" w:cs="仿宋_GB2312"/>
          <w:sz w:val="32"/>
          <w:szCs w:val="32"/>
        </w:rPr>
        <w:t>各工序能耗达标情况</w:t>
      </w:r>
      <w:r>
        <w:rPr>
          <w:rFonts w:hint="eastAsia" w:ascii="仿宋_GB2312" w:hAnsi="仿宋_GB2312" w:eastAsia="仿宋_GB2312" w:cs="仿宋_GB2312"/>
          <w:sz w:val="32"/>
          <w:szCs w:val="32"/>
        </w:rPr>
        <w:t>（填写附表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）。</w:t>
      </w:r>
    </w:p>
    <w:p>
      <w:pPr>
        <w:snapToGrid w:val="0"/>
        <w:spacing w:line="360" w:lineRule="auto"/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sz w:val="32"/>
          <w:szCs w:val="32"/>
        </w:rPr>
        <w:t>、能源计量器具配备情况</w:t>
      </w:r>
    </w:p>
    <w:p>
      <w:pPr>
        <w:snapToGrid w:val="0"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焦化、烧结、球团、炼铁、转炉、电炉等工序二级能源计量器具和三级能源计量器具配备情况（填写附表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）。</w:t>
      </w:r>
    </w:p>
    <w:p>
      <w:pPr>
        <w:snapToGrid w:val="0"/>
        <w:spacing w:line="360" w:lineRule="auto"/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sz w:val="32"/>
          <w:szCs w:val="32"/>
        </w:rPr>
        <w:t>、能源管理情况</w:t>
      </w:r>
    </w:p>
    <w:p>
      <w:pPr>
        <w:snapToGrid w:val="0"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企业能源管理体系建设、能源管理有关规章制度建立、能源管控中心建设和运营情况等。</w:t>
      </w:r>
    </w:p>
    <w:p>
      <w:pPr>
        <w:snapToGrid w:val="0"/>
        <w:spacing w:line="360" w:lineRule="auto"/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黑体"/>
          <w:sz w:val="32"/>
          <w:szCs w:val="32"/>
        </w:rPr>
        <w:t>、节能措施和节能项目情况</w:t>
      </w:r>
    </w:p>
    <w:p>
      <w:pPr>
        <w:snapToGrid w:val="0"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企业已经实施和</w:t>
      </w:r>
      <w:r>
        <w:rPr>
          <w:rFonts w:ascii="仿宋_GB2312" w:hAnsi="仿宋_GB2312" w:eastAsia="仿宋_GB2312" w:cs="仿宋_GB2312"/>
          <w:sz w:val="32"/>
          <w:szCs w:val="32"/>
        </w:rPr>
        <w:t>正在实施的</w:t>
      </w:r>
      <w:r>
        <w:rPr>
          <w:rFonts w:hint="eastAsia" w:ascii="仿宋_GB2312" w:hAnsi="仿宋_GB2312" w:eastAsia="仿宋_GB2312" w:cs="仿宋_GB2312"/>
          <w:sz w:val="32"/>
          <w:szCs w:val="32"/>
        </w:rPr>
        <w:t>主要节能措施和节能项目（填写附表</w:t>
      </w: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）。</w:t>
      </w:r>
    </w:p>
    <w:p>
      <w:pPr>
        <w:snapToGrid w:val="0"/>
        <w:spacing w:line="360" w:lineRule="auto"/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</w:t>
      </w:r>
      <w:r>
        <w:rPr>
          <w:rFonts w:ascii="黑体" w:hAnsi="黑体" w:eastAsia="黑体" w:cs="黑体"/>
          <w:sz w:val="32"/>
          <w:szCs w:val="32"/>
        </w:rPr>
        <w:t>存在问题及</w:t>
      </w:r>
      <w:r>
        <w:rPr>
          <w:rFonts w:hint="eastAsia" w:ascii="黑体" w:hAnsi="黑体" w:eastAsia="黑体" w:cs="黑体"/>
          <w:sz w:val="32"/>
          <w:szCs w:val="32"/>
        </w:rPr>
        <w:t>整改</w:t>
      </w:r>
      <w:r>
        <w:rPr>
          <w:rFonts w:ascii="黑体" w:hAnsi="黑体" w:eastAsia="黑体" w:cs="黑体"/>
          <w:sz w:val="32"/>
          <w:szCs w:val="32"/>
        </w:rPr>
        <w:t>措施</w:t>
      </w:r>
    </w:p>
    <w:p>
      <w:pPr>
        <w:snapToGrid w:val="0"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企业能源利用</w:t>
      </w:r>
      <w:r>
        <w:rPr>
          <w:rFonts w:ascii="仿宋_GB2312" w:hAnsi="仿宋_GB2312" w:eastAsia="仿宋_GB2312" w:cs="仿宋_GB2312"/>
          <w:sz w:val="32"/>
          <w:szCs w:val="32"/>
        </w:rPr>
        <w:t>存在</w:t>
      </w:r>
      <w:r>
        <w:rPr>
          <w:rFonts w:hint="eastAsia" w:ascii="仿宋_GB2312" w:hAnsi="仿宋_GB2312" w:eastAsia="仿宋_GB2312" w:cs="仿宋_GB2312"/>
          <w:sz w:val="32"/>
          <w:szCs w:val="32"/>
        </w:rPr>
        <w:t>问题以及相应的整改</w:t>
      </w:r>
      <w:r>
        <w:rPr>
          <w:rFonts w:ascii="仿宋_GB2312" w:hAnsi="仿宋_GB2312" w:eastAsia="仿宋_GB2312" w:cs="仿宋_GB2312"/>
          <w:sz w:val="32"/>
          <w:szCs w:val="32"/>
        </w:rPr>
        <w:t>措施，特别是对</w:t>
      </w:r>
      <w:r>
        <w:rPr>
          <w:rFonts w:hint="eastAsia" w:ascii="仿宋_GB2312" w:hAnsi="仿宋_GB2312" w:eastAsia="仿宋_GB2312" w:cs="仿宋_GB2312"/>
          <w:sz w:val="32"/>
          <w:szCs w:val="32"/>
        </w:rPr>
        <w:t>达不到</w:t>
      </w:r>
      <w:r>
        <w:rPr>
          <w:rFonts w:ascii="仿宋_GB2312" w:hAnsi="仿宋_GB2312" w:eastAsia="仿宋_GB2312" w:cs="仿宋_GB2312"/>
          <w:sz w:val="32"/>
          <w:szCs w:val="32"/>
        </w:rPr>
        <w:t>强制性能耗限额标准的工序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ascii="仿宋_GB2312" w:hAnsi="仿宋_GB2312" w:eastAsia="仿宋_GB2312" w:cs="仿宋_GB2312"/>
          <w:sz w:val="32"/>
          <w:szCs w:val="32"/>
        </w:rPr>
        <w:t>应提出明确的</w:t>
      </w:r>
      <w:r>
        <w:rPr>
          <w:rFonts w:hint="eastAsia" w:ascii="仿宋_GB2312" w:hAnsi="仿宋_GB2312" w:eastAsia="仿宋_GB2312" w:cs="仿宋_GB2312"/>
          <w:sz w:val="32"/>
          <w:szCs w:val="32"/>
        </w:rPr>
        <w:t>节能</w:t>
      </w:r>
      <w:r>
        <w:rPr>
          <w:rFonts w:ascii="仿宋_GB2312" w:hAnsi="仿宋_GB2312" w:eastAsia="仿宋_GB2312" w:cs="仿宋_GB2312"/>
          <w:sz w:val="32"/>
          <w:szCs w:val="32"/>
        </w:rPr>
        <w:t>改造</w:t>
      </w:r>
      <w:r>
        <w:rPr>
          <w:rFonts w:hint="eastAsia" w:ascii="仿宋_GB2312" w:hAnsi="仿宋_GB2312" w:eastAsia="仿宋_GB2312" w:cs="仿宋_GB2312"/>
          <w:sz w:val="32"/>
          <w:szCs w:val="32"/>
        </w:rPr>
        <w:t>等</w:t>
      </w:r>
      <w:r>
        <w:rPr>
          <w:rFonts w:ascii="仿宋_GB2312" w:hAnsi="仿宋_GB2312" w:eastAsia="仿宋_GB2312" w:cs="仿宋_GB2312"/>
          <w:sz w:val="32"/>
          <w:szCs w:val="32"/>
        </w:rPr>
        <w:t>整改措施。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decorative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decorative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modern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modern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AngsanaUPC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Angsana New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Lucida Sans">
    <w:panose1 w:val="020B0602030504020204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5B0ADB"/>
    <w:rsid w:val="425B0AD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2016-06-03T09:47:00Z</dcterms:created>
  <dc:creator>莫虹频</dc:creator>
  <cp:lastModifiedBy>莫虹频</cp:lastModifiedBy>
  <dcterms:modified xsi:type="dcterms:W3CDTF">2016-06-03T09:48:09Z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