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仿宋_GB2312" w:hAnsi="仿宋_GB2312" w:eastAsia="仿宋_GB2312" w:cs="仿宋_GB2312"/>
          <w:sz w:val="32"/>
          <w:szCs w:val="32"/>
        </w:rPr>
      </w:pPr>
      <w:bookmarkStart w:id="0" w:name="_GoBack"/>
      <w:bookmarkEnd w:id="0"/>
      <w:r>
        <w:rPr>
          <w:rFonts w:hint="eastAsia" w:ascii="华文中宋" w:hAnsi="华文中宋" w:eastAsia="华文中宋" w:cs="华文中宋"/>
          <w:b/>
          <w:bCs/>
          <w:sz w:val="36"/>
          <w:szCs w:val="36"/>
        </w:rPr>
        <w:t>印染行业规范条件（2017年版</w:t>
      </w:r>
      <w:r>
        <w:rPr>
          <w:rFonts w:hint="eastAsia" w:ascii="华文中宋" w:hAnsi="华文中宋" w:eastAsia="华文中宋" w:cs="华文中宋"/>
          <w:b/>
          <w:bCs/>
          <w:sz w:val="36"/>
          <w:szCs w:val="36"/>
          <w:lang w:eastAsia="zh-CN"/>
        </w:rPr>
        <w:t>，征求意见稿</w:t>
      </w:r>
      <w:r>
        <w:rPr>
          <w:rFonts w:hint="eastAsia" w:ascii="华文中宋" w:hAnsi="华文中宋" w:eastAsia="华文中宋" w:cs="华文中宋"/>
          <w:b/>
          <w:bCs/>
          <w:sz w:val="36"/>
          <w:szCs w:val="36"/>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促进印染行业产业结构调整和转型升级，规范印染行业生产经营和投资行为，推进节能减排清洁生产，引导印染行业向技术密集、资源节约、环境友好型产业发展，根据国家有关法律、法规和产业政策，制定本规范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一、企业布局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建设地点必须符合国家产业规划和产业政策，符合本地区主体功能区规划、城乡规划、土地利用总体规划和生态环境规划要求。七大重点流域干流沿岸，要严格控制印染项目环境风险，合理布局生产装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在国务院、国家有关部门和省（自治区、直辖市）级人民政府规定的风景名胜区、自然保护区、饮用水保护区和主要河流两岸边界外规定范围内不得新建印染项目。已在上述区域内投产运营的印染生产企业要根据区域规划和保护生态环境的需要，依法通过关闭、搬迁、转产等方式退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缺水或水质较差地区原则上不得新建印染项目。水源相对充足地区新建印染项目，地方政府相关部门要科学规划，合理布局，必须在工业园区内集中建设，实行集中供热和污染物的集中处理。缺少环境容量地区，要限制发展印染项目，新建或改扩建项目要与淘汰落后产能相结合。工业园区外企业要逐步搬迁入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二、工艺与装备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（一）印染企业要采用技术先进、节能环保的设备，主要工艺参数实现在线检测和自动控制。</w:t>
      </w:r>
      <w:r>
        <w:rPr>
          <w:rFonts w:hint="eastAsia" w:ascii="仿宋_GB2312" w:hAnsi="仿宋_GB2312" w:eastAsia="仿宋_GB2312" w:cs="仿宋_GB2312"/>
          <w:sz w:val="32"/>
          <w:szCs w:val="32"/>
          <w:lang w:eastAsia="zh-CN"/>
        </w:rPr>
        <w:t>新建或改扩建印染生产线总体水平要达到或接近国际先进水平。</w:t>
      </w:r>
      <w:r>
        <w:rPr>
          <w:rFonts w:hint="eastAsia" w:ascii="仿宋_GB2312" w:hAnsi="仿宋_GB2312" w:eastAsia="仿宋_GB2312" w:cs="仿宋_GB2312"/>
          <w:sz w:val="32"/>
          <w:szCs w:val="32"/>
        </w:rPr>
        <w:t>鼓励采用染化料自动配液输送系统。禁止使用国家明确规定的淘汰类落后生产工艺和设备，禁止使用达不到节能环保要求的二手设备。棉、化纤及混纺机织物印染项目设计建设要执行《印染工厂设计规范》（GB50426-2016）。</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（二）连续式水洗装置要密封性好，并配有逆流、高效漂洗及热能回收装置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间歇式染色设备浴比应满足1：8以下工艺要求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拉幅定形设备要</w:t>
      </w:r>
      <w:r>
        <w:rPr>
          <w:rFonts w:hint="eastAsia" w:ascii="仿宋_GB2312" w:hAnsi="仿宋_GB2312" w:eastAsia="仿宋_GB2312" w:cs="仿宋_GB2312"/>
          <w:sz w:val="32"/>
          <w:szCs w:val="32"/>
          <w:lang w:eastAsia="zh-CN"/>
        </w:rPr>
        <w:t>配</w:t>
      </w:r>
      <w:r>
        <w:rPr>
          <w:rFonts w:hint="eastAsia" w:ascii="仿宋_GB2312" w:hAnsi="仿宋_GB2312" w:eastAsia="仿宋_GB2312" w:cs="仿宋_GB2312"/>
          <w:sz w:val="32"/>
          <w:szCs w:val="32"/>
        </w:rPr>
        <w:t>有废气净化和余热回收装置。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、质量与管理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（一）印染企业要开发生产低消耗、低污染产品，鼓励采用新技术、新工艺、新设备、新材料开发具有自主知识产权、高附加值的纺织产品。产品质量要符合国家或行业标准要求，产品合格率达到95%以上。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（二）印染企业应实行三级用能、用水计量管理，设置专门机构或人员对能源、取水、排污情况进行监督，并建立管理考核制度和数据统计系统。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（三）印染企业要健全企业管理制度，鼓励企业进行质量、环境以及职业健康等管理体系认证，支持企业采用信息化管理手段提高企业管理效率和水平。企业要加强生产现场管理，车间要求干净整洁。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印染企业要规范化学品存储和使用，危险化学品应严格遵循《危险化学品安全管理条例》要求，加强对从业人员化学品使用的岗位技能培训。企业应建立化学品绿色供应链管控体系，避免使用对消费者、环境等有害的化学物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四</w:t>
      </w:r>
      <w:r>
        <w:rPr>
          <w:rFonts w:hint="eastAsia" w:ascii="黑体" w:hAnsi="黑体" w:eastAsia="黑体" w:cs="黑体"/>
          <w:sz w:val="32"/>
          <w:szCs w:val="32"/>
        </w:rPr>
        <w:t>、资源消耗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（一）印染企业单位产品能耗和新鲜水取水量要达到规定要求。</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印染加工综合能耗及新鲜水取水量</w:t>
      </w:r>
    </w:p>
    <w:tbl>
      <w:tblPr>
        <w:tblStyle w:val="5"/>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88"/>
        <w:gridCol w:w="2693"/>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分类</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综合能耗</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新鲜水取水量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棉、麻、化纤及混纺机织物</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≤30公斤标煤/百米</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≤1.6吨水/百米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纱线、针织物</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≤1.1吨标煤/吨</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0吨水/吨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真丝绸机织物（含练白）</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≤36公斤标煤/百米</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≤2.2吨水/百米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98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精梳毛织物</w:t>
            </w:r>
          </w:p>
        </w:tc>
        <w:tc>
          <w:tcPr>
            <w:tcW w:w="269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≤150公斤标煤/百米</w:t>
            </w:r>
          </w:p>
        </w:tc>
        <w:tc>
          <w:tcPr>
            <w:tcW w:w="284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autoSpaceDN w:val="0"/>
              <w:spacing w:before="120" w:line="270" w:lineRule="atLeas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≤15吨水/百米</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注：1.机织物标准品为布幅宽度152cm、布重10-14kg/100m的棉染色合格产品，真丝绸机织物标准品为布幅宽度114cm、布重6-8kg/100m的染色合格产品，当产品不同时，可按标准进行换算。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2.针织或纱线标准品为棉浅色染色产品，当产品不同时，可按标准进行换算。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精梳毛织物印染加工指从毛条经过条染复精梳、纺纱、织布、染整、成品入库等工序加工成合格毛织品精梳织物的全过程。粗梳毛织物单位产品能耗按精梳毛织物的1.3倍折算,新鲜水取水量按精梳毛织物的1.15倍折算。</w:t>
      </w:r>
      <w:r>
        <w:rPr>
          <w:rFonts w:hint="eastAsia" w:ascii="仿宋_GB2312" w:hAnsi="仿宋_GB2312" w:eastAsia="仿宋_GB2312" w:cs="仿宋_GB2312"/>
          <w:sz w:val="32"/>
          <w:szCs w:val="32"/>
          <w:lang w:eastAsia="zh-CN"/>
        </w:rPr>
        <w:t>毛针织绒线、手编绒线单位</w:t>
      </w:r>
      <w:r>
        <w:rPr>
          <w:rFonts w:hint="eastAsia" w:ascii="仿宋_GB2312" w:hAnsi="仿宋_GB2312" w:eastAsia="仿宋_GB2312" w:cs="仿宋_GB2312"/>
          <w:sz w:val="32"/>
          <w:szCs w:val="32"/>
        </w:rPr>
        <w:t>产品能耗按纱线、针织物的1.3倍折算,新鲜水取水量按纱线、针织物的1.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倍折算。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五</w:t>
      </w:r>
      <w:r>
        <w:rPr>
          <w:rFonts w:hint="eastAsia" w:ascii="黑体" w:hAnsi="黑体" w:eastAsia="黑体" w:cs="黑体"/>
          <w:sz w:val="32"/>
          <w:szCs w:val="32"/>
        </w:rPr>
        <w:t>、环境保护与资源综合利用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环保设施要按照《纺织工业企业环保设计规范》（GB50425-2008）的要求进行设计和建设，执行环保设施与主体工程同时设计、同时施工、同时投产的“三同时”制度。印染废水应自行处理或接入集中废水处理设施，并加强废水处理及运行中的水质分析和监控，废水排放实行在线监控，实现稳定达标排放。采用高效节能的固体废弃物处理工艺，实现固体废弃物资源化和无害化处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（二）印染企业要按照环境友好和资源综合利用的原则，选择可生物降解（或易回收）浆料坯布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使用生态环保型、高上染率染料和高性能助剂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完善冷却水、冷凝水及余热回收装置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丝光工艺配备淡碱回收装置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企业水重复利用率达到40％以上。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（三）印染企业要采用清洁生产技术，提高资源利用效率，从生产的源头控制污染物产生量。印染企业要依法定期实施清洁生产审核，按照有关规定开展能源审计，不断提高企业清洁生产水平。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六</w:t>
      </w:r>
      <w:r>
        <w:rPr>
          <w:rFonts w:hint="eastAsia" w:ascii="黑体" w:hAnsi="黑体" w:eastAsia="黑体" w:cs="黑体"/>
          <w:sz w:val="32"/>
          <w:szCs w:val="32"/>
        </w:rPr>
        <w:t>、安全生产与社会责任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印染企业要按照《纺织工业企业安全管理规范》（AQ7002-2007）和《纺织工业企业职业安全卫生设计规范》（GB50477-2009）要求，建设安全生产设施，并按照国家有关规定和要求，确保安全设施与主体工程同时设计、同时施工、同时投入生产和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鼓励印染企业按照《纺织企业社会责任管理体系》（CSC9000-T）的要求，保障劳动者和消费者权益，履行社会责任。鼓励企业开展化学品和环境信息公开。企业在生产运营过程中严格按照《纺织工业企业安全管理规范》要求，规范安全生产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七</w:t>
      </w:r>
      <w:r>
        <w:rPr>
          <w:rFonts w:hint="eastAsia" w:ascii="黑体" w:hAnsi="黑体" w:eastAsia="黑体" w:cs="黑体"/>
          <w:sz w:val="32"/>
          <w:szCs w:val="32"/>
        </w:rPr>
        <w:t>、监督管理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（一）工业和信息化、国土资源、环境保护、住房和城乡建设、安全监管等部门，要依法加强对印染企业的监督检查，对于违反规定的，有关部门要责令其及时改正，并依法严肃处理。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各级工业和信息化主管部门要加强对印染行业的管理，督促企业按照规范条件要求，加快技术改造，加快淘汰落后产能，规范企业各项管理。经企业自愿申请、省级工业和信息化主管部门核实推荐，工业和信息化部对符合规范条件的企业进行公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）有关行业协会要宣传国家产业政策，加强行业指导和行业自律，推进印染行业技术进步，协助政府有关部门做好行业监督、管理工作。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、附则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（一）本规范条件适用于中华人民共和国境内（港澳台地区除外）各类印染企业，具有印染能力的棉纺织、长丝织造、毛纺织、麻纺织、丝绸、色织、针织、服装等企业。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（二）本规范条件采用的标准或数据如有修订，从其规定。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（三）本规范条件自</w:t>
      </w:r>
      <w:r>
        <w:rPr>
          <w:rFonts w:hint="eastAsia" w:ascii="仿宋_GB2312" w:hAnsi="仿宋_GB2312" w:eastAsia="仿宋_GB2312" w:cs="仿宋_GB2312"/>
          <w:sz w:val="32"/>
          <w:szCs w:val="32"/>
          <w:lang w:val="en-US" w:eastAsia="zh-CN"/>
        </w:rPr>
        <w:t xml:space="preserve">2017年  </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日起实施。</w:t>
      </w:r>
      <w:r>
        <w:rPr>
          <w:rFonts w:hint="eastAsia" w:ascii="仿宋_GB2312" w:hAnsi="仿宋_GB2312" w:eastAsia="仿宋_GB2312" w:cs="仿宋_GB2312"/>
          <w:sz w:val="32"/>
          <w:szCs w:val="32"/>
          <w:lang w:val="en-US" w:eastAsia="zh-CN"/>
        </w:rPr>
        <w:t>2010年4月11日公布的</w:t>
      </w:r>
      <w:r>
        <w:rPr>
          <w:rFonts w:hint="eastAsia" w:ascii="仿宋_GB2312" w:hAnsi="仿宋_GB2312" w:eastAsia="仿宋_GB2312" w:cs="仿宋_GB2312"/>
          <w:sz w:val="32"/>
          <w:szCs w:val="32"/>
        </w:rPr>
        <w:t>《印染行业准入条件（2010年修订版）》（工消费</w:t>
      </w:r>
      <w:r>
        <w:rPr>
          <w:rFonts w:hint="default"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sz w:val="32"/>
          <w:szCs w:val="32"/>
        </w:rPr>
        <w:t>2010</w:t>
      </w:r>
      <w:r>
        <w:rPr>
          <w:rFonts w:hint="default" w:ascii="Times New Roman" w:hAnsi="Times New Roman" w:eastAsia="仿宋_GB2312" w:cs="Times New Roman"/>
          <w:b w:val="0"/>
          <w:bCs w:val="0"/>
          <w:sz w:val="32"/>
          <w:szCs w:val="32"/>
          <w:lang w:val="en-US" w:eastAsia="zh-CN"/>
        </w:rPr>
        <w:t>〕</w:t>
      </w:r>
      <w:r>
        <w:rPr>
          <w:rFonts w:hint="eastAsia" w:ascii="仿宋_GB2312" w:hAnsi="仿宋_GB2312" w:eastAsia="仿宋_GB2312" w:cs="仿宋_GB2312"/>
          <w:sz w:val="32"/>
          <w:szCs w:val="32"/>
        </w:rPr>
        <w:t>第93号）同时废止。</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C1A2F26"/>
    <w:rsid w:val="01467B1A"/>
    <w:rsid w:val="14950464"/>
    <w:rsid w:val="1A8C0AAE"/>
    <w:rsid w:val="268310CF"/>
    <w:rsid w:val="28CA7904"/>
    <w:rsid w:val="29120F71"/>
    <w:rsid w:val="29B85E74"/>
    <w:rsid w:val="2F9B5627"/>
    <w:rsid w:val="3C682428"/>
    <w:rsid w:val="44F512D6"/>
    <w:rsid w:val="4A8536D2"/>
    <w:rsid w:val="4E0C3F18"/>
    <w:rsid w:val="576A00F7"/>
    <w:rsid w:val="578C7453"/>
    <w:rsid w:val="605B3D2F"/>
    <w:rsid w:val="680422FD"/>
    <w:rsid w:val="6BB9504A"/>
    <w:rsid w:val="6CD4272A"/>
    <w:rsid w:val="73854316"/>
    <w:rsid w:val="79757554"/>
    <w:rsid w:val="7BEB7F5D"/>
    <w:rsid w:val="7C1A2F26"/>
    <w:rsid w:val="7C63309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2017-06-27T00:58:00Z</dcterms:created>
  <dc:creator>纵瑞龙</dc:creator>
  <cp:lastModifiedBy>zrl</cp:lastModifiedBy>
  <cp:lastPrinted>2017-07-03T04:27:00Z</cp:lastPrinted>
  <dcterms:modified xsi:type="dcterms:W3CDTF">2017-07-14T03:29:20Z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