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方正仿宋简体"/>
          <w:color w:val="auto"/>
          <w:sz w:val="24"/>
        </w:rPr>
      </w:pPr>
      <w:r>
        <w:rPr>
          <w:rFonts w:hint="eastAsia" w:ascii="宋体" w:hAnsi="宋体" w:cs="方正仿宋简体"/>
          <w:color w:val="auto"/>
          <w:sz w:val="24"/>
        </w:rPr>
        <w:t>国家标准《客车结构安全要求》(GB 13094—2017)</w:t>
      </w:r>
    </w:p>
    <w:p>
      <w:pPr>
        <w:spacing w:line="360" w:lineRule="auto"/>
        <w:jc w:val="center"/>
        <w:rPr>
          <w:rFonts w:ascii="宋体" w:hAnsi="宋体" w:cs="方正仿宋简体"/>
          <w:color w:val="auto"/>
          <w:sz w:val="24"/>
        </w:rPr>
      </w:pPr>
      <w:r>
        <w:rPr>
          <w:rFonts w:hint="eastAsia" w:ascii="宋体" w:hAnsi="宋体" w:cs="方正仿宋简体"/>
          <w:color w:val="auto"/>
          <w:sz w:val="24"/>
        </w:rPr>
        <w:t>第1号修改单编制说明</w:t>
      </w:r>
    </w:p>
    <w:p>
      <w:pPr>
        <w:spacing w:line="360" w:lineRule="auto"/>
        <w:jc w:val="center"/>
        <w:rPr>
          <w:rFonts w:ascii="宋体" w:hAnsi="宋体" w:cs="方正仿宋简体"/>
          <w:color w:val="auto"/>
          <w:sz w:val="24"/>
        </w:rPr>
      </w:pPr>
      <w:r>
        <w:rPr>
          <w:rFonts w:hint="eastAsia" w:ascii="宋体" w:hAnsi="宋体" w:cs="方正仿宋简体"/>
          <w:color w:val="auto"/>
          <w:sz w:val="24"/>
        </w:rPr>
        <w:t>（征求意见稿）</w:t>
      </w:r>
    </w:p>
    <w:p>
      <w:pPr>
        <w:spacing w:line="480" w:lineRule="auto"/>
        <w:rPr>
          <w:rFonts w:ascii="宋体" w:hAnsi="宋体"/>
          <w:color w:val="auto"/>
          <w:szCs w:val="21"/>
        </w:rPr>
      </w:pPr>
      <w:r>
        <w:rPr>
          <w:rFonts w:hint="eastAsia" w:ascii="宋体" w:hAnsi="宋体"/>
          <w:color w:val="auto"/>
          <w:szCs w:val="21"/>
        </w:rPr>
        <w:t>一、工作简况</w:t>
      </w:r>
    </w:p>
    <w:p>
      <w:pPr>
        <w:rPr>
          <w:rFonts w:ascii="宋体" w:hAnsi="宋体"/>
          <w:color w:val="auto"/>
          <w:szCs w:val="21"/>
        </w:rPr>
      </w:pPr>
      <w:r>
        <w:rPr>
          <w:rFonts w:hint="eastAsia" w:ascii="宋体" w:hAnsi="宋体"/>
          <w:color w:val="auto"/>
          <w:szCs w:val="21"/>
        </w:rPr>
        <w:t>1、任务来源</w:t>
      </w:r>
    </w:p>
    <w:p>
      <w:pPr>
        <w:spacing w:before="100" w:beforeAutospacing="1"/>
        <w:ind w:firstLine="420" w:firstLineChars="200"/>
        <w:rPr>
          <w:rFonts w:ascii="宋体" w:hAnsi="宋体"/>
          <w:color w:val="auto"/>
          <w:szCs w:val="21"/>
        </w:rPr>
      </w:pPr>
      <w:r>
        <w:rPr>
          <w:rFonts w:hint="eastAsia" w:ascii="宋体" w:hAnsi="宋体"/>
          <w:color w:val="auto"/>
          <w:szCs w:val="21"/>
        </w:rPr>
        <w:t>GB 13094-2017自发布实施以来，在使用中发现一些与其他标准不协调的问题；同时，根据 “10·28重庆公交坠江事故”，需要加强公共汽车的驾驶安全。</w:t>
      </w:r>
    </w:p>
    <w:p>
      <w:pPr>
        <w:spacing w:before="100" w:beforeAutospacing="1"/>
        <w:rPr>
          <w:rFonts w:ascii="宋体" w:hAnsi="宋体"/>
          <w:color w:val="auto"/>
          <w:szCs w:val="21"/>
        </w:rPr>
      </w:pPr>
      <w:r>
        <w:rPr>
          <w:rFonts w:hint="eastAsia" w:ascii="宋体" w:hAnsi="宋体"/>
          <w:color w:val="auto"/>
          <w:szCs w:val="21"/>
        </w:rPr>
        <w:t>2、主要工作过程</w:t>
      </w:r>
    </w:p>
    <w:p>
      <w:pPr>
        <w:pStyle w:val="7"/>
        <w:spacing w:before="312" w:beforeLines="100" w:beforeAutospacing="0" w:after="312" w:afterLines="100" w:afterAutospacing="0"/>
        <w:ind w:firstLine="420" w:firstLineChars="200"/>
        <w:outlineLvl w:val="0"/>
        <w:rPr>
          <w:rFonts w:hint="eastAsia"/>
          <w:color w:val="auto"/>
          <w:kern w:val="44"/>
          <w:sz w:val="21"/>
          <w:szCs w:val="21"/>
        </w:rPr>
      </w:pPr>
      <w:r>
        <w:rPr>
          <w:rFonts w:hint="eastAsia"/>
          <w:color w:val="auto"/>
          <w:kern w:val="44"/>
          <w:sz w:val="21"/>
          <w:szCs w:val="21"/>
        </w:rPr>
        <w:t>根据工业和信息化部安排，全国汽车标准化技术委员会客车分技术委员会于2018年12月10日在北京组织主要客车企业、零部件生产企业进行了讨论，根据讨论结果组织起草了本修改单。</w:t>
      </w:r>
    </w:p>
    <w:p>
      <w:pPr>
        <w:pStyle w:val="7"/>
        <w:spacing w:before="312" w:beforeLines="100" w:beforeAutospacing="0" w:after="312" w:afterLines="100" w:afterAutospacing="0"/>
        <w:ind w:firstLine="420" w:firstLineChars="200"/>
        <w:outlineLvl w:val="0"/>
        <w:rPr>
          <w:rFonts w:hint="eastAsia"/>
          <w:color w:val="auto"/>
          <w:kern w:val="44"/>
          <w:sz w:val="21"/>
          <w:szCs w:val="21"/>
          <w:lang w:val="en-US" w:eastAsia="zh-CN"/>
        </w:rPr>
      </w:pPr>
      <w:r>
        <w:rPr>
          <w:rFonts w:hint="eastAsia"/>
          <w:color w:val="auto"/>
          <w:kern w:val="44"/>
          <w:sz w:val="21"/>
          <w:szCs w:val="21"/>
          <w:lang w:val="en-US" w:eastAsia="zh-CN"/>
        </w:rPr>
        <w:t>2019年12月，全国汽车标准化技术委员会客车分技术委员会2019年年会期间，组织标委会部分委员对本修改单征求意见稿初稿进行讨论和修改。</w:t>
      </w:r>
    </w:p>
    <w:p>
      <w:pPr>
        <w:pStyle w:val="7"/>
        <w:spacing w:before="312" w:beforeLines="100" w:beforeAutospacing="0" w:after="312" w:afterLines="100" w:afterAutospacing="0"/>
        <w:ind w:firstLine="420" w:firstLineChars="200"/>
        <w:outlineLvl w:val="0"/>
        <w:rPr>
          <w:rFonts w:hint="default"/>
          <w:color w:val="auto"/>
          <w:kern w:val="44"/>
          <w:sz w:val="21"/>
          <w:szCs w:val="21"/>
          <w:lang w:val="en-US" w:eastAsia="zh-CN"/>
        </w:rPr>
      </w:pPr>
      <w:r>
        <w:rPr>
          <w:rFonts w:hint="eastAsia"/>
          <w:color w:val="auto"/>
          <w:kern w:val="44"/>
          <w:sz w:val="21"/>
          <w:szCs w:val="21"/>
          <w:lang w:val="en-US" w:eastAsia="zh-CN"/>
        </w:rPr>
        <w:t>2020年6月，起草组将修改单征求意见稿提交客车分标委秘书处。</w:t>
      </w:r>
    </w:p>
    <w:p>
      <w:pPr>
        <w:pStyle w:val="7"/>
        <w:spacing w:before="0" w:beforeAutospacing="0" w:after="0" w:afterAutospacing="0" w:line="480" w:lineRule="auto"/>
        <w:outlineLvl w:val="0"/>
        <w:rPr>
          <w:color w:val="auto"/>
          <w:kern w:val="44"/>
          <w:sz w:val="21"/>
          <w:szCs w:val="21"/>
        </w:rPr>
      </w:pPr>
      <w:r>
        <w:rPr>
          <w:rFonts w:hint="eastAsia"/>
          <w:color w:val="auto"/>
          <w:kern w:val="44"/>
          <w:sz w:val="21"/>
          <w:szCs w:val="21"/>
        </w:rPr>
        <w:t>二、标准编制原则和标准主要内容的论据，解决的主要问题</w:t>
      </w:r>
    </w:p>
    <w:p>
      <w:pPr>
        <w:spacing w:line="360" w:lineRule="auto"/>
        <w:rPr>
          <w:rFonts w:ascii="宋体" w:hAnsi="宋体"/>
          <w:color w:val="auto"/>
          <w:szCs w:val="21"/>
        </w:rPr>
      </w:pPr>
      <w:r>
        <w:rPr>
          <w:rFonts w:hint="eastAsia" w:ascii="宋体" w:hAnsi="宋体"/>
          <w:color w:val="auto"/>
          <w:szCs w:val="21"/>
        </w:rPr>
        <w:t>1、修改单制定原则</w:t>
      </w:r>
    </w:p>
    <w:p>
      <w:pPr>
        <w:spacing w:line="360" w:lineRule="auto"/>
        <w:ind w:firstLine="420" w:firstLineChars="200"/>
        <w:rPr>
          <w:rFonts w:ascii="宋体" w:hAnsi="宋体"/>
          <w:color w:val="auto"/>
          <w:szCs w:val="21"/>
        </w:rPr>
      </w:pPr>
      <w:r>
        <w:rPr>
          <w:rFonts w:hint="eastAsia" w:ascii="宋体" w:hAnsi="宋体"/>
          <w:color w:val="auto"/>
          <w:szCs w:val="21"/>
        </w:rPr>
        <w:t>提高公共汽车驾驶安全，提高与其他标准协调性，提高标准合理性。</w:t>
      </w:r>
    </w:p>
    <w:p>
      <w:pPr>
        <w:spacing w:line="360" w:lineRule="auto"/>
        <w:rPr>
          <w:rFonts w:ascii="宋体" w:hAnsi="宋体"/>
          <w:color w:val="auto"/>
          <w:szCs w:val="21"/>
        </w:rPr>
      </w:pPr>
      <w:r>
        <w:rPr>
          <w:rFonts w:hint="eastAsia" w:ascii="宋体" w:hAnsi="宋体"/>
          <w:color w:val="auto"/>
          <w:szCs w:val="21"/>
        </w:rPr>
        <w:t>2、</w:t>
      </w:r>
      <w:r>
        <w:rPr>
          <w:rFonts w:hint="eastAsia" w:ascii="宋体" w:hAnsi="宋体"/>
          <w:bCs/>
          <w:color w:val="auto"/>
          <w:szCs w:val="21"/>
        </w:rPr>
        <w:t>标准主要技术内容的论据</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1）第4.5.8.7条修改为“</w:t>
      </w:r>
      <w:r>
        <w:rPr>
          <w:rFonts w:hint="eastAsia" w:ascii="宋体" w:hAnsi="宋体" w:cs="方正仿宋简体"/>
          <w:color w:val="auto"/>
        </w:rPr>
        <w:t>对于Ⅰ级和A级客车两侧侧窗，若洞口</w:t>
      </w:r>
      <w:r>
        <w:rPr>
          <w:rFonts w:hint="eastAsia" w:ascii="宋体" w:hAnsi="宋体" w:cs="方正仿宋简体"/>
          <w:color w:val="auto"/>
        </w:rPr>
        <w:t>可内接一个大于</w:t>
      </w:r>
      <w:r>
        <w:rPr>
          <w:rFonts w:hint="eastAsia" w:ascii="宋体" w:hAnsi="宋体" w:cs="方正仿宋简体"/>
          <w:color w:val="auto"/>
        </w:rPr>
        <w:t>或等于</w:t>
      </w:r>
      <w:r>
        <w:rPr>
          <w:rFonts w:hint="eastAsia" w:ascii="宋体" w:hAnsi="宋体" w:cs="方正仿宋简体"/>
          <w:color w:val="auto"/>
        </w:rPr>
        <w:t>800mm</w:t>
      </w:r>
      <w:r>
        <w:rPr>
          <w:rFonts w:hint="eastAsia" w:ascii="宋体" w:hAnsi="宋体" w:cs="方正仿宋简体"/>
          <w:color w:val="auto"/>
        </w:rPr>
        <w:t>×900mm的矩形时应设置为推拉式或外推式</w:t>
      </w:r>
      <w:r>
        <w:rPr>
          <w:rFonts w:hint="eastAsia" w:ascii="宋体" w:hAnsi="宋体" w:cs="方正仿宋简体"/>
          <w:color w:val="auto"/>
        </w:rPr>
        <w:t>应急窗</w:t>
      </w:r>
      <w:r>
        <w:rPr>
          <w:rFonts w:hint="eastAsia" w:ascii="宋体" w:hAnsi="宋体" w:cs="方正仿宋简体"/>
          <w:color w:val="auto"/>
        </w:rPr>
        <w:t>；若洞口面积</w:t>
      </w:r>
      <w:r>
        <w:rPr>
          <w:rFonts w:hint="eastAsia" w:ascii="宋体" w:hAnsi="宋体" w:cs="方正仿宋简体"/>
          <w:color w:val="auto"/>
        </w:rPr>
        <w:t>大于或等于4×10</w:t>
      </w:r>
      <w:r>
        <w:rPr>
          <w:rFonts w:hint="eastAsia" w:ascii="宋体" w:hAnsi="宋体" w:cs="方正仿宋简体"/>
          <w:color w:val="auto"/>
          <w:vertAlign w:val="superscript"/>
        </w:rPr>
        <w:t>5</w:t>
      </w:r>
      <w:r>
        <w:rPr>
          <w:rFonts w:hint="eastAsia" w:ascii="宋体" w:hAnsi="宋体" w:cs="方正仿宋简体"/>
          <w:color w:val="auto"/>
        </w:rPr>
        <w:t>mm</w:t>
      </w:r>
      <w:r>
        <w:rPr>
          <w:rFonts w:hint="eastAsia" w:ascii="宋体" w:hAnsi="宋体" w:cs="方正仿宋简体"/>
          <w:color w:val="auto"/>
          <w:vertAlign w:val="superscript"/>
        </w:rPr>
        <w:t>2</w:t>
      </w:r>
      <w:r>
        <w:rPr>
          <w:rFonts w:hint="eastAsia" w:ascii="宋体" w:hAnsi="宋体" w:cs="方正仿宋简体"/>
          <w:color w:val="auto"/>
        </w:rPr>
        <w:t>且可内接一个大于或等于</w:t>
      </w:r>
      <w:r>
        <w:rPr>
          <w:rFonts w:hint="eastAsia" w:ascii="宋体" w:hAnsi="宋体" w:cs="方正仿宋简体"/>
          <w:color w:val="auto"/>
        </w:rPr>
        <w:t>500mm×700mm的矩形时</w:t>
      </w:r>
      <w:r>
        <w:rPr>
          <w:rFonts w:hint="eastAsia" w:ascii="宋体" w:hAnsi="宋体" w:cs="方正仿宋简体"/>
          <w:color w:val="auto"/>
        </w:rPr>
        <w:t>应设置为击碎玻璃式应急窗</w:t>
      </w:r>
      <w:r>
        <w:rPr>
          <w:rFonts w:hint="eastAsia" w:ascii="宋体" w:hAnsi="宋体" w:cs="方正仿宋简体"/>
          <w:color w:val="auto"/>
        </w:rPr>
        <w:t>；侧窗洞口尺寸应在车辆处于完工状态从侧窗立柱内侧测量</w:t>
      </w:r>
      <w:r>
        <w:rPr>
          <w:rFonts w:hint="eastAsia" w:cs="方正仿宋简体" w:asciiTheme="minorEastAsia" w:hAnsiTheme="minorEastAsia" w:eastAsiaTheme="minorEastAsia"/>
          <w:color w:val="auto"/>
          <w:szCs w:val="21"/>
        </w:rPr>
        <w:t>”</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论据说明：</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两标准</w:t>
      </w:r>
      <w:r>
        <w:rPr>
          <w:rFonts w:hint="eastAsia" w:cs="方正仿宋简体" w:asciiTheme="minorEastAsia" w:hAnsiTheme="minorEastAsia" w:eastAsiaTheme="minorEastAsia"/>
          <w:strike/>
          <w:color w:val="auto"/>
          <w:szCs w:val="21"/>
        </w:rPr>
        <w:t>尺寸</w:t>
      </w:r>
      <w:r>
        <w:rPr>
          <w:rFonts w:hint="eastAsia" w:cs="方正仿宋简体" w:asciiTheme="minorEastAsia" w:hAnsiTheme="minorEastAsia" w:eastAsiaTheme="minorEastAsia"/>
          <w:color w:val="auto"/>
          <w:szCs w:val="21"/>
        </w:rPr>
        <w:t>有差异，对企业设计、生产和管理部门检查带来困扰，因此建议将4.5.8.7条</w:t>
      </w:r>
      <w:r>
        <w:rPr>
          <w:rFonts w:hint="eastAsia" w:cs="方正仿宋简体" w:asciiTheme="minorEastAsia" w:hAnsiTheme="minorEastAsia" w:eastAsiaTheme="minorEastAsia"/>
          <w:strike/>
          <w:color w:val="auto"/>
          <w:szCs w:val="21"/>
        </w:rPr>
        <w:t>尺寸</w:t>
      </w:r>
      <w:r>
        <w:rPr>
          <w:rFonts w:hint="eastAsia" w:cs="方正仿宋简体" w:asciiTheme="minorEastAsia" w:hAnsiTheme="minorEastAsia" w:eastAsiaTheme="minorEastAsia"/>
          <w:color w:val="auto"/>
          <w:szCs w:val="21"/>
        </w:rPr>
        <w:t>修改为与GB 7258-2017相同。</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2）新增4.6.13.5</w:t>
      </w:r>
      <w:r>
        <w:rPr>
          <w:rFonts w:cs="方正仿宋简体" w:asciiTheme="minorEastAsia" w:hAnsiTheme="minorEastAsia" w:eastAsiaTheme="minorEastAsia"/>
          <w:color w:val="auto"/>
          <w:szCs w:val="21"/>
        </w:rPr>
        <w:t xml:space="preserve"> </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4.6.13.5 如设有驾驶区隔离设施，则应符合以下要求：</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a）应能防止乘客侵入驾驶区与驾驶员发生直接肢体接触或抢夺方向盘；将图18所示测量装置（其活动臂可以自由地绕其铰接轴线转动），放置在隔离设施外的每个位置，该活动臂无法碰到司机身体任何部位和方向盘即满足本要求；</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b) 不应影响驾驶员的正常驾驶操作和观察外视镜</w:t>
      </w:r>
      <w:bookmarkStart w:id="0" w:name="_GoBack"/>
      <w:bookmarkEnd w:id="0"/>
      <w:r>
        <w:rPr>
          <w:rFonts w:hint="eastAsia" w:cs="方正仿宋简体" w:asciiTheme="minorEastAsia" w:hAnsiTheme="minorEastAsia" w:eastAsiaTheme="minorEastAsia"/>
          <w:color w:val="auto"/>
          <w:szCs w:val="21"/>
        </w:rPr>
        <w:t>；</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c）除安装驾驶员门的客车外，应安装隔离门；隔离门应符合以下要求：</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——宽度不小于450mm；</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——不应影响乘客的应急撤离。如果在打开时会阻碍乘客在紧急情况下的撤离，则宜能自动关闭，且不应安装任何保持其开启的装置；</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——应具有锁止机构，锁止机构应能从驾驶区内部打开和锁止，并提供在紧急情况下将隔离门从乘客区打开的方法。</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论据说明：</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由于重庆万州公交坠江事故，为了防止驾驶员在驾驶过程中被乘客干扰，GB 7258—2017《机动车运行安全技术条件》第1号修改单已增加了部分客车驾驶区应设置隔离设施的要求,但对隔离设施的要求仅为“防止他人侵入驾驶区、不应影响驾驶人的安全驾驶和乘员的应急撤离”，该要求主观性较强，不够细化，无法有效指导客车生产企业设计生产和管理部门检查，GB 13094-2017是客车结构安全根本标准，有必要进行补充，以指导客车企业进行设计、生产，保障驾驶员的驾驶安全。</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3）新增4.6.13.6条</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4.6.13.6 设置驾驶区隔离设施的客车，纵向布置的右侧第一排座椅乘客的脚部空间，</w:t>
      </w:r>
      <w:r>
        <w:rPr>
          <w:rFonts w:hint="eastAsia" w:cs="方正仿宋简体" w:asciiTheme="minorEastAsia" w:hAnsiTheme="minorEastAsia" w:eastAsiaTheme="minorEastAsia"/>
          <w:color w:val="auto"/>
          <w:szCs w:val="21"/>
        </w:rPr>
        <w:t>可适当减少，减少不应超过纵向为300mm并与车辆中心线夹角为20°的三角区域。</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论据说明：</w:t>
      </w:r>
    </w:p>
    <w:p>
      <w:pPr>
        <w:spacing w:line="360" w:lineRule="auto"/>
        <w:ind w:firstLine="480"/>
        <w:rPr>
          <w:rFonts w:hint="eastAsia"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GB 13094-2017中4.6.8.5.1规定“位于其他座椅后面或面向通道的座位，应提供如图14所示的最小深度为300mm（对面向通道的侧向座椅为225mm）、最小宽度为400mm的乘客脚部空间。”。设置驾驶区隔离设施后，在保证隔离门开启角度的开情况下，隔离门开启将侵占右侧第一排座椅乘客的脚部空间，</w:t>
      </w:r>
      <w:r>
        <w:rPr>
          <w:rFonts w:hint="eastAsia" w:cs="方正仿宋简体" w:asciiTheme="minorEastAsia" w:hAnsiTheme="minorEastAsia" w:eastAsiaTheme="minorEastAsia"/>
          <w:color w:val="auto"/>
          <w:szCs w:val="21"/>
        </w:rPr>
        <w:t>约为纵向为300mm并与车辆中心线夹角为20°的三角区域。</w:t>
      </w:r>
    </w:p>
    <w:p>
      <w:pPr>
        <w:spacing w:line="360" w:lineRule="auto"/>
        <w:ind w:firstLine="480"/>
        <w:rPr>
          <w:rFonts w:hint="eastAsia"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该放脚空间的减少量参考欧盟法规UN R107的图25（乘客双脚休息区），具体如下：</w:t>
      </w:r>
    </w:p>
    <w:p>
      <w:pPr>
        <w:spacing w:line="360" w:lineRule="auto"/>
        <w:ind w:firstLine="48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drawing>
          <wp:inline distT="0" distB="0" distL="0" distR="0">
            <wp:extent cx="2480310" cy="2114550"/>
            <wp:effectExtent l="0" t="0" r="0" b="0"/>
            <wp:docPr id="1" name="图片 1" descr="D:\gaozha\Desktop\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gaozha\Desktop\示意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80767" cy="2115077"/>
                    </a:xfrm>
                    <a:prstGeom prst="rect">
                      <a:avLst/>
                    </a:prstGeom>
                    <a:noFill/>
                    <a:ln>
                      <a:noFill/>
                    </a:ln>
                  </pic:spPr>
                </pic:pic>
              </a:graphicData>
            </a:graphic>
          </wp:inline>
        </w:drawing>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4）第</w:t>
      </w:r>
      <w:r>
        <w:rPr>
          <w:rFonts w:cs="方正仿宋简体" w:asciiTheme="minorEastAsia" w:hAnsiTheme="minorEastAsia" w:eastAsiaTheme="minorEastAsia"/>
          <w:color w:val="auto"/>
          <w:szCs w:val="21"/>
        </w:rPr>
        <w:t>4.6.8.3</w:t>
      </w:r>
      <w:r>
        <w:rPr>
          <w:rFonts w:hint="eastAsia" w:cs="方正仿宋简体" w:asciiTheme="minorEastAsia" w:hAnsiTheme="minorEastAsia" w:eastAsiaTheme="minorEastAsia"/>
          <w:color w:val="auto"/>
          <w:szCs w:val="21"/>
        </w:rPr>
        <w:t>条修改为“未压陷座垫距地板的高度I（从脚踏处地板到座垫上表面的水平切面之间的距离，见图12）应大于或等于400mm，且小于或等于500mm；轮罩、发动机舱、后置气瓶舱、</w:t>
      </w:r>
      <w:r>
        <w:rPr>
          <w:rFonts w:hint="eastAsia" w:cs="方正仿宋简体" w:asciiTheme="minorEastAsia" w:hAnsiTheme="minorEastAsia" w:eastAsiaTheme="minorEastAsia"/>
          <w:color w:val="auto"/>
          <w:szCs w:val="21"/>
        </w:rPr>
        <w:t>后高电压设备舱、</w:t>
      </w:r>
      <w:r>
        <w:rPr>
          <w:rFonts w:hint="eastAsia" w:cs="方正仿宋简体" w:asciiTheme="minorEastAsia" w:hAnsiTheme="minorEastAsia" w:eastAsiaTheme="minorEastAsia"/>
          <w:color w:val="auto"/>
          <w:szCs w:val="21"/>
        </w:rPr>
        <w:t xml:space="preserve">后置行李舱及传动系统处应大于或等于200mm，且小于或等于550mm；座垫高度大于500mm时应设置脚蹬且脚蹬上表面到座垫上表面的水平切面之间的距离应在400mm～500mm之间。” </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第</w:t>
      </w:r>
      <w:r>
        <w:rPr>
          <w:rFonts w:cs="方正仿宋简体" w:asciiTheme="minorEastAsia" w:hAnsiTheme="minorEastAsia" w:eastAsiaTheme="minorEastAsia"/>
          <w:color w:val="auto"/>
          <w:szCs w:val="21"/>
        </w:rPr>
        <w:t>4.6.8.</w:t>
      </w:r>
      <w:r>
        <w:rPr>
          <w:rFonts w:hint="eastAsia" w:cs="方正仿宋简体" w:asciiTheme="minorEastAsia" w:hAnsiTheme="minorEastAsia" w:eastAsiaTheme="minorEastAsia"/>
          <w:color w:val="auto"/>
          <w:szCs w:val="21"/>
        </w:rPr>
        <w:t>5.2条修改为“位于其他座椅后面或面向通道的座位，应提供如图14所示的最小深度为300mm（对面向通道的侧向座椅为225mm）、最小宽度为400mm的乘客脚部空间。在不阻碍4.6.5所规定通道量规通过性的前提下，该空间可局部位于通道内。若能为乘客保留适当的脚部空间，则椅脚、乘客脚踏以及4.6.8.6所列的各种突出物可局部侵入此空间。对于轮罩、发动机舱、后置气瓶舱、</w:t>
      </w:r>
      <w:r>
        <w:rPr>
          <w:rFonts w:hint="eastAsia" w:cs="方正仿宋简体" w:asciiTheme="minorEastAsia" w:hAnsiTheme="minorEastAsia" w:eastAsiaTheme="minorEastAsia"/>
          <w:color w:val="auto"/>
          <w:szCs w:val="21"/>
        </w:rPr>
        <w:t>后高电压设备舱</w:t>
      </w:r>
      <w:r>
        <w:rPr>
          <w:rFonts w:hint="eastAsia" w:cs="方正仿宋简体" w:asciiTheme="minorEastAsia" w:hAnsiTheme="minorEastAsia" w:eastAsiaTheme="minorEastAsia"/>
          <w:color w:val="auto"/>
          <w:szCs w:val="21"/>
        </w:rPr>
        <w:t>和后置行李舱上方座椅，前方座椅下方的高度可由150mm降低至不低于50mm(见图14）。”</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 xml:space="preserve">表11修改为 </w:t>
      </w:r>
    </w:p>
    <w:p>
      <w:pPr>
        <w:pStyle w:val="16"/>
        <w:numPr>
          <w:ilvl w:val="0"/>
          <w:numId w:val="0"/>
        </w:numPr>
        <w:jc w:val="right"/>
        <w:rPr>
          <w:rFonts w:asciiTheme="minorEastAsia" w:hAnsiTheme="minorEastAsia" w:eastAsiaTheme="minorEastAsia"/>
          <w:color w:val="auto"/>
          <w:szCs w:val="21"/>
        </w:rPr>
      </w:pPr>
      <w:r>
        <w:rPr>
          <w:rFonts w:hint="eastAsia" w:asciiTheme="minorEastAsia" w:hAnsiTheme="minorEastAsia" w:eastAsiaTheme="minorEastAsia"/>
          <w:color w:val="auto"/>
          <w:szCs w:val="21"/>
        </w:rPr>
        <w:t>表11 自由空间的最小高度                        单位为毫米</w:t>
      </w:r>
    </w:p>
    <w:tbl>
      <w:tblPr>
        <w:tblStyle w:val="8"/>
        <w:tblpPr w:leftFromText="180" w:rightFromText="180" w:vertAnchor="text" w:horzAnchor="margin" w:tblpY="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5"/>
        <w:gridCol w:w="2068"/>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位置</w:t>
            </w:r>
          </w:p>
        </w:tc>
        <w:tc>
          <w:tcPr>
            <w:tcW w:w="2068" w:type="dxa"/>
          </w:tcPr>
          <w:p>
            <w:pPr>
              <w:pStyle w:val="13"/>
              <w:numPr>
                <w:ilvl w:val="0"/>
                <w:numId w:val="0"/>
              </w:numPr>
              <w:jc w:val="center"/>
              <w:rPr>
                <w:rFonts w:asciiTheme="minorEastAsia" w:hAnsiTheme="minorEastAsia" w:eastAsiaTheme="minorEastAsia"/>
                <w:i/>
                <w:color w:val="auto"/>
                <w:sz w:val="18"/>
                <w:szCs w:val="18"/>
              </w:rPr>
            </w:pPr>
            <w:r>
              <w:rPr>
                <w:rFonts w:hint="eastAsia" w:asciiTheme="minorEastAsia" w:hAnsiTheme="minorEastAsia" w:eastAsiaTheme="minorEastAsia"/>
                <w:i/>
                <w:color w:val="auto"/>
                <w:sz w:val="18"/>
                <w:szCs w:val="18"/>
              </w:rPr>
              <w:t>H</w:t>
            </w:r>
            <w:r>
              <w:rPr>
                <w:rFonts w:hint="eastAsia" w:asciiTheme="minorEastAsia" w:hAnsiTheme="minorEastAsia" w:eastAsiaTheme="minorEastAsia"/>
                <w:i/>
                <w:color w:val="auto"/>
                <w:sz w:val="18"/>
                <w:szCs w:val="18"/>
                <w:vertAlign w:val="subscript"/>
              </w:rPr>
              <w:t>1</w:t>
            </w:r>
          </w:p>
        </w:tc>
        <w:tc>
          <w:tcPr>
            <w:tcW w:w="1989" w:type="dxa"/>
          </w:tcPr>
          <w:p>
            <w:pPr>
              <w:pStyle w:val="13"/>
              <w:numPr>
                <w:ilvl w:val="0"/>
                <w:numId w:val="0"/>
              </w:numPr>
              <w:jc w:val="center"/>
              <w:rPr>
                <w:rFonts w:asciiTheme="minorEastAsia" w:hAnsiTheme="minorEastAsia" w:eastAsiaTheme="minorEastAsia"/>
                <w:i/>
                <w:color w:val="auto"/>
                <w:sz w:val="18"/>
                <w:szCs w:val="18"/>
              </w:rPr>
            </w:pPr>
            <w:r>
              <w:rPr>
                <w:rFonts w:hint="eastAsia" w:asciiTheme="minorEastAsia" w:hAnsiTheme="minorEastAsia" w:eastAsiaTheme="minorEastAsia"/>
                <w:i/>
                <w:color w:val="auto"/>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Pr>
          <w:p>
            <w:pPr>
              <w:pStyle w:val="13"/>
              <w:numPr>
                <w:ilvl w:val="0"/>
                <w:numId w:val="0"/>
              </w:num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适用4.6.1.9的客车中的座位，与驾驶员座位并排的座位，以及轮罩、发动机舱、后置气瓶舱、</w:t>
            </w:r>
            <w:r>
              <w:rPr>
                <w:rFonts w:hint="eastAsia" w:asciiTheme="minorEastAsia" w:hAnsiTheme="minorEastAsia" w:eastAsiaTheme="minorEastAsia"/>
                <w:color w:val="auto"/>
                <w:sz w:val="18"/>
                <w:szCs w:val="18"/>
              </w:rPr>
              <w:t>后高电压设备舱、</w:t>
            </w:r>
            <w:r>
              <w:rPr>
                <w:rFonts w:hint="eastAsia" w:asciiTheme="minorEastAsia" w:hAnsiTheme="minorEastAsia" w:eastAsiaTheme="minorEastAsia"/>
                <w:color w:val="auto"/>
                <w:sz w:val="18"/>
                <w:szCs w:val="18"/>
              </w:rPr>
              <w:t>后置行李舱和传动系统处的座位</w:t>
            </w:r>
          </w:p>
        </w:tc>
        <w:tc>
          <w:tcPr>
            <w:tcW w:w="2068" w:type="dxa"/>
            <w:vAlign w:val="center"/>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800</w:t>
            </w:r>
          </w:p>
        </w:tc>
        <w:tc>
          <w:tcPr>
            <w:tcW w:w="1989" w:type="dxa"/>
            <w:vAlign w:val="center"/>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1 200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Pr>
          <w:p>
            <w:pPr>
              <w:pStyle w:val="13"/>
              <w:numPr>
                <w:ilvl w:val="0"/>
                <w:numId w:val="0"/>
              </w:num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双层客车上层的座位</w:t>
            </w:r>
          </w:p>
        </w:tc>
        <w:tc>
          <w:tcPr>
            <w:tcW w:w="2068" w:type="dxa"/>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850</w:t>
            </w:r>
          </w:p>
        </w:tc>
        <w:tc>
          <w:tcPr>
            <w:tcW w:w="1989" w:type="dxa"/>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Pr>
          <w:p>
            <w:pPr>
              <w:pStyle w:val="13"/>
              <w:numPr>
                <w:ilvl w:val="0"/>
                <w:numId w:val="0"/>
              </w:num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其他座位</w:t>
            </w:r>
          </w:p>
        </w:tc>
        <w:tc>
          <w:tcPr>
            <w:tcW w:w="2068" w:type="dxa"/>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900</w:t>
            </w:r>
          </w:p>
        </w:tc>
        <w:tc>
          <w:tcPr>
            <w:tcW w:w="1989" w:type="dxa"/>
          </w:tcPr>
          <w:p>
            <w:pPr>
              <w:pStyle w:val="13"/>
              <w:numPr>
                <w:ilvl w:val="0"/>
                <w:numId w:val="0"/>
              </w:num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1 350</w:t>
            </w:r>
          </w:p>
        </w:tc>
      </w:tr>
    </w:tbl>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论据说明：</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由于标准制定时对新能源客车的结构考虑较少，部分条款未考虑新能源客车实际情况，对新能源客车产品开发、生产造成一定困扰，如：对于纯电动客车，后高压电设备舱与普通燃料客车发动机舱或后置行李舱的结构类似，但标准中座垫高度、座椅前方空间和座椅上方空间等技术要求在此处存在差异。</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因此建议对4.6.8.3、4.6.8.5.2和表11进行修改，在“轮罩、发动机舱、后置气瓶舱、后置行李舱及传动系统处”增加“、后高电压设备舱”，在不影响乘客安全的情况下，生产企业可将此处结构与普通客车通用，提高车型平台的通用性、提高生产效率。</w:t>
      </w:r>
    </w:p>
    <w:p>
      <w:pPr>
        <w:ind w:firstLine="420" w:firstLineChars="200"/>
        <w:rPr>
          <w:rFonts w:ascii="宋体" w:hAnsi="宋体" w:cs="方正仿宋简体"/>
          <w:color w:val="auto"/>
          <w:szCs w:val="21"/>
        </w:rPr>
      </w:pPr>
    </w:p>
    <w:p>
      <w:pPr>
        <w:ind w:firstLine="420" w:firstLineChars="200"/>
        <w:rPr>
          <w:rFonts w:ascii="宋体" w:hAnsi="宋体" w:cs="方正仿宋简体"/>
          <w:color w:val="auto"/>
          <w:szCs w:val="21"/>
        </w:rPr>
      </w:pPr>
      <w:r>
        <w:rPr>
          <w:rFonts w:hint="eastAsia" w:ascii="宋体" w:hAnsi="宋体" w:cs="方正仿宋简体"/>
          <w:color w:val="auto"/>
          <w:szCs w:val="21"/>
        </w:rPr>
        <w:t>5）4.6.8.6.4 d）：</w:t>
      </w:r>
    </w:p>
    <w:p>
      <w:pPr>
        <w:ind w:firstLine="420" w:firstLineChars="200"/>
        <w:rPr>
          <w:rFonts w:ascii="宋体" w:hAnsi="宋体" w:cs="方正仿宋简体"/>
          <w:color w:val="auto"/>
          <w:szCs w:val="21"/>
        </w:rPr>
      </w:pPr>
      <w:r>
        <w:rPr>
          <w:rFonts w:hint="eastAsia" w:ascii="宋体" w:hAnsi="宋体" w:cs="方正仿宋简体"/>
          <w:color w:val="auto"/>
          <w:szCs w:val="21"/>
        </w:rPr>
        <w:t>原文为：</w:t>
      </w:r>
    </w:p>
    <w:p>
      <w:pPr>
        <w:ind w:firstLine="420" w:firstLineChars="200"/>
        <w:rPr>
          <w:rFonts w:ascii="宋体" w:hAnsi="宋体" w:cs="方正仿宋简体"/>
          <w:color w:val="auto"/>
          <w:szCs w:val="21"/>
        </w:rPr>
      </w:pPr>
      <w:r>
        <w:rPr>
          <w:rFonts w:hint="eastAsia" w:ascii="宋体" w:hAnsi="宋体" w:cs="方正仿宋简体"/>
          <w:color w:val="auto"/>
          <w:szCs w:val="21"/>
        </w:rPr>
        <w:t>d) 客车油箱口装饰罩的侵入；</w:t>
      </w:r>
    </w:p>
    <w:p>
      <w:pPr>
        <w:ind w:firstLine="420" w:firstLineChars="200"/>
        <w:rPr>
          <w:rFonts w:ascii="宋体" w:hAnsi="宋体" w:cs="方正仿宋简体"/>
          <w:color w:val="auto"/>
          <w:szCs w:val="21"/>
        </w:rPr>
      </w:pPr>
      <w:r>
        <w:rPr>
          <w:rFonts w:hint="eastAsia" w:ascii="宋体" w:hAnsi="宋体" w:cs="方正仿宋简体"/>
          <w:color w:val="auto"/>
          <w:szCs w:val="21"/>
        </w:rPr>
        <w:t>修改为：</w:t>
      </w:r>
    </w:p>
    <w:p>
      <w:pPr>
        <w:ind w:firstLine="420" w:firstLineChars="200"/>
        <w:rPr>
          <w:rFonts w:ascii="宋体" w:hAnsi="宋体" w:cs="方正仿宋简体"/>
          <w:color w:val="auto"/>
          <w:szCs w:val="21"/>
        </w:rPr>
      </w:pPr>
      <w:r>
        <w:rPr>
          <w:rFonts w:hint="eastAsia" w:ascii="宋体" w:hAnsi="宋体" w:cs="方正仿宋简体"/>
          <w:color w:val="auto"/>
          <w:szCs w:val="21"/>
        </w:rPr>
        <w:t>d) 客车油箱口、加氢口和充电口装饰罩的侵入；</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论据说明：</w:t>
      </w:r>
    </w:p>
    <w:p>
      <w:pPr>
        <w:spacing w:line="360" w:lineRule="auto"/>
        <w:ind w:firstLine="420" w:firstLineChars="200"/>
        <w:rPr>
          <w:rFonts w:cs="方正仿宋简体" w:asciiTheme="minorEastAsia" w:hAnsiTheme="minorEastAsia" w:eastAsiaTheme="minorEastAsia"/>
          <w:color w:val="auto"/>
          <w:szCs w:val="21"/>
        </w:rPr>
      </w:pPr>
      <w:r>
        <w:rPr>
          <w:rFonts w:hint="eastAsia" w:cs="方正仿宋简体" w:asciiTheme="minorEastAsia" w:hAnsiTheme="minorEastAsia" w:eastAsiaTheme="minorEastAsia"/>
          <w:color w:val="auto"/>
          <w:szCs w:val="21"/>
        </w:rPr>
        <w:t>原标准只考虑了传统车辆的油箱口，需同时考虑氢燃料车辆的加氢口和电动车辆的充电口。</w:t>
      </w:r>
    </w:p>
    <w:p>
      <w:pPr>
        <w:pStyle w:val="7"/>
        <w:spacing w:before="0" w:beforeAutospacing="0" w:after="0" w:afterAutospacing="0" w:line="360" w:lineRule="auto"/>
        <w:rPr>
          <w:color w:val="auto"/>
          <w:sz w:val="21"/>
          <w:szCs w:val="21"/>
        </w:rPr>
      </w:pPr>
      <w:r>
        <w:rPr>
          <w:rFonts w:hint="eastAsia"/>
          <w:color w:val="auto"/>
          <w:sz w:val="21"/>
          <w:szCs w:val="21"/>
        </w:rPr>
        <w:t>3、解决的主要问题</w:t>
      </w:r>
    </w:p>
    <w:p>
      <w:pPr>
        <w:ind w:firstLine="420" w:firstLineChars="200"/>
        <w:rPr>
          <w:rFonts w:ascii="宋体" w:hAnsi="宋体" w:cs="方正仿宋简体"/>
          <w:color w:val="auto"/>
          <w:szCs w:val="21"/>
        </w:rPr>
      </w:pPr>
      <w:r>
        <w:rPr>
          <w:rFonts w:hint="eastAsia" w:ascii="宋体" w:hAnsi="宋体" w:cs="方正仿宋简体"/>
          <w:color w:val="auto"/>
          <w:szCs w:val="21"/>
        </w:rPr>
        <w:t>1）乘客干扰驾驶行为的问题</w:t>
      </w:r>
    </w:p>
    <w:p>
      <w:pPr>
        <w:ind w:firstLine="420" w:firstLineChars="200"/>
        <w:rPr>
          <w:rFonts w:ascii="宋体" w:hAnsi="宋体" w:cs="方正仿宋简体"/>
          <w:color w:val="auto"/>
          <w:szCs w:val="21"/>
        </w:rPr>
      </w:pPr>
      <w:r>
        <w:rPr>
          <w:rFonts w:hint="eastAsia" w:ascii="宋体" w:hAnsi="宋体" w:cs="方正仿宋简体"/>
          <w:color w:val="auto"/>
          <w:szCs w:val="21"/>
        </w:rPr>
        <w:t>2）与其他标准协调性的问题</w:t>
      </w:r>
    </w:p>
    <w:p>
      <w:pPr>
        <w:ind w:firstLine="420" w:firstLineChars="200"/>
        <w:rPr>
          <w:rFonts w:ascii="宋体" w:hAnsi="宋体" w:cs="方正仿宋简体"/>
          <w:color w:val="auto"/>
          <w:szCs w:val="21"/>
        </w:rPr>
      </w:pPr>
      <w:r>
        <w:rPr>
          <w:rFonts w:hint="eastAsia" w:ascii="宋体" w:hAnsi="宋体" w:cs="方正仿宋简体"/>
          <w:color w:val="auto"/>
          <w:szCs w:val="21"/>
        </w:rPr>
        <w:t>3）标准不利于新能源客车通用化的问题</w:t>
      </w:r>
    </w:p>
    <w:p>
      <w:pPr>
        <w:ind w:firstLine="420" w:firstLineChars="200"/>
        <w:rPr>
          <w:rFonts w:ascii="宋体" w:hAnsi="宋体" w:cs="方正仿宋简体"/>
          <w:color w:val="auto"/>
          <w:szCs w:val="21"/>
        </w:rPr>
      </w:pP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三、 主要试验(或验证)情况分析</w:t>
      </w:r>
    </w:p>
    <w:p>
      <w:pPr>
        <w:pStyle w:val="7"/>
        <w:spacing w:before="0" w:beforeAutospacing="0" w:after="0" w:afterAutospacing="0"/>
        <w:ind w:firstLine="420" w:firstLineChars="200"/>
        <w:outlineLvl w:val="0"/>
        <w:rPr>
          <w:color w:val="auto"/>
          <w:kern w:val="44"/>
          <w:sz w:val="21"/>
          <w:szCs w:val="21"/>
        </w:rPr>
      </w:pPr>
      <w:r>
        <w:rPr>
          <w:rFonts w:hint="eastAsia"/>
          <w:color w:val="auto"/>
          <w:sz w:val="21"/>
          <w:szCs w:val="21"/>
          <w:shd w:val="clear" w:color="auto" w:fill="FFFFFF"/>
        </w:rPr>
        <w:t>不涉及试验（或验证）</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四、涉及专利的情况说明</w:t>
      </w:r>
    </w:p>
    <w:p>
      <w:pPr>
        <w:pStyle w:val="7"/>
        <w:spacing w:before="0" w:beforeAutospacing="0" w:after="0" w:afterAutospacing="0"/>
        <w:ind w:firstLine="420" w:firstLineChars="200"/>
        <w:outlineLvl w:val="0"/>
        <w:rPr>
          <w:color w:val="auto"/>
          <w:sz w:val="21"/>
          <w:szCs w:val="21"/>
        </w:rPr>
      </w:pPr>
      <w:r>
        <w:rPr>
          <w:rFonts w:hint="eastAsia"/>
          <w:color w:val="auto"/>
          <w:sz w:val="21"/>
          <w:szCs w:val="21"/>
          <w:shd w:val="clear" w:color="auto" w:fill="FFFFFF"/>
        </w:rPr>
        <w:t>本标准不涉及知识产权问题。</w:t>
      </w:r>
    </w:p>
    <w:p>
      <w:pPr>
        <w:pStyle w:val="2"/>
        <w:spacing w:before="312" w:beforeLines="100" w:after="312" w:afterLines="100" w:line="24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五、预期达到的社会效益、对产业发展的作用等情况</w:t>
      </w:r>
    </w:p>
    <w:p>
      <w:pPr>
        <w:pStyle w:val="3"/>
        <w:rPr>
          <w:rFonts w:ascii="宋体" w:hAnsi="宋体"/>
          <w:color w:val="auto"/>
          <w:szCs w:val="21"/>
        </w:rPr>
      </w:pPr>
      <w:r>
        <w:rPr>
          <w:rFonts w:hint="eastAsia" w:ascii="宋体" w:hAnsi="宋体"/>
          <w:color w:val="auto"/>
          <w:szCs w:val="21"/>
        </w:rPr>
        <w:t>制定本标准修改单是为了解决标准执行过程中遇到的实际问题，发布实施后，有利于提高标准执行的效率。</w:t>
      </w:r>
    </w:p>
    <w:p>
      <w:pPr>
        <w:pStyle w:val="2"/>
        <w:spacing w:before="312" w:beforeLines="100" w:after="312" w:afterLines="100" w:line="24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 xml:space="preserve">六、 </w:t>
      </w:r>
      <w:r>
        <w:rPr>
          <w:color w:val="auto"/>
        </w:rPr>
        <w:fldChar w:fldCharType="begin"/>
      </w:r>
      <w:r>
        <w:rPr>
          <w:color w:val="auto"/>
        </w:rPr>
        <w:instrText xml:space="preserve"> HYPERLINK "http://baike.baidu.com/view/872143.htm" \t "_blank" </w:instrText>
      </w:r>
      <w:r>
        <w:rPr>
          <w:color w:val="auto"/>
        </w:rPr>
        <w:fldChar w:fldCharType="separate"/>
      </w:r>
      <w:r>
        <w:rPr>
          <w:rFonts w:hint="eastAsia" w:ascii="宋体" w:hAnsi="宋体" w:cs="宋体"/>
          <w:b w:val="0"/>
          <w:color w:val="auto"/>
          <w:spacing w:val="6"/>
          <w:kern w:val="0"/>
          <w:sz w:val="21"/>
          <w:szCs w:val="21"/>
        </w:rPr>
        <w:t>采用国际标准</w:t>
      </w:r>
      <w:r>
        <w:rPr>
          <w:rFonts w:hint="eastAsia" w:ascii="宋体" w:hAnsi="宋体" w:cs="宋体"/>
          <w:b w:val="0"/>
          <w:color w:val="auto"/>
          <w:spacing w:val="6"/>
          <w:kern w:val="0"/>
          <w:sz w:val="21"/>
          <w:szCs w:val="21"/>
        </w:rPr>
        <w:fldChar w:fldCharType="end"/>
      </w:r>
      <w:r>
        <w:rPr>
          <w:rFonts w:hint="eastAsia" w:ascii="宋体" w:hAnsi="宋体" w:cs="宋体"/>
          <w:b w:val="0"/>
          <w:color w:val="auto"/>
          <w:spacing w:val="6"/>
          <w:kern w:val="0"/>
          <w:sz w:val="21"/>
          <w:szCs w:val="21"/>
        </w:rPr>
        <w:t>和</w:t>
      </w:r>
      <w:r>
        <w:rPr>
          <w:color w:val="auto"/>
        </w:rPr>
        <w:fldChar w:fldCharType="begin"/>
      </w:r>
      <w:r>
        <w:rPr>
          <w:color w:val="auto"/>
        </w:rPr>
        <w:instrText xml:space="preserve"> HYPERLINK "http://baike.baidu.com/view/2114240.htm" \t "_blank" </w:instrText>
      </w:r>
      <w:r>
        <w:rPr>
          <w:color w:val="auto"/>
        </w:rPr>
        <w:fldChar w:fldCharType="separate"/>
      </w:r>
      <w:r>
        <w:rPr>
          <w:rFonts w:hint="eastAsia" w:ascii="宋体" w:hAnsi="宋体" w:cs="宋体"/>
          <w:b w:val="0"/>
          <w:color w:val="auto"/>
          <w:spacing w:val="6"/>
          <w:kern w:val="0"/>
          <w:sz w:val="21"/>
          <w:szCs w:val="21"/>
        </w:rPr>
        <w:t>国外先进标准</w:t>
      </w:r>
      <w:r>
        <w:rPr>
          <w:rFonts w:hint="eastAsia" w:ascii="宋体" w:hAnsi="宋体" w:cs="宋体"/>
          <w:b w:val="0"/>
          <w:color w:val="auto"/>
          <w:spacing w:val="6"/>
          <w:kern w:val="0"/>
          <w:sz w:val="21"/>
          <w:szCs w:val="21"/>
        </w:rPr>
        <w:fldChar w:fldCharType="end"/>
      </w:r>
      <w:r>
        <w:rPr>
          <w:rFonts w:hint="eastAsia" w:ascii="宋体" w:hAnsi="宋体" w:cs="宋体"/>
          <w:b w:val="0"/>
          <w:color w:val="auto"/>
          <w:spacing w:val="6"/>
          <w:kern w:val="0"/>
          <w:sz w:val="21"/>
          <w:szCs w:val="21"/>
        </w:rPr>
        <w:t>的程度，以及与国际、国外同类标准水平的对比情况，或与测试的国外样品、样机的有关数据对比情况</w:t>
      </w:r>
    </w:p>
    <w:p>
      <w:pPr>
        <w:ind w:firstLine="420" w:firstLineChars="200"/>
        <w:rPr>
          <w:rFonts w:ascii="宋体" w:hAnsi="宋体"/>
          <w:color w:val="auto"/>
          <w:szCs w:val="21"/>
        </w:rPr>
      </w:pPr>
      <w:r>
        <w:rPr>
          <w:rFonts w:hint="eastAsia" w:ascii="宋体" w:hAnsi="宋体"/>
          <w:color w:val="auto"/>
          <w:szCs w:val="21"/>
        </w:rPr>
        <w:t>无</w:t>
      </w:r>
    </w:p>
    <w:p>
      <w:pPr>
        <w:pStyle w:val="2"/>
        <w:spacing w:before="312" w:beforeLines="100" w:after="312" w:afterLines="100" w:line="24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七、在标准体系中的位置，与现行相关法律、法规、规章及相关标准，特别是强制性标准的协调性；</w:t>
      </w:r>
    </w:p>
    <w:p>
      <w:pPr>
        <w:widowControl/>
        <w:shd w:val="clear" w:color="auto" w:fill="FFFFFF"/>
        <w:ind w:firstLine="420" w:firstLineChars="200"/>
        <w:jc w:val="left"/>
        <w:rPr>
          <w:rFonts w:ascii="宋体" w:hAnsi="宋体"/>
          <w:color w:val="auto"/>
          <w:kern w:val="44"/>
          <w:szCs w:val="21"/>
        </w:rPr>
      </w:pPr>
      <w:r>
        <w:rPr>
          <w:rFonts w:hint="eastAsia" w:ascii="宋体" w:hAnsi="宋体"/>
          <w:color w:val="auto"/>
          <w:kern w:val="44"/>
          <w:szCs w:val="21"/>
        </w:rPr>
        <w:t>1、在标准体系中的位置</w:t>
      </w:r>
    </w:p>
    <w:p>
      <w:pPr>
        <w:shd w:val="clear" w:color="auto" w:fill="FFFFFF"/>
        <w:ind w:firstLine="735" w:firstLineChars="350"/>
        <w:jc w:val="left"/>
        <w:textAlignment w:val="top"/>
        <w:rPr>
          <w:rFonts w:ascii="宋体" w:hAnsi="宋体"/>
          <w:color w:val="auto"/>
          <w:szCs w:val="21"/>
          <w:shd w:val="clear" w:color="auto" w:fill="FFFFFF"/>
        </w:rPr>
      </w:pPr>
      <w:r>
        <w:rPr>
          <w:rFonts w:hint="eastAsia" w:ascii="宋体" w:hAnsi="宋体"/>
          <w:color w:val="auto"/>
          <w:szCs w:val="21"/>
          <w:shd w:val="clear" w:color="auto" w:fill="FFFFFF"/>
        </w:rPr>
        <w:t>无。</w:t>
      </w:r>
    </w:p>
    <w:p>
      <w:pPr>
        <w:widowControl/>
        <w:shd w:val="clear" w:color="auto" w:fill="FFFFFF"/>
        <w:ind w:firstLine="420" w:firstLineChars="200"/>
        <w:jc w:val="left"/>
        <w:rPr>
          <w:rFonts w:ascii="宋体" w:hAnsi="宋体"/>
          <w:color w:val="auto"/>
          <w:kern w:val="44"/>
          <w:szCs w:val="21"/>
        </w:rPr>
      </w:pPr>
      <w:r>
        <w:rPr>
          <w:rFonts w:hint="eastAsia" w:ascii="宋体" w:hAnsi="宋体"/>
          <w:color w:val="auto"/>
          <w:kern w:val="44"/>
          <w:szCs w:val="21"/>
        </w:rPr>
        <w:t>2、本标准与其他标准法规之间的协调性</w:t>
      </w:r>
    </w:p>
    <w:p>
      <w:pPr>
        <w:widowControl/>
        <w:shd w:val="clear" w:color="auto" w:fill="FFFFFF"/>
        <w:ind w:firstLine="735" w:firstLineChars="350"/>
        <w:jc w:val="left"/>
        <w:rPr>
          <w:rFonts w:ascii="宋体" w:hAnsi="宋体" w:cs="宋体"/>
          <w:color w:val="auto"/>
          <w:spacing w:val="6"/>
          <w:kern w:val="0"/>
          <w:szCs w:val="21"/>
        </w:rPr>
      </w:pPr>
      <w:r>
        <w:rPr>
          <w:rFonts w:hint="eastAsia" w:ascii="宋体" w:hAnsi="宋体"/>
          <w:color w:val="auto"/>
          <w:szCs w:val="21"/>
          <w:shd w:val="clear" w:color="auto" w:fill="FFFFFF"/>
        </w:rPr>
        <w:t>与现行标准法规 、及制定中标准法规没有矛盾。</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八、重大分歧意见的处理经过和依据</w:t>
      </w:r>
    </w:p>
    <w:p>
      <w:pPr>
        <w:widowControl/>
        <w:shd w:val="clear" w:color="auto" w:fill="FFFFFF"/>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无</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九、标准性质的建议说明</w:t>
      </w:r>
    </w:p>
    <w:p>
      <w:pPr>
        <w:widowControl/>
        <w:shd w:val="clear" w:color="auto" w:fill="FFFFFF"/>
        <w:spacing w:line="306" w:lineRule="atLeast"/>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建议本标准修改单为强制性的。</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十 、贯彻标准的要求和措施建议（包括组织措施、技术措施、过渡办法、实施日期等）</w:t>
      </w:r>
    </w:p>
    <w:p>
      <w:pPr>
        <w:pStyle w:val="19"/>
        <w:spacing w:before="0" w:beforeAutospacing="0" w:after="0" w:afterAutospacing="0" w:line="240" w:lineRule="auto"/>
        <w:ind w:firstLine="420" w:firstLineChars="200"/>
        <w:rPr>
          <w:color w:val="auto"/>
        </w:rPr>
      </w:pPr>
      <w:r>
        <w:rPr>
          <w:rFonts w:hint="eastAsia"/>
          <w:color w:val="auto"/>
        </w:rPr>
        <w:t>无</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十一、 废止现行有关标准的建议</w:t>
      </w:r>
    </w:p>
    <w:p>
      <w:pPr>
        <w:widowControl/>
        <w:shd w:val="clear" w:color="auto" w:fill="FFFFFF"/>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无</w:t>
      </w:r>
    </w:p>
    <w:p>
      <w:pPr>
        <w:pStyle w:val="2"/>
        <w:spacing w:before="0" w:after="0" w:line="480" w:lineRule="auto"/>
        <w:rPr>
          <w:rFonts w:ascii="宋体" w:hAnsi="宋体" w:cs="宋体"/>
          <w:b w:val="0"/>
          <w:color w:val="auto"/>
          <w:spacing w:val="6"/>
          <w:kern w:val="0"/>
          <w:sz w:val="21"/>
          <w:szCs w:val="21"/>
        </w:rPr>
      </w:pPr>
      <w:r>
        <w:rPr>
          <w:rFonts w:hint="eastAsia" w:ascii="宋体" w:hAnsi="宋体" w:cs="宋体"/>
          <w:b w:val="0"/>
          <w:color w:val="auto"/>
          <w:spacing w:val="6"/>
          <w:kern w:val="0"/>
          <w:sz w:val="21"/>
          <w:szCs w:val="21"/>
        </w:rPr>
        <w:t>十二、 其他应予说明的事项</w:t>
      </w:r>
    </w:p>
    <w:p>
      <w:pPr>
        <w:pStyle w:val="19"/>
        <w:spacing w:before="0" w:beforeAutospacing="0" w:after="0" w:afterAutospacing="0" w:line="240" w:lineRule="auto"/>
        <w:ind w:firstLine="420" w:firstLineChars="200"/>
        <w:rPr>
          <w:rFonts w:cs="方正仿宋简体"/>
          <w:color w:val="auto"/>
          <w:sz w:val="24"/>
        </w:rPr>
      </w:pPr>
      <w:r>
        <w:rPr>
          <w:rFonts w:hint="eastAsia"/>
          <w:color w:val="auto"/>
        </w:rPr>
        <w:t>无</w:t>
      </w:r>
      <w:r>
        <w:rPr>
          <w:rFonts w:hint="eastAsia"/>
          <w:color w:val="auto"/>
          <w:lang w:val="de-D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pStyle w:val="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6260FA"/>
    <w:multiLevelType w:val="multilevel"/>
    <w:tmpl w:val="646260FA"/>
    <w:lvl w:ilvl="0" w:tentative="0">
      <w:start w:val="1"/>
      <w:numFmt w:val="decimal"/>
      <w:pStyle w:val="16"/>
      <w:suff w:val="nothing"/>
      <w:lvlText w:val="表%1　"/>
      <w:lvlJc w:val="left"/>
      <w:pPr>
        <w:ind w:left="8222" w:firstLine="0"/>
      </w:pPr>
      <w:rPr>
        <w:rFonts w:hint="eastAsia" w:ascii="黑体" w:hAnsi="Times New Roman" w:eastAsia="黑体"/>
        <w:b w:val="0"/>
        <w:i w:val="0"/>
        <w:sz w:val="21"/>
        <w:lang w:val="en-US"/>
      </w:rPr>
    </w:lvl>
    <w:lvl w:ilvl="1" w:tentative="0">
      <w:start w:val="1"/>
      <w:numFmt w:val="decimal"/>
      <w:lvlText w:val="%1.%2"/>
      <w:lvlJc w:val="left"/>
      <w:pPr>
        <w:tabs>
          <w:tab w:val="left" w:pos="2987"/>
        </w:tabs>
        <w:ind w:left="2987" w:hanging="567"/>
      </w:pPr>
      <w:rPr>
        <w:rFonts w:hint="eastAsia"/>
      </w:rPr>
    </w:lvl>
    <w:lvl w:ilvl="2" w:tentative="0">
      <w:start w:val="1"/>
      <w:numFmt w:val="decimal"/>
      <w:lvlText w:val="%1.%2.%3"/>
      <w:lvlJc w:val="left"/>
      <w:pPr>
        <w:tabs>
          <w:tab w:val="left" w:pos="3413"/>
        </w:tabs>
        <w:ind w:left="3413" w:hanging="567"/>
      </w:pPr>
      <w:rPr>
        <w:rFonts w:hint="eastAsia"/>
      </w:rPr>
    </w:lvl>
    <w:lvl w:ilvl="3" w:tentative="0">
      <w:start w:val="1"/>
      <w:numFmt w:val="decimal"/>
      <w:lvlText w:val="%1.%2.%3.%4"/>
      <w:lvlJc w:val="left"/>
      <w:pPr>
        <w:tabs>
          <w:tab w:val="left" w:pos="3979"/>
        </w:tabs>
        <w:ind w:left="3979" w:hanging="708"/>
      </w:pPr>
      <w:rPr>
        <w:rFonts w:hint="eastAsia"/>
      </w:rPr>
    </w:lvl>
    <w:lvl w:ilvl="4" w:tentative="0">
      <w:start w:val="1"/>
      <w:numFmt w:val="decimal"/>
      <w:lvlText w:val="%1.%2.%3.%4.%5"/>
      <w:lvlJc w:val="left"/>
      <w:pPr>
        <w:tabs>
          <w:tab w:val="left" w:pos="4546"/>
        </w:tabs>
        <w:ind w:left="4546" w:hanging="850"/>
      </w:pPr>
      <w:rPr>
        <w:rFonts w:hint="eastAsia"/>
      </w:rPr>
    </w:lvl>
    <w:lvl w:ilvl="5" w:tentative="0">
      <w:start w:val="1"/>
      <w:numFmt w:val="decimal"/>
      <w:lvlText w:val="%1.%2.%3.%4.%5.%6"/>
      <w:lvlJc w:val="left"/>
      <w:pPr>
        <w:tabs>
          <w:tab w:val="left" w:pos="5255"/>
        </w:tabs>
        <w:ind w:left="5255" w:hanging="1134"/>
      </w:pPr>
      <w:rPr>
        <w:rFonts w:hint="eastAsia"/>
      </w:rPr>
    </w:lvl>
    <w:lvl w:ilvl="6" w:tentative="0">
      <w:start w:val="1"/>
      <w:numFmt w:val="decimal"/>
      <w:lvlText w:val="%1.%2.%3.%4.%5.%6.%7"/>
      <w:lvlJc w:val="left"/>
      <w:pPr>
        <w:tabs>
          <w:tab w:val="left" w:pos="5822"/>
        </w:tabs>
        <w:ind w:left="5822" w:hanging="1276"/>
      </w:pPr>
      <w:rPr>
        <w:rFonts w:hint="eastAsia"/>
      </w:rPr>
    </w:lvl>
    <w:lvl w:ilvl="7" w:tentative="0">
      <w:start w:val="1"/>
      <w:numFmt w:val="decimal"/>
      <w:lvlText w:val="%1.%2.%3.%4.%5.%6.%7.%8"/>
      <w:lvlJc w:val="left"/>
      <w:pPr>
        <w:tabs>
          <w:tab w:val="left" w:pos="6389"/>
        </w:tabs>
        <w:ind w:left="6389" w:hanging="1418"/>
      </w:pPr>
      <w:rPr>
        <w:rFonts w:hint="eastAsia"/>
      </w:rPr>
    </w:lvl>
    <w:lvl w:ilvl="8" w:tentative="0">
      <w:start w:val="1"/>
      <w:numFmt w:val="decimal"/>
      <w:lvlText w:val="%1.%2.%3.%4.%5.%6.%7.%8.%9"/>
      <w:lvlJc w:val="left"/>
      <w:pPr>
        <w:tabs>
          <w:tab w:val="left" w:pos="7097"/>
        </w:tabs>
        <w:ind w:left="709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0"/>
    <w:rsid w:val="00006ECF"/>
    <w:rsid w:val="00006F27"/>
    <w:rsid w:val="00007272"/>
    <w:rsid w:val="00033B14"/>
    <w:rsid w:val="000435CD"/>
    <w:rsid w:val="0008785B"/>
    <w:rsid w:val="000A5C12"/>
    <w:rsid w:val="000B337E"/>
    <w:rsid w:val="000C1E9C"/>
    <w:rsid w:val="000C41EC"/>
    <w:rsid w:val="000E2238"/>
    <w:rsid w:val="000F2699"/>
    <w:rsid w:val="00101174"/>
    <w:rsid w:val="00112B97"/>
    <w:rsid w:val="001179EE"/>
    <w:rsid w:val="001B4049"/>
    <w:rsid w:val="00202C34"/>
    <w:rsid w:val="00227CD5"/>
    <w:rsid w:val="00276571"/>
    <w:rsid w:val="002874CD"/>
    <w:rsid w:val="002B5162"/>
    <w:rsid w:val="002B6BFF"/>
    <w:rsid w:val="002E0D90"/>
    <w:rsid w:val="002E6B22"/>
    <w:rsid w:val="00305F15"/>
    <w:rsid w:val="0031563B"/>
    <w:rsid w:val="003349DB"/>
    <w:rsid w:val="00380E5B"/>
    <w:rsid w:val="00397019"/>
    <w:rsid w:val="003D6FF0"/>
    <w:rsid w:val="00435360"/>
    <w:rsid w:val="00444C60"/>
    <w:rsid w:val="004617DC"/>
    <w:rsid w:val="00483E9F"/>
    <w:rsid w:val="0048640B"/>
    <w:rsid w:val="004C13A7"/>
    <w:rsid w:val="00500393"/>
    <w:rsid w:val="0050407A"/>
    <w:rsid w:val="005056CE"/>
    <w:rsid w:val="0055737C"/>
    <w:rsid w:val="00566C5A"/>
    <w:rsid w:val="005C2B46"/>
    <w:rsid w:val="005F5A5E"/>
    <w:rsid w:val="00635D87"/>
    <w:rsid w:val="00645378"/>
    <w:rsid w:val="00672CE4"/>
    <w:rsid w:val="00673CCB"/>
    <w:rsid w:val="006809F9"/>
    <w:rsid w:val="006B623B"/>
    <w:rsid w:val="006E1D03"/>
    <w:rsid w:val="006F1B48"/>
    <w:rsid w:val="007520DA"/>
    <w:rsid w:val="00753C3A"/>
    <w:rsid w:val="00755393"/>
    <w:rsid w:val="00762D3E"/>
    <w:rsid w:val="00765252"/>
    <w:rsid w:val="00781ABD"/>
    <w:rsid w:val="007C17EE"/>
    <w:rsid w:val="007D394E"/>
    <w:rsid w:val="0082448D"/>
    <w:rsid w:val="008374BF"/>
    <w:rsid w:val="008844FB"/>
    <w:rsid w:val="00894118"/>
    <w:rsid w:val="008D3D50"/>
    <w:rsid w:val="008E5313"/>
    <w:rsid w:val="008F4235"/>
    <w:rsid w:val="00910C4A"/>
    <w:rsid w:val="00990631"/>
    <w:rsid w:val="009A2EB5"/>
    <w:rsid w:val="009A4315"/>
    <w:rsid w:val="009C3B09"/>
    <w:rsid w:val="009F6B81"/>
    <w:rsid w:val="009F7CA7"/>
    <w:rsid w:val="00A216F9"/>
    <w:rsid w:val="00A23643"/>
    <w:rsid w:val="00A32137"/>
    <w:rsid w:val="00A749B0"/>
    <w:rsid w:val="00A776C2"/>
    <w:rsid w:val="00A8334B"/>
    <w:rsid w:val="00AB6A6F"/>
    <w:rsid w:val="00AC28DF"/>
    <w:rsid w:val="00B541C6"/>
    <w:rsid w:val="00B560D6"/>
    <w:rsid w:val="00B77B52"/>
    <w:rsid w:val="00B80599"/>
    <w:rsid w:val="00BA1CA2"/>
    <w:rsid w:val="00BF2C95"/>
    <w:rsid w:val="00C00599"/>
    <w:rsid w:val="00C07A4A"/>
    <w:rsid w:val="00C105DF"/>
    <w:rsid w:val="00C15C03"/>
    <w:rsid w:val="00C37B59"/>
    <w:rsid w:val="00C824D5"/>
    <w:rsid w:val="00CA6EB8"/>
    <w:rsid w:val="00CB7B94"/>
    <w:rsid w:val="00CC04ED"/>
    <w:rsid w:val="00CC3E2A"/>
    <w:rsid w:val="00CD455D"/>
    <w:rsid w:val="00CE02C0"/>
    <w:rsid w:val="00CF13BB"/>
    <w:rsid w:val="00CF68B6"/>
    <w:rsid w:val="00D05E2F"/>
    <w:rsid w:val="00D2418B"/>
    <w:rsid w:val="00D26EBF"/>
    <w:rsid w:val="00D67273"/>
    <w:rsid w:val="00D8283A"/>
    <w:rsid w:val="00DB4D5F"/>
    <w:rsid w:val="00DB6648"/>
    <w:rsid w:val="00DC1B9C"/>
    <w:rsid w:val="00DD2C3A"/>
    <w:rsid w:val="00DE303A"/>
    <w:rsid w:val="00DE385D"/>
    <w:rsid w:val="00DE54B4"/>
    <w:rsid w:val="00DF034C"/>
    <w:rsid w:val="00DF712F"/>
    <w:rsid w:val="00E325D0"/>
    <w:rsid w:val="00E651B1"/>
    <w:rsid w:val="00E970BC"/>
    <w:rsid w:val="00EC1685"/>
    <w:rsid w:val="00EF15C9"/>
    <w:rsid w:val="00EF5D47"/>
    <w:rsid w:val="00F147FE"/>
    <w:rsid w:val="00F15F15"/>
    <w:rsid w:val="00F411B0"/>
    <w:rsid w:val="00F466C7"/>
    <w:rsid w:val="00F62529"/>
    <w:rsid w:val="00F811FF"/>
    <w:rsid w:val="00FB4231"/>
    <w:rsid w:val="1BF32D13"/>
    <w:rsid w:val="5B366D5F"/>
    <w:rsid w:val="620F4A31"/>
    <w:rsid w:val="694E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uiPriority w:val="0"/>
    <w:pPr>
      <w:ind w:firstLine="420" w:firstLineChars="200"/>
    </w:pPr>
  </w:style>
  <w:style w:type="paragraph" w:styleId="4">
    <w:name w:val="Balloon Text"/>
    <w:basedOn w:val="1"/>
    <w:link w:val="22"/>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iPriority w:val="0"/>
    <w:pPr>
      <w:widowControl/>
      <w:spacing w:before="100" w:beforeAutospacing="1" w:after="100" w:afterAutospacing="1"/>
      <w:jc w:val="left"/>
    </w:pPr>
    <w:rPr>
      <w:rFonts w:ascii="宋体" w:hAnsi="宋体"/>
      <w:color w:val="000000"/>
      <w:kern w:val="0"/>
      <w:sz w:val="24"/>
    </w:r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paragraph" w:customStyle="1" w:styleId="12">
    <w:name w:val="二级无标题条"/>
    <w:basedOn w:val="1"/>
    <w:uiPriority w:val="0"/>
    <w:pPr>
      <w:numPr>
        <w:ilvl w:val="3"/>
        <w:numId w:val="1"/>
      </w:numPr>
    </w:pPr>
  </w:style>
  <w:style w:type="paragraph" w:customStyle="1" w:styleId="13">
    <w:name w:val="四级无标题条"/>
    <w:basedOn w:val="1"/>
    <w:uiPriority w:val="0"/>
    <w:pPr>
      <w:numPr>
        <w:ilvl w:val="5"/>
        <w:numId w:val="1"/>
      </w:numPr>
    </w:pPr>
  </w:style>
  <w:style w:type="paragraph" w:customStyle="1" w:styleId="14">
    <w:name w:val="五级无标题条"/>
    <w:basedOn w:val="1"/>
    <w:uiPriority w:val="0"/>
    <w:pPr>
      <w:numPr>
        <w:ilvl w:val="6"/>
        <w:numId w:val="1"/>
      </w:numPr>
    </w:pPr>
  </w:style>
  <w:style w:type="paragraph" w:customStyle="1" w:styleId="15">
    <w:name w:val="三级无标题条"/>
    <w:basedOn w:val="1"/>
    <w:uiPriority w:val="0"/>
    <w:pPr>
      <w:numPr>
        <w:ilvl w:val="4"/>
        <w:numId w:val="1"/>
      </w:numPr>
    </w:pPr>
  </w:style>
  <w:style w:type="paragraph" w:customStyle="1" w:styleId="16">
    <w:name w:val="正文表标题"/>
    <w:next w:val="1"/>
    <w:uiPriority w:val="0"/>
    <w:pPr>
      <w:numPr>
        <w:ilvl w:val="0"/>
        <w:numId w:val="2"/>
      </w:numPr>
      <w:ind w:left="1995"/>
      <w:jc w:val="center"/>
    </w:pPr>
    <w:rPr>
      <w:rFonts w:ascii="黑体" w:hAnsi="Times New Roman" w:eastAsia="黑体" w:cs="Times New Roman"/>
      <w:kern w:val="0"/>
      <w:sz w:val="21"/>
      <w:szCs w:val="20"/>
      <w:lang w:val="en-US" w:eastAsia="zh-CN" w:bidi="ar-SA"/>
    </w:rPr>
  </w:style>
  <w:style w:type="paragraph" w:styleId="17">
    <w:name w:val="List Paragraph"/>
    <w:basedOn w:val="1"/>
    <w:qFormat/>
    <w:uiPriority w:val="34"/>
    <w:pPr>
      <w:ind w:firstLine="420" w:firstLineChars="200"/>
    </w:pPr>
  </w:style>
  <w:style w:type="character" w:customStyle="1" w:styleId="18">
    <w:name w:val="标题 1 Char"/>
    <w:basedOn w:val="9"/>
    <w:link w:val="2"/>
    <w:uiPriority w:val="9"/>
    <w:rPr>
      <w:rFonts w:ascii="Times New Roman" w:hAnsi="Times New Roman" w:eastAsia="宋体" w:cs="Times New Roman"/>
      <w:b/>
      <w:bCs/>
      <w:kern w:val="44"/>
      <w:sz w:val="44"/>
      <w:szCs w:val="44"/>
    </w:rPr>
  </w:style>
  <w:style w:type="paragraph" w:customStyle="1" w:styleId="19">
    <w:name w:val="段"/>
    <w:link w:val="20"/>
    <w:uiPriority w:val="0"/>
    <w:pPr>
      <w:tabs>
        <w:tab w:val="left" w:pos="862"/>
      </w:tabs>
      <w:autoSpaceDE w:val="0"/>
      <w:autoSpaceDN w:val="0"/>
      <w:spacing w:before="100" w:beforeAutospacing="1" w:after="100" w:afterAutospacing="1" w:line="594" w:lineRule="exact"/>
      <w:ind w:firstLine="424" w:firstLineChars="202"/>
      <w:jc w:val="both"/>
    </w:pPr>
    <w:rPr>
      <w:rFonts w:ascii="宋体" w:hAnsi="宋体" w:eastAsia="宋体" w:cs="Times New Roman"/>
      <w:color w:val="000000"/>
      <w:kern w:val="44"/>
      <w:sz w:val="21"/>
      <w:szCs w:val="21"/>
      <w:lang w:val="en-US" w:eastAsia="zh-CN" w:bidi="ar-SA"/>
    </w:rPr>
  </w:style>
  <w:style w:type="character" w:customStyle="1" w:styleId="20">
    <w:name w:val="段 Char"/>
    <w:basedOn w:val="9"/>
    <w:link w:val="19"/>
    <w:uiPriority w:val="0"/>
    <w:rPr>
      <w:rFonts w:ascii="宋体" w:hAnsi="宋体" w:eastAsia="宋体" w:cs="Times New Roman"/>
      <w:color w:val="000000"/>
      <w:kern w:val="44"/>
      <w:szCs w:val="21"/>
    </w:rPr>
  </w:style>
  <w:style w:type="character" w:customStyle="1" w:styleId="21">
    <w:name w:val="正文文本缩进 Char"/>
    <w:basedOn w:val="9"/>
    <w:link w:val="3"/>
    <w:uiPriority w:val="0"/>
    <w:rPr>
      <w:rFonts w:ascii="Times New Roman" w:hAnsi="Times New Roman" w:eastAsia="宋体" w:cs="Times New Roman"/>
      <w:szCs w:val="24"/>
    </w:rPr>
  </w:style>
  <w:style w:type="character" w:customStyle="1" w:styleId="22">
    <w:name w:val="批注框文本 Char"/>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453</Words>
  <Characters>2583</Characters>
  <Lines>21</Lines>
  <Paragraphs>6</Paragraphs>
  <TotalTime>122</TotalTime>
  <ScaleCrop>false</ScaleCrop>
  <LinksUpToDate>false</LinksUpToDate>
  <CharactersWithSpaces>3030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2020-06-05T02:21:00Z</dcterms:created>
  <dc:creator>杨红霞</dc:creator>
  <cp:lastModifiedBy>李维菁</cp:lastModifiedBy>
  <dcterms:modified xsi:type="dcterms:W3CDTF">2020-08-12T02:34:34Z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926336805</vt:i4>
  </property>
  <property fmtid="{D5CDD505-2E9C-101B-9397-08002B2CF9AE}" pid="4" name="_EmailSubject">
    <vt:lpwstr>GB13094-2017《客车结构安全要求》第1号修改单（征求意见稿），请于工查收。</vt:lpwstr>
  </property>
  <property fmtid="{D5CDD505-2E9C-101B-9397-08002B2CF9AE}" pid="5" name="_AuthorEmail">
    <vt:lpwstr>gaozha@yutong.com</vt:lpwstr>
  </property>
  <property fmtid="{D5CDD505-2E9C-101B-9397-08002B2CF9AE}" pid="6" name="_AuthorEmailDisplayName">
    <vt:lpwstr>高振华</vt:lpwstr>
  </property>
  <property fmtid="{D5CDD505-2E9C-101B-9397-08002B2CF9AE}" pid="7" name="KSOProductBuildVer">
    <vt:lpwstr>2052-11.8.2.8808</vt:lpwstr>
  </property>
</Properties>
</file>