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1" w:after="0" w:afterAutospacing="1" w:line="432" w:lineRule="atLeast"/>
        <w:ind w:left="0" w:right="0" w:firstLine="0"/>
        <w:jc w:val="left"/>
        <w:rPr>
          <w:rFonts w:hint="eastAsia" w:ascii="宋体" w:hAnsi="宋体" w:eastAsia="宋体" w:cs="宋体"/>
          <w:b w:val="0"/>
          <w:i w:val="0"/>
          <w:caps w:val="0"/>
          <w:color w:val="000000"/>
          <w:spacing w:val="0"/>
          <w:sz w:val="32"/>
          <w:szCs w:val="32"/>
        </w:rPr>
      </w:pPr>
      <w:r>
        <w:rPr>
          <w:rFonts w:ascii="仿宋_GB2312" w:hAnsi="宋体" w:eastAsia="仿宋_GB2312" w:cs="仿宋_GB2312"/>
          <w:b w:val="0"/>
          <w:i w:val="0"/>
          <w:caps w:val="0"/>
          <w:color w:val="000000"/>
          <w:spacing w:val="0"/>
          <w:kern w:val="0"/>
          <w:sz w:val="32"/>
          <w:szCs w:val="32"/>
          <w:shd w:val="clear" w:fill="FFFFFF"/>
          <w:lang w:val="en-US" w:eastAsia="zh-CN" w:bidi="ar"/>
        </w:rPr>
        <w:t>附件</w:t>
      </w:r>
      <w:r>
        <w:rPr>
          <w:rFonts w:hint="eastAsia" w:ascii="仿宋_GB2312" w:hAnsi="宋体" w:eastAsia="仿宋_GB2312" w:cs="仿宋_GB2312"/>
          <w:b w:val="0"/>
          <w:i w:val="0"/>
          <w:caps w:val="0"/>
          <w:color w:val="000000"/>
          <w:spacing w:val="0"/>
          <w:kern w:val="0"/>
          <w:sz w:val="32"/>
          <w:szCs w:val="32"/>
          <w:shd w:val="clear" w:fill="FFFFFF"/>
          <w:lang w:val="en-US" w:eastAsia="zh-CN" w:bidi="ar"/>
        </w:rPr>
        <w:t>3</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720"/>
        <w:jc w:val="center"/>
        <w:textAlignment w:val="auto"/>
        <w:outlineLvl w:val="9"/>
        <w:rPr>
          <w:rFonts w:hint="eastAsia" w:ascii="宋体" w:hAnsi="宋体" w:eastAsia="宋体" w:cs="宋体"/>
          <w:b w:val="0"/>
          <w:i w:val="0"/>
          <w:caps w:val="0"/>
          <w:color w:val="000000"/>
          <w:spacing w:val="0"/>
          <w:sz w:val="24"/>
          <w:szCs w:val="24"/>
        </w:rPr>
      </w:pPr>
      <w:r>
        <w:rPr>
          <w:rFonts w:ascii="黑体" w:hAnsi="宋体" w:eastAsia="黑体" w:cs="黑体"/>
          <w:b w:val="0"/>
          <w:i w:val="0"/>
          <w:caps w:val="0"/>
          <w:color w:val="000000"/>
          <w:spacing w:val="0"/>
          <w:kern w:val="0"/>
          <w:sz w:val="36"/>
          <w:szCs w:val="36"/>
          <w:shd w:val="clear" w:fill="FFFFFF"/>
          <w:lang w:val="en-US" w:eastAsia="zh-CN" w:bidi="ar"/>
        </w:rPr>
        <w:t>新能源汽车企业要求</w:t>
      </w:r>
    </w:p>
    <w:p>
      <w:pPr>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360" w:lineRule="auto"/>
        <w:ind w:left="0" w:leftChars="0" w:right="0" w:rightChars="0" w:firstLine="641" w:firstLineChars="0"/>
        <w:jc w:val="left"/>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提出申请的汽车生产企业或进口汽车经销商（以下简称企业）须符合以下条件：</w:t>
      </w:r>
      <w:bookmarkStart w:id="0" w:name="_GoBack"/>
      <w:bookmarkEnd w:id="0"/>
    </w:p>
    <w:p>
      <w:pPr>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360" w:lineRule="auto"/>
        <w:ind w:left="0" w:leftChars="0" w:right="0" w:rightChars="0" w:firstLine="641" w:firstLineChars="0"/>
        <w:jc w:val="left"/>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1.企业应对消费者提供动力电池等储能装置、驱动电机、电机控制器质量保证，其中乘用车企业应提供不低于8年或12万公里（以先到者为准，下同）的质保期限，商用车企业（含客车、专用车、货车等）应提供不低于5年或20万公里的质保期限。</w:t>
      </w:r>
    </w:p>
    <w:p>
      <w:pPr>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360" w:lineRule="auto"/>
        <w:ind w:left="0" w:leftChars="0" w:right="0" w:rightChars="0" w:firstLine="641" w:firstLineChars="0"/>
        <w:jc w:val="left"/>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2.企业应当持续满足生产一致性相关规定，确保新能源汽车产品安全保障体系正常运行。</w:t>
      </w:r>
    </w:p>
    <w:p>
      <w:pPr>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360" w:lineRule="auto"/>
        <w:ind w:left="0" w:leftChars="0" w:right="0" w:rightChars="0" w:firstLine="641" w:firstLineChars="0"/>
        <w:jc w:val="left"/>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3.企业应当建立新能源汽车产品售后服务承诺制度。售后服务承诺应当包括新能源汽车产品质量保证承诺、售后服务项目及内容、备件提供及质量保证期限、售后服务过程中发现问题的反馈、零部件（如电池）回收，出现产品质量、安全、环保等严重问题时的应对措施以及索赔处理等内容，并在本企业网站上向社会发布。</w:t>
      </w:r>
    </w:p>
    <w:p>
      <w:pPr>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360" w:lineRule="auto"/>
        <w:ind w:left="0" w:leftChars="0" w:right="0" w:rightChars="0" w:firstLine="641" w:firstLineChars="0"/>
        <w:jc w:val="left"/>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4.企业应当建立新能源汽车产品运行安全状态监测平台，按照与新能源汽车产品用户的协议，对已销售的全部新能源汽车产品的运行安全状态进行监测。企业监测平台应当与地方和国家的新能源汽车推广应用监测平台对接。</w:t>
      </w:r>
    </w:p>
    <w:p>
      <w:pPr>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360" w:lineRule="auto"/>
        <w:ind w:left="0" w:leftChars="0" w:right="0" w:rightChars="0" w:firstLine="641" w:firstLineChars="0"/>
        <w:jc w:val="left"/>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企业及其工作人员应当妥善保管新能源汽车产品运行安全状态信息，不得泄露、篡改、毁损、出售或者非法向他人提供，不得监测与产品运行安全状态无关的信息。</w:t>
      </w:r>
    </w:p>
    <w:p>
      <w:pPr>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360" w:lineRule="auto"/>
        <w:ind w:left="0" w:leftChars="0" w:right="0" w:rightChars="0" w:firstLine="641" w:firstLineChars="0"/>
        <w:jc w:val="left"/>
        <w:textAlignment w:val="auto"/>
        <w:outlineLvl w:val="9"/>
        <w:rPr>
          <w:rFonts w:hint="eastAsia" w:ascii="宋体" w:hAnsi="宋体" w:eastAsia="宋体" w:cs="宋体"/>
          <w:b w:val="0"/>
          <w:i w:val="0"/>
          <w:caps w:val="0"/>
          <w:color w:val="000000"/>
          <w:spacing w:val="0"/>
          <w:sz w:val="24"/>
          <w:szCs w:val="24"/>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5.企业应当在产品全生命周期内，为每一辆新能源汽车产品建立档案，跟踪记录汽车使用、维护、维修情况，实施新能源汽车动力电池溯源信息管理，跟踪记录动力电池回收利用情况。</w:t>
      </w:r>
    </w:p>
    <w:p>
      <w:pPr>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360" w:lineRule="auto"/>
        <w:ind w:left="0" w:leftChars="0" w:right="0" w:rightChars="0" w:firstLine="641" w:firstLineChars="0"/>
        <w:jc w:val="left"/>
        <w:textAlignment w:val="auto"/>
        <w:outlineLvl w:val="9"/>
      </w:pPr>
      <w:r>
        <w:rPr>
          <w:rFonts w:hint="eastAsia" w:ascii="仿宋_GB2312" w:hAnsi="宋体" w:eastAsia="仿宋_GB2312" w:cs="仿宋_GB2312"/>
          <w:b w:val="0"/>
          <w:i w:val="0"/>
          <w:caps w:val="0"/>
          <w:color w:val="000000"/>
          <w:spacing w:val="0"/>
          <w:kern w:val="0"/>
          <w:sz w:val="32"/>
          <w:szCs w:val="32"/>
          <w:shd w:val="clear" w:fill="FFFFFF"/>
          <w:lang w:val="en-US" w:eastAsia="zh-CN" w:bidi="ar"/>
        </w:rPr>
        <w:t>6.对企业已销售的新能源汽车产品，在使用中存在安全隐患、发生安全事故的，企业应提交产品事故检测报告、后续改进措施等材料，完善新能源汽车安全运行保障体系。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8C21E2"/>
    <w:rsid w:val="3B665D9B"/>
    <w:rsid w:val="798C21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miit</Company>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2017-12-27T06:19:00Z</dcterms:created>
  <dc:creator>ERROBA</dc:creator>
  <cp:lastModifiedBy>ERROBA</cp:lastModifiedBy>
  <dcterms:modified xsi:type="dcterms:W3CDTF">2017-12-27T06:29:19Z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