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right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民爆行业标准制修订项目建议表</w:t>
      </w:r>
    </w:p>
    <w:tbl>
      <w:tblPr>
        <w:tblStyle w:val="9"/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18"/>
        <w:gridCol w:w="1843"/>
        <w:gridCol w:w="2835"/>
        <w:gridCol w:w="3260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sz w:val="32"/>
                <w:szCs w:val="32"/>
              </w:rPr>
              <w:t>序号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sz w:val="32"/>
                <w:szCs w:val="32"/>
              </w:rPr>
              <w:t>标准制修订项目名称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sz w:val="32"/>
                <w:szCs w:val="32"/>
              </w:rPr>
              <w:t>代替标准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sz w:val="32"/>
                <w:szCs w:val="32"/>
              </w:rPr>
              <w:t>主要内容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sz w:val="32"/>
                <w:szCs w:val="32"/>
              </w:rPr>
              <w:t>需求和必要性</w:t>
            </w:r>
          </w:p>
        </w:tc>
        <w:tc>
          <w:tcPr>
            <w:tcW w:w="2017" w:type="dxa"/>
            <w:vAlign w:val="top"/>
          </w:tcPr>
          <w:p>
            <w:pPr>
              <w:jc w:val="center"/>
              <w:rPr>
                <w:rFonts w:hint="eastAsia"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sz w:val="32"/>
                <w:szCs w:val="32"/>
              </w:rPr>
              <w:t>提出单位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3118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017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3118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017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3118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017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3118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017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3118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017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3118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017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3118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017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3118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017" w:type="dxa"/>
            <w:vAlign w:val="top"/>
          </w:tcPr>
          <w:p>
            <w:pPr>
              <w:rPr>
                <w:rFonts w:ascii="仿宋" w:hAnsi="仿宋" w:eastAsia="仿宋" w:cs="Calibri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填报单位：</w:t>
      </w:r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797" w:right="1440" w:bottom="1797" w:left="1440" w:header="851" w:footer="992" w:gutter="0"/>
      <w:paperSrc w:first="0" w:other="0"/>
      <w:cols w:space="72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PAGE   \* MERGEFORMAT</w:instrText>
    </w:r>
    <w:r>
      <w:rPr>
        <w:rFonts w:ascii="Times New Roman" w:hAnsi="Times New Roman" w:cs="Times New Roman"/>
      </w:rPr>
      <w:fldChar w:fldCharType="separate"/>
    </w:r>
    <w:r>
      <w:t>1</w:t>
    </w:r>
    <w:r>
      <w:rPr>
        <w:rFonts w:ascii="Times New Roman" w:hAnsi="Times New Roman" w:cs="Times New Roman"/>
      </w:rPr>
      <w:fldChar w:fldCharType="end"/>
    </w:r>
  </w:p>
  <w:p>
    <w:pPr>
      <w:pStyle w:val="3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3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C4F63"/>
    <w:rsid w:val="00001617"/>
    <w:rsid w:val="0002344C"/>
    <w:rsid w:val="00051D08"/>
    <w:rsid w:val="000576B8"/>
    <w:rsid w:val="00067114"/>
    <w:rsid w:val="00086108"/>
    <w:rsid w:val="000B4557"/>
    <w:rsid w:val="000B6A0B"/>
    <w:rsid w:val="00113347"/>
    <w:rsid w:val="00137215"/>
    <w:rsid w:val="00163DB3"/>
    <w:rsid w:val="001B0C0F"/>
    <w:rsid w:val="001B203D"/>
    <w:rsid w:val="001E3CCD"/>
    <w:rsid w:val="002F1941"/>
    <w:rsid w:val="003742BB"/>
    <w:rsid w:val="0038418F"/>
    <w:rsid w:val="003A313D"/>
    <w:rsid w:val="003F37E5"/>
    <w:rsid w:val="004C0E37"/>
    <w:rsid w:val="0050781C"/>
    <w:rsid w:val="005149BB"/>
    <w:rsid w:val="00516147"/>
    <w:rsid w:val="005240DC"/>
    <w:rsid w:val="0053686C"/>
    <w:rsid w:val="0054219F"/>
    <w:rsid w:val="00556748"/>
    <w:rsid w:val="0059607C"/>
    <w:rsid w:val="005B1870"/>
    <w:rsid w:val="005F72BE"/>
    <w:rsid w:val="006213E7"/>
    <w:rsid w:val="00687AFD"/>
    <w:rsid w:val="006C4E7D"/>
    <w:rsid w:val="007056FE"/>
    <w:rsid w:val="00761448"/>
    <w:rsid w:val="007A2461"/>
    <w:rsid w:val="007D00A2"/>
    <w:rsid w:val="008364AC"/>
    <w:rsid w:val="00842697"/>
    <w:rsid w:val="00864A37"/>
    <w:rsid w:val="00884CCF"/>
    <w:rsid w:val="008B1A6E"/>
    <w:rsid w:val="008C0C8B"/>
    <w:rsid w:val="008C4F63"/>
    <w:rsid w:val="009105CA"/>
    <w:rsid w:val="00931B3F"/>
    <w:rsid w:val="00A04D44"/>
    <w:rsid w:val="00A21BF9"/>
    <w:rsid w:val="00AA6A48"/>
    <w:rsid w:val="00B02A37"/>
    <w:rsid w:val="00B911D8"/>
    <w:rsid w:val="00B97D65"/>
    <w:rsid w:val="00BE6CE8"/>
    <w:rsid w:val="00BF6540"/>
    <w:rsid w:val="00BF7971"/>
    <w:rsid w:val="00C216CF"/>
    <w:rsid w:val="00C37ECE"/>
    <w:rsid w:val="00C53CA6"/>
    <w:rsid w:val="00CA4D97"/>
    <w:rsid w:val="00CF4BC5"/>
    <w:rsid w:val="00D05971"/>
    <w:rsid w:val="00D13B25"/>
    <w:rsid w:val="00D63F0E"/>
    <w:rsid w:val="00E0163D"/>
    <w:rsid w:val="00E22495"/>
    <w:rsid w:val="00E44C28"/>
    <w:rsid w:val="00EB34D0"/>
    <w:rsid w:val="00F04836"/>
    <w:rsid w:val="00F072F3"/>
    <w:rsid w:val="00FE2E38"/>
    <w:rsid w:val="0753668F"/>
    <w:rsid w:val="077211C3"/>
    <w:rsid w:val="197D7FE0"/>
    <w:rsid w:val="1A0730D2"/>
    <w:rsid w:val="1E0B781A"/>
    <w:rsid w:val="37441B11"/>
    <w:rsid w:val="56EA1142"/>
    <w:rsid w:val="5FF077ED"/>
    <w:rsid w:val="60A532C0"/>
    <w:rsid w:val="69ED7058"/>
    <w:rsid w:val="6ABC6718"/>
    <w:rsid w:val="6CF64A5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ocument Map"/>
    <w:basedOn w:val="1"/>
    <w:link w:val="13"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/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table" w:styleId="9">
    <w:name w:val="Table Grid"/>
    <w:basedOn w:val="8"/>
    <w:uiPriority w:val="59"/>
    <w:pPr/>
    <w:rPr>
      <w:rFonts w:cs="Calibri"/>
    </w:rPr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character" w:customStyle="1" w:styleId="11">
    <w:name w:val="页眉 Char"/>
    <w:link w:val="4"/>
    <w:semiHidden/>
    <w:locked/>
    <w:uiPriority w:val="99"/>
    <w:rPr>
      <w:sz w:val="18"/>
      <w:szCs w:val="18"/>
    </w:rPr>
  </w:style>
  <w:style w:type="character" w:customStyle="1" w:styleId="12">
    <w:name w:val="页脚 Char"/>
    <w:link w:val="3"/>
    <w:locked/>
    <w:uiPriority w:val="99"/>
    <w:rPr>
      <w:sz w:val="18"/>
      <w:szCs w:val="18"/>
    </w:rPr>
  </w:style>
  <w:style w:type="character" w:customStyle="1" w:styleId="13">
    <w:name w:val="文档结构图 Char"/>
    <w:link w:val="2"/>
    <w:semiHidden/>
    <w:uiPriority w:val="99"/>
    <w:rPr>
      <w:rFonts w:ascii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180</Words>
  <Characters>1032</Characters>
  <Lines>8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2016-02-26T08:31:00Z</dcterms:created>
  <dc:creator>微软用户</dc:creator>
  <cp:lastModifiedBy>Xiaoyh</cp:lastModifiedBy>
  <cp:lastPrinted>2017-02-17T01:25:00Z</cp:lastPrinted>
  <dcterms:modified xsi:type="dcterms:W3CDTF">2017-02-17T08:45:00Z</dcterms:modified>
  <dc:title>兵工标〔2016〕10号                      签发人：康继纲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