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rPr>
          <w:rFonts w:eastAsia="仿宋_GB2312"/>
          <w:sz w:val="32"/>
          <w:szCs w:val="32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符合《新能源汽车废旧动力蓄电池综合利用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行业规范条件》企业名单（第一批）</w:t>
      </w:r>
    </w:p>
    <w:p>
      <w:pPr>
        <w:rPr>
          <w:rFonts w:hint="eastAsia" w:eastAsia="仿宋_GB2312"/>
          <w:sz w:val="32"/>
          <w:szCs w:val="32"/>
        </w:rPr>
      </w:pPr>
    </w:p>
    <w:tbl>
      <w:tblPr>
        <w:tblStyle w:val="3"/>
        <w:tblW w:w="834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752"/>
        <w:gridCol w:w="5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  <w:lang w:val="en-US" w:eastAsia="zh-CN"/>
              </w:rPr>
              <w:t>所属地区</w:t>
            </w:r>
          </w:p>
        </w:tc>
        <w:tc>
          <w:tcPr>
            <w:tcW w:w="5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浙江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衢州华友钴新材料有限公司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江西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赣州市豪鹏科技有限公司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荆门市格林美新材料有限公司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75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湖南邦普循环科技有限公司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省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广东光华科技股份有限公司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360" w:lineRule="auto"/>
        <w:ind w:firstLine="640"/>
        <w:jc w:val="righ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441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KB</cp:lastModifiedBy>
  <dcterms:modified xsi:type="dcterms:W3CDTF">2018-07-26T01:26:13Z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