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right="0" w:righ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right="0" w:righ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重点区域和重点流域具体范围</w:t>
      </w:r>
    </w:p>
    <w:bookmarkEnd w:id="0"/>
    <w:p>
      <w:pPr>
        <w:rPr>
          <w:rFonts w:hint="eastAsia" w:ascii="仿宋_GB2312" w:hAnsi="仿宋_GB2312" w:eastAsia="仿宋_GB2312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right="0" w:rightChars="0" w:firstLine="64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重点区域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eastAsia="zh-CN"/>
        </w:rPr>
        <w:t>具体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范围：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京津冀及周边地区，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包括北京市，天津市，河北省石家庄、唐山、邯郸、邢台、保定、沧州、廊坊、衡水市及雄安新区，山西省太原、阳泉、长治、晋城市，山东省济南、淄博、济宁、德州、聊城、滨州、菏泽市，河南省郑州、开封、安阳、鹤壁、新乡、焦作、濮阳市等；长三角地区，包括上海市、江苏省、浙江省、安徽省；汾渭平原，包括山西省晋中、运城、临汾、吕梁市，河南省洛阳、三门峡市，陕西省西安、铜川、宝鸡、咸阳、渭南市以及杨凌示范区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right="0" w:rightChars="0" w:firstLine="640"/>
        <w:textAlignment w:val="auto"/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重点流域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eastAsia="zh-CN"/>
        </w:rPr>
        <w:t>具体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范围：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长江经济带上海、江苏、浙江、安徽、江西、湖北、湖南、重庆、四川、云南、贵州等11省市。</w:t>
      </w:r>
    </w:p>
    <w:p/>
    <w:sectPr>
      <w:headerReference r:id="rId3" w:type="default"/>
      <w:footerReference r:id="rId4" w:type="default"/>
      <w:pgSz w:w="11906" w:h="16838"/>
      <w:pgMar w:top="1871" w:right="1871" w:bottom="1871" w:left="1871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22B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KB</cp:lastModifiedBy>
  <dcterms:modified xsi:type="dcterms:W3CDTF">2018-07-25T04:04:45Z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2052-10.1.0.7359</vt:lpwstr>
  </property>
</Properties>
</file>