
<file path=[Content_Types].xml><?xml version="1.0" encoding="utf-8"?>
<Types xmlns="http://schemas.openxmlformats.org/package/2006/content-types">
  <Default Extension="xml" ContentType="application/xml"/>
  <Default Extension="emf" ContentType="image/x-emf"/>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r>
        <w:rPr>
          <w:szCs w:val="84"/>
        </w:rPr>
        <w:drawing>
          <wp:anchor distT="0" distB="0" distL="114300" distR="114300" simplePos="0" relativeHeight="251659264" behindDoc="0" locked="0" layoutInCell="1" allowOverlap="1">
            <wp:simplePos x="0" y="0"/>
            <wp:positionH relativeFrom="column">
              <wp:posOffset>3605530</wp:posOffset>
            </wp:positionH>
            <wp:positionV relativeFrom="paragraph">
              <wp:posOffset>-8255</wp:posOffset>
            </wp:positionV>
            <wp:extent cx="1914525" cy="733425"/>
            <wp:effectExtent l="0" t="0" r="9525" b="9525"/>
            <wp:wrapNone/>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1914525" cy="733425"/>
                    </a:xfrm>
                    <a:prstGeom prst="rect">
                      <a:avLst/>
                    </a:prstGeom>
                    <a:noFill/>
                    <a:ln>
                      <a:noFill/>
                    </a:ln>
                  </pic:spPr>
                </pic:pic>
              </a:graphicData>
            </a:graphic>
          </wp:anchor>
        </w:drawing>
      </w:r>
      <w:r>
        <mc:AlternateContent>
          <mc:Choice Requires="wps">
            <w:drawing>
              <wp:anchor distT="0" distB="0" distL="114300" distR="114300" simplePos="0" relativeHeight="251678720" behindDoc="0" locked="1" layoutInCell="1" allowOverlap="1">
                <wp:simplePos x="0" y="0"/>
                <wp:positionH relativeFrom="margin">
                  <wp:posOffset>360045</wp:posOffset>
                </wp:positionH>
                <wp:positionV relativeFrom="margin">
                  <wp:posOffset>8461375</wp:posOffset>
                </wp:positionV>
                <wp:extent cx="2019300" cy="313055"/>
                <wp:effectExtent l="0" t="0" r="0" b="0"/>
                <wp:wrapNone/>
                <wp:docPr id="21" name="fmFrame5"/>
                <wp:cNvGraphicFramePr/>
                <a:graphic xmlns:a="http://schemas.openxmlformats.org/drawingml/2006/main">
                  <a:graphicData uri="http://schemas.microsoft.com/office/word/2010/wordprocessingShape">
                    <wps:wsp>
                      <wps:cNvSpPr txBox="1">
                        <a:spLocks noChangeArrowheads="1"/>
                      </wps:cNvSpPr>
                      <wps:spPr bwMode="auto">
                        <a:xfrm>
                          <a:off x="0" y="0"/>
                          <a:ext cx="2019600" cy="313200"/>
                        </a:xfrm>
                        <a:prstGeom prst="rect">
                          <a:avLst/>
                        </a:prstGeom>
                        <a:solidFill>
                          <a:srgbClr val="FFFFFF"/>
                        </a:solidFill>
                        <a:ln>
                          <a:noFill/>
                        </a:ln>
                      </wps:spPr>
                      <wps:txbx>
                        <w:txbxContent>
                          <w:p>
                            <w:pPr>
                              <w:pStyle w:val="20"/>
                              <w:rPr>
                                <w:rFonts w:ascii="黑体" w:hAnsi="黑体"/>
                                <w:bCs/>
                              </w:rPr>
                            </w:pPr>
                            <w:r>
                              <w:rPr>
                                <w:rFonts w:hint="eastAsia" w:ascii="黑体" w:hAnsi="黑体"/>
                                <w:bCs/>
                                <w:color w:val="FF0000"/>
                              </w:rPr>
                              <w:t>201</w:t>
                            </w:r>
                            <w:r>
                              <w:rPr>
                                <w:rFonts w:ascii="黑体" w:hAnsi="黑体"/>
                                <w:bCs/>
                                <w:color w:val="FF0000"/>
                              </w:rPr>
                              <w:t>8</w:t>
                            </w:r>
                            <w:r>
                              <w:rPr>
                                <w:rFonts w:hint="eastAsia" w:ascii="黑体" w:hAnsi="黑体"/>
                                <w:bCs/>
                                <w:color w:val="FF0000"/>
                              </w:rPr>
                              <w:t>-</w:t>
                            </w:r>
                            <w:r>
                              <w:rPr>
                                <w:rFonts w:ascii="黑体" w:hAnsi="黑体"/>
                                <w:bCs/>
                                <w:color w:val="FF0000"/>
                              </w:rPr>
                              <w:t>**-**</w:t>
                            </w:r>
                            <w:r>
                              <w:rPr>
                                <w:rFonts w:hint="eastAsia" w:ascii="黑体" w:hAnsi="黑体"/>
                                <w:bCs/>
                              </w:rPr>
                              <w:t>发布</w:t>
                            </w:r>
                          </w:p>
                          <w:p/>
                        </w:txbxContent>
                      </wps:txbx>
                      <wps:bodyPr rot="0" vert="horz" wrap="square" lIns="0" tIns="0" rIns="0" bIns="0" anchor="t" anchorCtr="0" upright="1">
                        <a:noAutofit/>
                      </wps:bodyPr>
                    </wps:wsp>
                  </a:graphicData>
                </a:graphic>
              </wp:anchor>
            </w:drawing>
          </mc:Choice>
          <mc:Fallback>
            <w:pict>
              <v:shape id="fmFrame5" o:spid="_x0000_s1026" o:spt="202" type="#_x0000_t202" style="position:absolute;left:0pt;margin-left:28.35pt;margin-top:666.25pt;height:24.65pt;width:159pt;mso-position-horizontal-relative:margin;mso-position-vertical-relative:margin;z-index:251678720;mso-width-relative:page;mso-height-relative:page;" fillcolor="#FFFFFF" filled="t" stroked="f" coordsize="21600,21600" o:gfxdata="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">
                <v:fill on="t" focussize="0,0"/>
                <v:stroke on="f"/>
                <v:imagedata o:title=""/>
                <o:lock v:ext="edit" aspectratio="f"/>
                <v:textbox inset="0mm,0mm,0mm,0mm">
                  <w:txbxContent>
                    <w:p>
                      <w:pPr>
                        <w:pStyle w:val="20"/>
                        <w:rPr>
                          <w:rFonts w:ascii="黑体" w:hAnsi="黑体"/>
                          <w:bCs/>
                        </w:rPr>
                      </w:pPr>
                      <w:r>
                        <w:rPr>
                          <w:rFonts w:hint="eastAsia" w:ascii="黑体" w:hAnsi="黑体"/>
                          <w:bCs/>
                          <w:color w:val="FF0000"/>
                        </w:rPr>
                        <w:t>201</w:t>
                      </w:r>
                      <w:r>
                        <w:rPr>
                          <w:rFonts w:ascii="黑体" w:hAnsi="黑体"/>
                          <w:bCs/>
                          <w:color w:val="FF0000"/>
                        </w:rPr>
                        <w:t>8</w:t>
                      </w:r>
                      <w:r>
                        <w:rPr>
                          <w:rFonts w:hint="eastAsia" w:ascii="黑体" w:hAnsi="黑体"/>
                          <w:bCs/>
                          <w:color w:val="FF0000"/>
                        </w:rPr>
                        <w:t>-</w:t>
                      </w:r>
                      <w:r>
                        <w:rPr>
                          <w:rFonts w:ascii="黑体" w:hAnsi="黑体"/>
                          <w:bCs/>
                          <w:color w:val="FF0000"/>
                        </w:rPr>
                        <w:t>**-**</w:t>
                      </w:r>
                      <w:r>
                        <w:rPr>
                          <w:rFonts w:hint="eastAsia" w:ascii="黑体" w:hAnsi="黑体"/>
                          <w:bCs/>
                        </w:rPr>
                        <w:t>发布</w:t>
                      </w:r>
                    </w:p>
                    <w:p/>
                  </w:txbxContent>
                </v:textbox>
                <w10:anchorlock/>
              </v:shape>
            </w:pict>
          </mc:Fallback>
        </mc:AlternateContent>
      </w:r>
      <w:r>
        <mc:AlternateContent>
          <mc:Choice Requires="wps">
            <w:drawing>
              <wp:anchor distT="0" distB="0" distL="114300" distR="114300" simplePos="0" relativeHeight="251674624" behindDoc="0" locked="1" layoutInCell="1" allowOverlap="1">
                <wp:simplePos x="0" y="0"/>
                <wp:positionH relativeFrom="margin">
                  <wp:align>left</wp:align>
                </wp:positionH>
                <wp:positionV relativeFrom="margin">
                  <wp:align>bottom</wp:align>
                </wp:positionV>
                <wp:extent cx="5939790" cy="331470"/>
                <wp:effectExtent l="0" t="0" r="3810" b="0"/>
                <wp:wrapNone/>
                <wp:docPr id="17" name="fmFrame7"/>
                <wp:cNvGraphicFramePr/>
                <a:graphic xmlns:a="http://schemas.openxmlformats.org/drawingml/2006/main">
                  <a:graphicData uri="http://schemas.microsoft.com/office/word/2010/wordprocessingShape">
                    <wps:wsp>
                      <wps:cNvSpPr txBox="1">
                        <a:spLocks noChangeArrowheads="1"/>
                      </wps:cNvSpPr>
                      <wps:spPr bwMode="auto">
                        <a:xfrm>
                          <a:off x="0" y="0"/>
                          <a:ext cx="5940000" cy="331200"/>
                        </a:xfrm>
                        <a:prstGeom prst="rect">
                          <a:avLst/>
                        </a:prstGeom>
                        <a:ln>
                          <a:noFill/>
                        </a:ln>
                      </wps:spPr>
                      <wps:style>
                        <a:lnRef idx="2">
                          <a:schemeClr val="dk1"/>
                        </a:lnRef>
                        <a:fillRef idx="1">
                          <a:schemeClr val="lt1"/>
                        </a:fillRef>
                        <a:effectRef idx="0">
                          <a:schemeClr val="dk1"/>
                        </a:effectRef>
                        <a:fontRef idx="minor">
                          <a:schemeClr val="dk1"/>
                        </a:fontRef>
                      </wps:style>
                      <wps:txbx>
                        <w:txbxContent>
                          <w:p>
                            <w:pPr>
                              <w:pStyle w:val="22"/>
                              <w:ind w:firstLine="800"/>
                              <w:rPr>
                                <w:w w:val="100"/>
                              </w:rPr>
                            </w:pPr>
                            <w:r>
                              <w:rPr>
                                <w:rFonts w:hint="eastAsia"/>
                                <w:w w:val="100"/>
                              </w:rPr>
                              <w:t xml:space="preserve">中华人民共和国工业和信息化部 </w:t>
                            </w:r>
                            <w:r>
                              <w:rPr>
                                <w:rFonts w:hint="eastAsia" w:hAnsi="黑体"/>
                                <w:spacing w:val="85"/>
                                <w:w w:val="100"/>
                                <w:sz w:val="28"/>
                                <w:szCs w:val="28"/>
                              </w:rPr>
                              <w:t>发</w:t>
                            </w:r>
                            <w:r>
                              <w:rPr>
                                <w:rFonts w:hint="eastAsia" w:hAnsi="黑体"/>
                                <w:w w:val="100"/>
                                <w:sz w:val="28"/>
                                <w:szCs w:val="28"/>
                              </w:rPr>
                              <w:t>布</w:t>
                            </w:r>
                          </w:p>
                        </w:txbxContent>
                      </wps:txbx>
                      <wps:bodyPr rot="0" vert="horz" wrap="square" lIns="0" tIns="0" rIns="0" bIns="0" anchor="b" anchorCtr="0" upright="1">
                        <a:spAutoFit/>
                      </wps:bodyPr>
                    </wps:wsp>
                  </a:graphicData>
                </a:graphic>
              </wp:anchor>
            </w:drawing>
          </mc:Choice>
          <mc:Fallback>
            <w:pict>
              <v:shape id="fmFrame7" o:spid="_x0000_s1026" o:spt="202" type="#_x0000_t202" style="position:absolute;left:0pt;height:26.1pt;width:467.7pt;mso-position-horizontal:left;mso-position-horizontal-relative:margin;mso-position-vertical:bottom;mso-position-vertical-relative:margin;z-index:251674624;v-text-anchor:bottom;mso-width-relative:page;mso-height-relative:page;" fillcolor="#FFFFFF [3201]" filled="t" stroked="f" coordsize="21600,21600" o:gfxdata="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">
                <v:fill on="t" focussize="0,0"/>
                <v:stroke on="f" weight="1pt" miterlimit="8" joinstyle="miter"/>
                <v:imagedata o:title=""/>
                <o:lock v:ext="edit" aspectratio="f"/>
                <v:textbox inset="0mm,0mm,0mm,0mm" style="mso-fit-shape-to-text:t;">
                  <w:txbxContent>
                    <w:p>
                      <w:pPr>
                        <w:pStyle w:val="22"/>
                        <w:ind w:firstLine="800"/>
                        <w:rPr>
                          <w:w w:val="100"/>
                        </w:rPr>
                      </w:pPr>
                      <w:r>
                        <w:rPr>
                          <w:rFonts w:hint="eastAsia"/>
                          <w:w w:val="100"/>
                        </w:rPr>
                        <w:t xml:space="preserve">中华人民共和国工业和信息化部 </w:t>
                      </w:r>
                      <w:r>
                        <w:rPr>
                          <w:rFonts w:hint="eastAsia" w:hAnsi="黑体"/>
                          <w:spacing w:val="85"/>
                          <w:w w:val="100"/>
                          <w:sz w:val="28"/>
                          <w:szCs w:val="28"/>
                        </w:rPr>
                        <w:t>发</w:t>
                      </w:r>
                      <w:r>
                        <w:rPr>
                          <w:rFonts w:hint="eastAsia" w:hAnsi="黑体"/>
                          <w:w w:val="100"/>
                          <w:sz w:val="28"/>
                          <w:szCs w:val="28"/>
                        </w:rPr>
                        <w:t>布</w:t>
                      </w:r>
                    </w:p>
                  </w:txbxContent>
                </v:textbox>
                <w10:anchorlock/>
              </v:shape>
            </w:pict>
          </mc:Fallback>
        </mc:AlternateContent>
      </w:r>
      <w:r>
        <mc:AlternateContent>
          <mc:Choice Requires="wps">
            <w:drawing>
              <wp:anchor distT="0" distB="0" distL="114300" distR="114300" simplePos="0" relativeHeight="251672576" behindDoc="0" locked="1" layoutInCell="1" allowOverlap="1">
                <wp:simplePos x="0" y="0"/>
                <wp:positionH relativeFrom="page">
                  <wp:posOffset>4446905</wp:posOffset>
                </wp:positionH>
                <wp:positionV relativeFrom="margin">
                  <wp:posOffset>8462645</wp:posOffset>
                </wp:positionV>
                <wp:extent cx="2019300" cy="313055"/>
                <wp:effectExtent l="0" t="0" r="0" b="0"/>
                <wp:wrapNone/>
                <wp:docPr id="22" name="fmFrame6"/>
                <wp:cNvGraphicFramePr/>
                <a:graphic xmlns:a="http://schemas.openxmlformats.org/drawingml/2006/main">
                  <a:graphicData uri="http://schemas.microsoft.com/office/word/2010/wordprocessingShape">
                    <wps:wsp>
                      <wps:cNvSpPr txBox="1">
                        <a:spLocks noChangeArrowheads="1"/>
                      </wps:cNvSpPr>
                      <wps:spPr bwMode="auto">
                        <a:xfrm>
                          <a:off x="0" y="0"/>
                          <a:ext cx="2019300" cy="313055"/>
                        </a:xfrm>
                        <a:prstGeom prst="rect">
                          <a:avLst/>
                        </a:prstGeom>
                        <a:solidFill>
                          <a:srgbClr val="FFFFFF"/>
                        </a:solidFill>
                        <a:ln>
                          <a:noFill/>
                        </a:ln>
                      </wps:spPr>
                      <wps:txbx>
                        <w:txbxContent>
                          <w:p>
                            <w:pPr>
                              <w:pStyle w:val="21"/>
                              <w:wordWrap w:val="0"/>
                              <w:rPr>
                                <w:rFonts w:ascii="黑体" w:hAnsi="黑体"/>
                                <w:bCs/>
                              </w:rPr>
                            </w:pPr>
                            <w:r>
                              <w:rPr>
                                <w:rFonts w:hint="eastAsia" w:ascii="黑体" w:hAnsi="黑体"/>
                                <w:bCs/>
                                <w:color w:val="FF0000"/>
                              </w:rPr>
                              <w:t>201</w:t>
                            </w:r>
                            <w:r>
                              <w:rPr>
                                <w:rFonts w:ascii="黑体" w:hAnsi="黑体"/>
                                <w:bCs/>
                                <w:color w:val="FF0000"/>
                              </w:rPr>
                              <w:t xml:space="preserve">8-**-** </w:t>
                            </w:r>
                            <w:r>
                              <w:rPr>
                                <w:rFonts w:hint="eastAsia" w:ascii="黑体" w:hAnsi="黑体"/>
                                <w:bCs/>
                              </w:rPr>
                              <w:t>实施</w:t>
                            </w:r>
                          </w:p>
                          <w:p/>
                        </w:txbxContent>
                      </wps:txbx>
                      <wps:bodyPr rot="0" vert="horz" wrap="square" lIns="0" tIns="0" rIns="0" bIns="0" anchor="t" anchorCtr="0" upright="1">
                        <a:noAutofit/>
                      </wps:bodyPr>
                    </wps:wsp>
                  </a:graphicData>
                </a:graphic>
              </wp:anchor>
            </w:drawing>
          </mc:Choice>
          <mc:Fallback>
            <w:pict>
              <v:shape id="fmFrame6" o:spid="_x0000_s1026" o:spt="202" type="#_x0000_t202" style="position:absolute;left:0pt;margin-left:350.15pt;margin-top:666.35pt;height:24.65pt;width:159pt;mso-position-horizontal-relative:page;mso-position-vertical-relative:margin;z-index:251672576;mso-width-relative:page;mso-height-relative:page;" fillcolor="#FFFFFF" filled="t" stroked="f" coordsize="21600,21600" o:gfxdata="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">
                <v:fill on="t" focussize="0,0"/>
                <v:stroke on="f"/>
                <v:imagedata o:title=""/>
                <o:lock v:ext="edit" aspectratio="f"/>
                <v:textbox inset="0mm,0mm,0mm,0mm">
                  <w:txbxContent>
                    <w:p>
                      <w:pPr>
                        <w:pStyle w:val="21"/>
                        <w:wordWrap w:val="0"/>
                        <w:rPr>
                          <w:rFonts w:ascii="黑体" w:hAnsi="黑体"/>
                          <w:bCs/>
                        </w:rPr>
                      </w:pPr>
                      <w:r>
                        <w:rPr>
                          <w:rFonts w:hint="eastAsia" w:ascii="黑体" w:hAnsi="黑体"/>
                          <w:bCs/>
                          <w:color w:val="FF0000"/>
                        </w:rPr>
                        <w:t>201</w:t>
                      </w:r>
                      <w:r>
                        <w:rPr>
                          <w:rFonts w:ascii="黑体" w:hAnsi="黑体"/>
                          <w:bCs/>
                          <w:color w:val="FF0000"/>
                        </w:rPr>
                        <w:t xml:space="preserve">8-**-** </w:t>
                      </w:r>
                      <w:r>
                        <w:rPr>
                          <w:rFonts w:hint="eastAsia" w:ascii="黑体" w:hAnsi="黑体"/>
                          <w:bCs/>
                        </w:rPr>
                        <w:t>实施</w:t>
                      </w:r>
                    </w:p>
                    <w:p/>
                  </w:txbxContent>
                </v:textbox>
                <w10:anchorlock/>
              </v:shape>
            </w:pict>
          </mc:Fallback>
        </mc:AlternateContent>
      </w:r>
      <w:r>
        <w:rPr>
          <w:rFonts w:cs="Times New Roman"/>
        </w:rPr>
        <mc:AlternateContent>
          <mc:Choice Requires="wps">
            <w:drawing>
              <wp:anchor distT="0" distB="0" distL="114300" distR="114300" simplePos="0" relativeHeight="251668480" behindDoc="0" locked="1" layoutInCell="1" allowOverlap="1">
                <wp:simplePos x="0" y="0"/>
                <wp:positionH relativeFrom="margin">
                  <wp:posOffset>0</wp:posOffset>
                </wp:positionH>
                <wp:positionV relativeFrom="margin">
                  <wp:posOffset>3780790</wp:posOffset>
                </wp:positionV>
                <wp:extent cx="5939790" cy="4262120"/>
                <wp:effectExtent l="0" t="0" r="3810" b="5080"/>
                <wp:wrapNone/>
                <wp:docPr id="14" name="fmFrame4"/>
                <wp:cNvGraphicFramePr/>
                <a:graphic xmlns:a="http://schemas.openxmlformats.org/drawingml/2006/main">
                  <a:graphicData uri="http://schemas.microsoft.com/office/word/2010/wordprocessingShape">
                    <wps:wsp>
                      <wps:cNvSpPr txBox="1">
                        <a:spLocks noChangeArrowheads="1"/>
                      </wps:cNvSpPr>
                      <wps:spPr bwMode="auto">
                        <a:xfrm>
                          <a:off x="0" y="0"/>
                          <a:ext cx="5940000" cy="4262400"/>
                        </a:xfrm>
                        <a:prstGeom prst="rect">
                          <a:avLst/>
                        </a:prstGeom>
                        <a:solidFill>
                          <a:sysClr val="window" lastClr="FFFFFF"/>
                        </a:solidFill>
                        <a:ln w="12700" cap="flat" cmpd="sng" algn="ctr">
                          <a:noFill/>
                          <a:prstDash val="solid"/>
                          <a:miter lim="800000"/>
                        </a:ln>
                        <a:effectLst/>
                      </wps:spPr>
                      <wps:txbx>
                        <w:txbxContent>
                          <w:p>
                            <w:pPr>
                              <w:pStyle w:val="26"/>
                              <w:spacing w:after="567"/>
                            </w:pPr>
                            <w:r>
                              <w:t>渗透检验参考试块</w:t>
                            </w:r>
                            <w:r>
                              <w:rPr>
                                <w:rFonts w:hint="eastAsia"/>
                              </w:rPr>
                              <w:t>校准规范</w:t>
                            </w:r>
                          </w:p>
                          <w:p>
                            <w:pPr>
                              <w:pStyle w:val="19"/>
                              <w:spacing w:before="0" w:line="280" w:lineRule="exact"/>
                              <w:rPr>
                                <w:rFonts w:eastAsia="黑体"/>
                                <w:szCs w:val="28"/>
                              </w:rPr>
                            </w:pPr>
                            <w:r>
                              <w:rPr>
                                <w:rFonts w:eastAsia="黑体"/>
                                <w:kern w:val="36"/>
                                <w:szCs w:val="28"/>
                              </w:rPr>
                              <w:t>Calibration Specification for</w:t>
                            </w:r>
                            <w:r>
                              <w:rPr>
                                <w:rFonts w:eastAsia="黑体"/>
                                <w:szCs w:val="28"/>
                              </w:rPr>
                              <w:t xml:space="preserve"> Reference Test Blocks used in Penetrant Testing</w:t>
                            </w:r>
                          </w:p>
                        </w:txbxContent>
                      </wps:txbx>
                      <wps:bodyPr rot="0" vert="horz" wrap="square" lIns="0" tIns="0" rIns="0" bIns="0" anchor="t" anchorCtr="0" upright="1">
                        <a:noAutofit/>
                      </wps:bodyPr>
                    </wps:wsp>
                  </a:graphicData>
                </a:graphic>
              </wp:anchor>
            </w:drawing>
          </mc:Choice>
          <mc:Fallback>
            <w:pict>
              <v:shape id="fmFrame4" o:spid="_x0000_s1026" o:spt="202" type="#_x0000_t202" style="position:absolute;left:0pt;margin-left:0pt;margin-top:297.7pt;height:335.6pt;width:467.7pt;mso-position-horizontal-relative:margin;mso-position-vertical-relative:margin;z-index:251668480;mso-width-relative:page;mso-height-relative:page;" fillcolor="#FFFFFF" filled="t" stroked="f" coordsize="21600,21600" o:gfxdata="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">
                <v:fill on="t" focussize="0,0"/>
                <v:stroke on="f" weight="1pt" miterlimit="8" joinstyle="miter"/>
                <v:imagedata o:title=""/>
                <o:lock v:ext="edit" aspectratio="f"/>
                <v:textbox inset="0mm,0mm,0mm,0mm">
                  <w:txbxContent>
                    <w:p>
                      <w:pPr>
                        <w:pStyle w:val="26"/>
                        <w:spacing w:after="567"/>
                      </w:pPr>
                      <w:r>
                        <w:t>渗透检验参考试块</w:t>
                      </w:r>
                      <w:r>
                        <w:rPr>
                          <w:rFonts w:hint="eastAsia"/>
                        </w:rPr>
                        <w:t>校准规范</w:t>
                      </w:r>
                    </w:p>
                    <w:p>
                      <w:pPr>
                        <w:pStyle w:val="19"/>
                        <w:spacing w:before="0" w:line="280" w:lineRule="exact"/>
                        <w:rPr>
                          <w:rFonts w:eastAsia="黑体"/>
                          <w:szCs w:val="28"/>
                        </w:rPr>
                      </w:pPr>
                      <w:r>
                        <w:rPr>
                          <w:rFonts w:eastAsia="黑体"/>
                          <w:kern w:val="36"/>
                          <w:szCs w:val="28"/>
                        </w:rPr>
                        <w:t>Calibration Specification for</w:t>
                      </w:r>
                      <w:r>
                        <w:rPr>
                          <w:rFonts w:eastAsia="黑体"/>
                          <w:szCs w:val="28"/>
                        </w:rPr>
                        <w:t xml:space="preserve"> Reference Test Blocks used in Penetrant Testing</w:t>
                      </w:r>
                    </w:p>
                  </w:txbxContent>
                </v:textbox>
                <w10:anchorlock/>
              </v:shape>
            </w:pict>
          </mc:Fallback>
        </mc:AlternateContent>
      </w:r>
      <w:r>
        <mc:AlternateContent>
          <mc:Choice Requires="wps">
            <w:drawing>
              <wp:anchor distT="0" distB="0" distL="114300" distR="114300" simplePos="0" relativeHeight="251665408" behindDoc="0" locked="1" layoutInCell="1" allowOverlap="1">
                <wp:simplePos x="0" y="0"/>
                <wp:positionH relativeFrom="margin">
                  <wp:posOffset>-635</wp:posOffset>
                </wp:positionH>
                <wp:positionV relativeFrom="margin">
                  <wp:posOffset>1049020</wp:posOffset>
                </wp:positionV>
                <wp:extent cx="5943600" cy="391160"/>
                <wp:effectExtent l="0" t="0" r="0" b="0"/>
                <wp:wrapNone/>
                <wp:docPr id="12" name="fmFrame2"/>
                <wp:cNvGraphicFramePr/>
                <a:graphic xmlns:a="http://schemas.openxmlformats.org/drawingml/2006/main">
                  <a:graphicData uri="http://schemas.microsoft.com/office/word/2010/wordprocessingShape">
                    <wps:wsp>
                      <wps:cNvSpPr txBox="1">
                        <a:spLocks noChangeArrowheads="1"/>
                      </wps:cNvSpPr>
                      <wps:spPr bwMode="auto">
                        <a:xfrm>
                          <a:off x="0" y="0"/>
                          <a:ext cx="5943600" cy="391160"/>
                        </a:xfrm>
                        <a:prstGeom prst="rect">
                          <a:avLst/>
                        </a:prstGeom>
                        <a:ln>
                          <a:noFill/>
                        </a:ln>
                      </wps:spPr>
                      <wps:style>
                        <a:lnRef idx="2">
                          <a:schemeClr val="dk1"/>
                        </a:lnRef>
                        <a:fillRef idx="1">
                          <a:schemeClr val="lt1"/>
                        </a:fillRef>
                        <a:effectRef idx="0">
                          <a:schemeClr val="dk1"/>
                        </a:effectRef>
                        <a:fontRef idx="minor">
                          <a:schemeClr val="dk1"/>
                        </a:fontRef>
                      </wps:style>
                      <wps:txbx>
                        <w:txbxContent>
                          <w:p>
                            <w:pPr>
                              <w:pStyle w:val="18"/>
                              <w:spacing w:line="560" w:lineRule="exact"/>
                              <w:rPr>
                                <w:rFonts w:ascii="方正小标宋简体" w:eastAsia="方正小标宋简体"/>
                                <w:sz w:val="40"/>
                                <w:szCs w:val="52"/>
                              </w:rPr>
                            </w:pPr>
                            <w:r>
                              <w:rPr>
                                <w:rFonts w:hint="eastAsia" w:ascii="方正小标宋简体" w:eastAsia="方正小标宋简体"/>
                                <w:sz w:val="40"/>
                                <w:szCs w:val="52"/>
                              </w:rPr>
                              <w:t>中华人民共和国工业和信息化部机械计量</w:t>
                            </w:r>
                            <w:r>
                              <w:rPr>
                                <w:rFonts w:hint="eastAsia" w:ascii="方正小标宋简体" w:eastAsia="方正小标宋简体"/>
                                <w:sz w:val="40"/>
                                <w:szCs w:val="52"/>
                                <w:lang w:eastAsia="zh-CN"/>
                              </w:rPr>
                              <w:t>技术</w:t>
                            </w:r>
                            <w:r>
                              <w:rPr>
                                <w:rFonts w:hint="eastAsia" w:ascii="方正小标宋简体" w:eastAsia="方正小标宋简体"/>
                                <w:sz w:val="40"/>
                                <w:szCs w:val="52"/>
                              </w:rPr>
                              <w:t>规范</w:t>
                            </w:r>
                          </w:p>
                        </w:txbxContent>
                      </wps:txbx>
                      <wps:bodyPr rot="0" vert="horz" wrap="square" lIns="0" tIns="0" rIns="0" bIns="0" anchor="t" anchorCtr="0" upright="1">
                        <a:spAutoFit/>
                      </wps:bodyPr>
                    </wps:wsp>
                  </a:graphicData>
                </a:graphic>
              </wp:anchor>
            </w:drawing>
          </mc:Choice>
          <mc:Fallback>
            <w:pict>
              <v:shape id="fmFrame2" o:spid="_x0000_s1026" o:spt="202" type="#_x0000_t202" style="position:absolute;left:0pt;margin-left:-0.05pt;margin-top:82.6pt;height:30.8pt;width:468pt;mso-position-horizontal-relative:margin;mso-position-vertical-relative:margin;z-index:251665408;mso-width-relative:page;mso-height-relative:page;" fillcolor="#FFFFFF [3201]" filled="t" stroked="f" coordsize="21600,21600" o:gfxdata="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">
                <v:fill on="t" focussize="0,0"/>
                <v:stroke on="f" weight="1pt" miterlimit="8" joinstyle="miter"/>
                <v:imagedata o:title=""/>
                <o:lock v:ext="edit" aspectratio="f"/>
                <v:textbox inset="0mm,0mm,0mm,0mm" style="mso-fit-shape-to-text:t;">
                  <w:txbxContent>
                    <w:p>
                      <w:pPr>
                        <w:pStyle w:val="18"/>
                        <w:spacing w:line="560" w:lineRule="exact"/>
                        <w:rPr>
                          <w:rFonts w:ascii="方正小标宋简体" w:eastAsia="方正小标宋简体"/>
                          <w:sz w:val="40"/>
                          <w:szCs w:val="52"/>
                        </w:rPr>
                      </w:pPr>
                      <w:r>
                        <w:rPr>
                          <w:rFonts w:hint="eastAsia" w:ascii="方正小标宋简体" w:eastAsia="方正小标宋简体"/>
                          <w:sz w:val="40"/>
                          <w:szCs w:val="52"/>
                        </w:rPr>
                        <w:t>中华人民共和国工业和信息化部机械计量</w:t>
                      </w:r>
                      <w:r>
                        <w:rPr>
                          <w:rFonts w:hint="eastAsia" w:ascii="方正小标宋简体" w:eastAsia="方正小标宋简体"/>
                          <w:sz w:val="40"/>
                          <w:szCs w:val="52"/>
                          <w:lang w:eastAsia="zh-CN"/>
                        </w:rPr>
                        <w:t>技术</w:t>
                      </w:r>
                      <w:r>
                        <w:rPr>
                          <w:rFonts w:hint="eastAsia" w:ascii="方正小标宋简体" w:eastAsia="方正小标宋简体"/>
                          <w:sz w:val="40"/>
                          <w:szCs w:val="52"/>
                        </w:rPr>
                        <w:t>规范</w:t>
                      </w:r>
                    </w:p>
                  </w:txbxContent>
                </v:textbox>
                <w10:anchorlock/>
              </v:shape>
            </w:pict>
          </mc:Fallback>
        </mc:AlternateContent>
      </w:r>
      <w:r>
        <mc:AlternateContent>
          <mc:Choice Requires="wps">
            <w:drawing>
              <wp:anchor distT="0" distB="0" distL="114300" distR="114300" simplePos="0" relativeHeight="251661312" behindDoc="0" locked="1" layoutInCell="1" allowOverlap="1">
                <wp:simplePos x="0" y="0"/>
                <wp:positionH relativeFrom="margin">
                  <wp:posOffset>0</wp:posOffset>
                </wp:positionH>
                <wp:positionV relativeFrom="margin">
                  <wp:posOffset>1425575</wp:posOffset>
                </wp:positionV>
                <wp:extent cx="5219700" cy="899795"/>
                <wp:effectExtent l="0" t="0" r="0" b="0"/>
                <wp:wrapNone/>
                <wp:docPr id="13" name="fmFrame3"/>
                <wp:cNvGraphicFramePr/>
                <a:graphic xmlns:a="http://schemas.openxmlformats.org/drawingml/2006/main">
                  <a:graphicData uri="http://schemas.microsoft.com/office/word/2010/wordprocessingShape">
                    <wps:wsp>
                      <wps:cNvSpPr txBox="1">
                        <a:spLocks noChangeArrowheads="1"/>
                      </wps:cNvSpPr>
                      <wps:spPr bwMode="auto">
                        <a:xfrm>
                          <a:off x="0" y="0"/>
                          <a:ext cx="5219700" cy="899795"/>
                        </a:xfrm>
                        <a:prstGeom prst="rect">
                          <a:avLst/>
                        </a:prstGeom>
                        <a:ln>
                          <a:noFill/>
                        </a:ln>
                      </wps:spPr>
                      <wps:style>
                        <a:lnRef idx="2">
                          <a:schemeClr val="dk1"/>
                        </a:lnRef>
                        <a:fillRef idx="1">
                          <a:schemeClr val="lt1"/>
                        </a:fillRef>
                        <a:effectRef idx="0">
                          <a:schemeClr val="dk1"/>
                        </a:effectRef>
                        <a:fontRef idx="minor">
                          <a:schemeClr val="dk1"/>
                        </a:fontRef>
                      </wps:style>
                      <wps:txbx>
                        <w:txbxContent>
                          <w:p>
                            <w:pPr>
                              <w:pStyle w:val="17"/>
                              <w:ind w:firstLine="560"/>
                            </w:pPr>
                            <w:r>
                              <w:t>JJF (机械)1022—2018</w:t>
                            </w:r>
                          </w:p>
                        </w:txbxContent>
                      </wps:txbx>
                      <wps:bodyPr rot="0" vert="horz" wrap="square" lIns="0" tIns="0" rIns="0" bIns="0" anchor="t" anchorCtr="0" upright="1">
                        <a:spAutoFit/>
                      </wps:bodyPr>
                    </wps:wsp>
                  </a:graphicData>
                </a:graphic>
              </wp:anchor>
            </w:drawing>
          </mc:Choice>
          <mc:Fallback>
            <w:pict>
              <v:shape id="fmFrame3" o:spid="_x0000_s1026" o:spt="202" type="#_x0000_t202" style="position:absolute;left:0pt;margin-left:0pt;margin-top:112.25pt;height:70.85pt;width:411pt;mso-position-horizontal-relative:margin;mso-position-vertical-relative:margin;z-index:251661312;mso-width-relative:page;mso-height-relative:page;" fillcolor="#FFFFFF [3201]" filled="t" stroked="f" coordsize="21600,21600" o:gfxdata="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Bi&#10;aNKB2AAAAAgBAAAPAAAAAAAAAAEAIAAAACIAAABkcnMvZG93bnJldi54bWxQSwECFAAUAAAACACH&#10;TuJAyfQqJiQCAAA5BAAADgAAAAAAAAABACAAAAAnAQAAZHJzL2Uyb0RvYy54bWxQSwUGAAAAAAYA&#10;BgBZAQAAvQUAAAAA&#10;">
                <v:fill on="t" focussize="0,0"/>
                <v:stroke on="f" weight="1pt" miterlimit="8" joinstyle="miter"/>
                <v:imagedata o:title=""/>
                <o:lock v:ext="edit" aspectratio="f"/>
                <v:textbox inset="0mm,0mm,0mm,0mm" style="mso-fit-shape-to-text:t;">
                  <w:txbxContent>
                    <w:p>
                      <w:pPr>
                        <w:pStyle w:val="17"/>
                        <w:ind w:firstLine="560"/>
                      </w:pPr>
                      <w:r>
                        <w:t>JJF (机械)1022—2018</w:t>
                      </w:r>
                    </w:p>
                  </w:txbxContent>
                </v:textbox>
                <w10:anchorlock/>
              </v:shape>
            </w:pict>
          </mc:Fallback>
        </mc:AlternateContent>
      </w:r>
      <w:r>
        <mc:AlternateContent>
          <mc:Choice Requires="wps">
            <w:drawing>
              <wp:anchor distT="0" distB="0" distL="114300" distR="114300" simplePos="0" relativeHeight="251663360" behindDoc="0" locked="0" layoutInCell="1" allowOverlap="1">
                <wp:simplePos x="0" y="0"/>
                <wp:positionH relativeFrom="column">
                  <wp:posOffset>0</wp:posOffset>
                </wp:positionH>
                <wp:positionV relativeFrom="paragraph">
                  <wp:posOffset>8893175</wp:posOffset>
                </wp:positionV>
                <wp:extent cx="5939790" cy="0"/>
                <wp:effectExtent l="0" t="0" r="22860" b="19050"/>
                <wp:wrapNone/>
                <wp:docPr id="18" name="Line 11"/>
                <wp:cNvGraphicFramePr/>
                <a:graphic xmlns:a="http://schemas.openxmlformats.org/drawingml/2006/main">
                  <a:graphicData uri="http://schemas.microsoft.com/office/word/2010/wordprocessingShape">
                    <wps:wsp>
                      <wps:cNvCnPr>
                        <a:cxnSpLocks noChangeShapeType="1"/>
                      </wps:cNvCnPr>
                      <wps:spPr bwMode="auto">
                        <a:xfrm>
                          <a:off x="0" y="0"/>
                          <a:ext cx="5940000" cy="0"/>
                        </a:xfrm>
                        <a:prstGeom prst="line">
                          <a:avLst/>
                        </a:prstGeom>
                        <a:noFill/>
                        <a:ln w="12700">
                          <a:solidFill>
                            <a:srgbClr val="080000"/>
                          </a:solidFill>
                          <a:round/>
                        </a:ln>
                      </wps:spPr>
                      <wps:bodyPr/>
                    </wps:wsp>
                  </a:graphicData>
                </a:graphic>
              </wp:anchor>
            </w:drawing>
          </mc:Choice>
          <mc:Fallback>
            <w:pict>
              <v:line id="Line 11" o:spid="_x0000_s1026" o:spt="20" style="position:absolute;left:0pt;margin-left:0pt;margin-top:700.25pt;height:0pt;width:467.7pt;z-index:251663360;mso-width-relative:page;mso-height-relative:page;" filled="f" stroked="t" coordsize="21600,21600" o:gfxdata="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">
                <v:fill on="f" focussize="0,0"/>
                <v:stroke weight="1pt" color="#080000" joinstyle="round"/>
                <v:imagedata o:title=""/>
                <o:lock v:ext="edit" aspectratio="f"/>
              </v:line>
            </w:pict>
          </mc:Fallback>
        </mc:AlternateContent>
      </w:r>
      <w:r>
        <mc:AlternateContent>
          <mc:Choice Requires="wps">
            <w:drawing>
              <wp:anchor distT="0" distB="0" distL="114300" distR="114300" simplePos="0" relativeHeight="251666432" behindDoc="0" locked="0" layoutInCell="1" allowOverlap="1">
                <wp:simplePos x="0" y="0"/>
                <wp:positionH relativeFrom="column">
                  <wp:posOffset>0</wp:posOffset>
                </wp:positionH>
                <wp:positionV relativeFrom="paragraph">
                  <wp:posOffset>2340610</wp:posOffset>
                </wp:positionV>
                <wp:extent cx="5939790" cy="0"/>
                <wp:effectExtent l="0" t="0" r="22860" b="19050"/>
                <wp:wrapNone/>
                <wp:docPr id="19" name="Line 10"/>
                <wp:cNvGraphicFramePr/>
                <a:graphic xmlns:a="http://schemas.openxmlformats.org/drawingml/2006/main">
                  <a:graphicData uri="http://schemas.microsoft.com/office/word/2010/wordprocessingShape">
                    <wps:wsp>
                      <wps:cNvCnPr>
                        <a:cxnSpLocks noChangeShapeType="1"/>
                      </wps:cNvCnPr>
                      <wps:spPr bwMode="auto">
                        <a:xfrm>
                          <a:off x="0" y="0"/>
                          <a:ext cx="5940000" cy="0"/>
                        </a:xfrm>
                        <a:prstGeom prst="line">
                          <a:avLst/>
                        </a:prstGeom>
                        <a:noFill/>
                        <a:ln w="15875">
                          <a:solidFill>
                            <a:srgbClr val="080000"/>
                          </a:solidFill>
                          <a:round/>
                        </a:ln>
                      </wps:spPr>
                      <wps:bodyPr/>
                    </wps:wsp>
                  </a:graphicData>
                </a:graphic>
              </wp:anchor>
            </w:drawing>
          </mc:Choice>
          <mc:Fallback>
            <w:pict>
              <v:line id="Line 10" o:spid="_x0000_s1026" o:spt="20" style="position:absolute;left:0pt;margin-left:0pt;margin-top:184.3pt;height:0pt;width:467.7pt;z-index:251666432;mso-width-relative:page;mso-height-relative:page;" filled="f" stroked="t" coordsize="21600,21600" o:gfxdata="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">
                <v:fill on="f" focussize="0,0"/>
                <v:stroke weight="1.25pt" color="#080000" joinstyle="round"/>
                <v:imagedata o:title=""/>
                <o:lock v:ext="edit" aspectratio="f"/>
              </v:line>
            </w:pict>
          </mc:Fallback>
        </mc:AlternateContent>
      </w:r>
    </w:p>
    <w:p>
      <w:pPr>
        <w:sectPr>
          <w:headerReference r:id="rId5" w:type="first"/>
          <w:footerReference r:id="rId8" w:type="first"/>
          <w:headerReference r:id="rId3" w:type="default"/>
          <w:footerReference r:id="rId6" w:type="default"/>
          <w:headerReference r:id="rId4" w:type="even"/>
          <w:footerReference r:id="rId7" w:type="even"/>
          <w:pgSz w:w="11906" w:h="16838"/>
          <w:pgMar w:top="567" w:right="851" w:bottom="1361" w:left="1418" w:header="113" w:footer="992" w:gutter="0"/>
          <w:cols w:space="425" w:num="1"/>
          <w:docGrid w:type="linesAndChars" w:linePitch="312" w:charSpace="0"/>
        </w:sectPr>
      </w:pPr>
      <w:r>
        <mc:AlternateContent>
          <mc:Choice Requires="wps">
            <w:drawing>
              <wp:anchor distT="0" distB="0" distL="114300" distR="114300" simplePos="0" relativeHeight="251693056" behindDoc="0" locked="0" layoutInCell="1" allowOverlap="1">
                <wp:simplePos x="0" y="0"/>
                <wp:positionH relativeFrom="column">
                  <wp:posOffset>0</wp:posOffset>
                </wp:positionH>
                <wp:positionV relativeFrom="paragraph">
                  <wp:posOffset>8577580</wp:posOffset>
                </wp:positionV>
                <wp:extent cx="5939790" cy="0"/>
                <wp:effectExtent l="0" t="0" r="22860" b="19050"/>
                <wp:wrapNone/>
                <wp:docPr id="23" name="Line 10"/>
                <wp:cNvGraphicFramePr/>
                <a:graphic xmlns:a="http://schemas.openxmlformats.org/drawingml/2006/main">
                  <a:graphicData uri="http://schemas.microsoft.com/office/word/2010/wordprocessingShape">
                    <wps:wsp>
                      <wps:cNvCnPr>
                        <a:cxnSpLocks noChangeShapeType="1"/>
                      </wps:cNvCnPr>
                      <wps:spPr bwMode="auto">
                        <a:xfrm>
                          <a:off x="0" y="0"/>
                          <a:ext cx="5940000" cy="0"/>
                        </a:xfrm>
                        <a:prstGeom prst="line">
                          <a:avLst/>
                        </a:prstGeom>
                        <a:noFill/>
                        <a:ln w="15875">
                          <a:solidFill>
                            <a:srgbClr val="080000"/>
                          </a:solidFill>
                          <a:round/>
                        </a:ln>
                      </wps:spPr>
                      <wps:bodyPr/>
                    </wps:wsp>
                  </a:graphicData>
                </a:graphic>
              </wp:anchor>
            </w:drawing>
          </mc:Choice>
          <mc:Fallback>
            <w:pict>
              <v:line id="Line 10" o:spid="_x0000_s1026" o:spt="20" style="position:absolute;left:0pt;margin-left:0pt;margin-top:675.4pt;height:0pt;width:467.7pt;z-index:251693056;mso-width-relative:page;mso-height-relative:page;" filled="f" stroked="t" coordsize="21600,21600" o:gfxdata="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">
                <v:fill on="f" focussize="0,0"/>
                <v:stroke weight="1.25pt" color="#080000" joinstyle="round"/>
                <v:imagedata o:title=""/>
                <o:lock v:ext="edit" aspectratio="f"/>
              </v:line>
            </w:pict>
          </mc:Fallback>
        </mc:AlternateContent>
      </w:r>
    </w:p>
    <w:p/>
    <w:p/>
    <w:p/>
    <w:p/>
    <w:p/>
    <w:p/>
    <w:p/>
    <w:p>
      <w:pPr>
        <w:tabs>
          <w:tab w:val="left" w:pos="4560"/>
        </w:tabs>
      </w:pPr>
      <w:r>
        <w:tab/>
      </w:r>
    </w:p>
    <w:p/>
    <w:p/>
    <w:p>
      <w:r>
        <mc:AlternateContent>
          <mc:Choice Requires="wps">
            <w:drawing>
              <wp:anchor distT="0" distB="0" distL="114300" distR="114300" simplePos="0" relativeHeight="251676672" behindDoc="0" locked="1" layoutInCell="1" allowOverlap="1">
                <wp:simplePos x="0" y="0"/>
                <wp:positionH relativeFrom="margin">
                  <wp:align>right</wp:align>
                </wp:positionH>
                <wp:positionV relativeFrom="margin">
                  <wp:align>top</wp:align>
                </wp:positionV>
                <wp:extent cx="148590" cy="2923540"/>
                <wp:effectExtent l="0" t="0" r="6350" b="0"/>
                <wp:wrapNone/>
                <wp:docPr id="2" name="fmFrame3"/>
                <wp:cNvGraphicFramePr/>
                <a:graphic xmlns:a="http://schemas.openxmlformats.org/drawingml/2006/main">
                  <a:graphicData uri="http://schemas.microsoft.com/office/word/2010/wordprocessingShape">
                    <wps:wsp>
                      <wps:cNvSpPr txBox="1">
                        <a:spLocks noChangeArrowheads="1"/>
                      </wps:cNvSpPr>
                      <wps:spPr bwMode="auto">
                        <a:xfrm>
                          <a:off x="0" y="0"/>
                          <a:ext cx="148590" cy="2923540"/>
                        </a:xfrm>
                        <a:prstGeom prst="rect">
                          <a:avLst/>
                        </a:prstGeom>
                        <a:ln>
                          <a:noFill/>
                        </a:ln>
                      </wps:spPr>
                      <wps:style>
                        <a:lnRef idx="2">
                          <a:schemeClr val="dk1"/>
                        </a:lnRef>
                        <a:fillRef idx="1">
                          <a:schemeClr val="lt1"/>
                        </a:fillRef>
                        <a:effectRef idx="0">
                          <a:schemeClr val="dk1"/>
                        </a:effectRef>
                        <a:fontRef idx="minor">
                          <a:schemeClr val="dk1"/>
                        </a:fontRef>
                      </wps:style>
                      <wps:txbx>
                        <w:txbxContent>
                          <w:p>
                            <w:pPr>
                              <w:pStyle w:val="17"/>
                              <w:ind w:firstLine="560"/>
                            </w:pPr>
                            <w:r>
                              <w:t>JJF (</w:t>
                            </w:r>
                            <w:r>
                              <w:rPr>
                                <w:rFonts w:ascii="黑体" w:hAnsi="黑体" w:eastAsia="黑体"/>
                              </w:rPr>
                              <w:t>机械)</w:t>
                            </w:r>
                            <w:r>
                              <w:t>1022—2018</w:t>
                            </w:r>
                          </w:p>
                        </w:txbxContent>
                      </wps:txbx>
                      <wps:bodyPr rot="0" vert="vert270" wrap="square" lIns="0" tIns="0" rIns="0" bIns="0" anchor="t" anchorCtr="0" upright="1">
                        <a:spAutoFit/>
                      </wps:bodyPr>
                    </wps:wsp>
                  </a:graphicData>
                </a:graphic>
              </wp:anchor>
            </w:drawing>
          </mc:Choice>
          <mc:Fallback>
            <w:pict>
              <v:shape id="fmFrame3" o:spid="_x0000_s1026" o:spt="202" type="#_x0000_t202" style="position:absolute;left:0pt;height:230.2pt;width:11.7pt;mso-position-horizontal:right;mso-position-horizontal-relative:margin;mso-position-vertical:top;mso-position-vertical-relative:margin;z-index:251676672;mso-width-relative:page;mso-height-relative:page;" fillcolor="#FFFFFF [3201]" filled="t" stroked="f" coordsize="21600,21600" o:gfxdata="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g&#10;s0x21gAAAAQBAAAPAAAAAAAAAAEAIAAAACIAAABkcnMvZG93bnJldi54bWxQSwECFAAUAAAACACH&#10;TuJANjthfCYCAAA7BAAADgAAAAAAAAABACAAAAAlAQAAZHJzL2Uyb0RvYy54bWxQSwUGAAAAAAYA&#10;BgBZAQAAvQUAAAAA&#10;">
                <v:fill on="t" focussize="0,0"/>
                <v:stroke on="f" weight="1pt" miterlimit="8" joinstyle="miter"/>
                <v:imagedata o:title=""/>
                <o:lock v:ext="edit" aspectratio="f"/>
                <v:textbox inset="0mm,0mm,0mm,0mm" style="layout-flow:vertical;mso-fit-shape-to-text:t;mso-layout-flow-alt:bottom-to-top;">
                  <w:txbxContent>
                    <w:p>
                      <w:pPr>
                        <w:pStyle w:val="17"/>
                        <w:ind w:firstLine="560"/>
                      </w:pPr>
                      <w:r>
                        <w:t>JJF (</w:t>
                      </w:r>
                      <w:r>
                        <w:rPr>
                          <w:rFonts w:ascii="黑体" w:hAnsi="黑体" w:eastAsia="黑体"/>
                        </w:rPr>
                        <w:t>机械)</w:t>
                      </w:r>
                      <w:r>
                        <w:t>1022—2018</w:t>
                      </w:r>
                    </w:p>
                  </w:txbxContent>
                </v:textbox>
                <w10:anchorlock/>
              </v:shape>
            </w:pict>
          </mc:Fallback>
        </mc:AlternateContent>
      </w:r>
    </w:p>
    <w:p>
      <w:pPr>
        <w:sectPr>
          <w:footerReference r:id="rId10" w:type="first"/>
          <w:footerReference r:id="rId9" w:type="even"/>
          <w:pgSz w:w="11906" w:h="16838"/>
          <w:pgMar w:top="1418" w:right="312" w:bottom="1361" w:left="1418" w:header="567" w:footer="992" w:gutter="0"/>
          <w:cols w:space="425" w:num="1"/>
          <w:titlePg/>
          <w:docGrid w:type="linesAndChars" w:linePitch="326" w:charSpace="0"/>
        </w:sectPr>
      </w:pPr>
    </w:p>
    <w:p>
      <w:pPr>
        <w:ind w:firstLine="600"/>
      </w:pPr>
      <w:bookmarkStart w:id="0" w:name="_Toc193555884"/>
      <w:bookmarkStart w:id="1" w:name="_Toc193603074"/>
      <w:bookmarkStart w:id="2" w:name="_Toc193601895"/>
      <w:bookmarkStart w:id="3" w:name="_Toc193601674"/>
      <w:bookmarkStart w:id="79" w:name="_GoBack"/>
      <w:bookmarkEnd w:id="79"/>
      <w:r>
        <w:rPr>
          <w:sz w:val="30"/>
        </w:rPr>
        <mc:AlternateContent>
          <mc:Choice Requires="wps">
            <w:drawing>
              <wp:anchor distT="0" distB="0" distL="114300" distR="114300" simplePos="0" relativeHeight="251685888" behindDoc="0" locked="0" layoutInCell="1" allowOverlap="1">
                <wp:simplePos x="0" y="0"/>
                <wp:positionH relativeFrom="margin">
                  <wp:align>left</wp:align>
                </wp:positionH>
                <wp:positionV relativeFrom="paragraph">
                  <wp:posOffset>6350</wp:posOffset>
                </wp:positionV>
                <wp:extent cx="4250690" cy="2124075"/>
                <wp:effectExtent l="0" t="0" r="17145" b="10160"/>
                <wp:wrapNone/>
                <wp:docPr id="11" name="Text Box 27"/>
                <wp:cNvGraphicFramePr/>
                <a:graphic xmlns:a="http://schemas.openxmlformats.org/drawingml/2006/main">
                  <a:graphicData uri="http://schemas.microsoft.com/office/word/2010/wordprocessingShape">
                    <wps:wsp>
                      <wps:cNvSpPr txBox="1">
                        <a:spLocks noChangeArrowheads="1"/>
                      </wps:cNvSpPr>
                      <wps:spPr bwMode="auto">
                        <a:xfrm>
                          <a:off x="0" y="0"/>
                          <a:ext cx="4250452" cy="2124000"/>
                        </a:xfrm>
                        <a:prstGeom prst="rect">
                          <a:avLst/>
                        </a:prstGeom>
                        <a:solidFill>
                          <a:srgbClr val="FFFFFF"/>
                        </a:solidFill>
                        <a:ln w="3175" cap="rnd" algn="ctr">
                          <a:solidFill>
                            <a:srgbClr val="FFFFFF"/>
                          </a:solidFill>
                          <a:prstDash val="sysDot"/>
                          <a:miter lim="800000"/>
                        </a:ln>
                        <a:effectLst/>
                      </wps:spPr>
                      <wps:txbx>
                        <w:txbxContent>
                          <w:p>
                            <w:pPr>
                              <w:pStyle w:val="37"/>
                              <w:spacing w:line="240" w:lineRule="auto"/>
                              <w:ind w:firstLine="0" w:firstLineChars="0"/>
                            </w:pPr>
                            <w:r>
                              <w:rPr>
                                <w:rFonts w:hint="eastAsia"/>
                              </w:rPr>
                              <w:t>渗透检验参考试块校准规范</w:t>
                            </w:r>
                          </w:p>
                          <w:p>
                            <w:pPr>
                              <w:pStyle w:val="19"/>
                              <w:adjustRightInd w:val="0"/>
                              <w:snapToGrid w:val="0"/>
                              <w:spacing w:before="312" w:beforeLines="100" w:after="312" w:afterLines="100" w:line="240" w:lineRule="auto"/>
                              <w:rPr>
                                <w:kern w:val="36"/>
                                <w:szCs w:val="28"/>
                              </w:rPr>
                            </w:pPr>
                            <w:r>
                              <w:rPr>
                                <w:kern w:val="36"/>
                                <w:szCs w:val="28"/>
                              </w:rPr>
                              <w:t>Calibration Specification for Reference Test Blocks</w:t>
                            </w:r>
                          </w:p>
                          <w:p>
                            <w:pPr>
                              <w:pStyle w:val="19"/>
                              <w:adjustRightInd w:val="0"/>
                              <w:snapToGrid w:val="0"/>
                              <w:spacing w:before="0" w:line="240" w:lineRule="auto"/>
                              <w:rPr>
                                <w:rFonts w:ascii="黑体" w:eastAsia="黑体"/>
                                <w:szCs w:val="28"/>
                              </w:rPr>
                            </w:pPr>
                            <w:r>
                              <w:rPr>
                                <w:kern w:val="36"/>
                                <w:szCs w:val="28"/>
                              </w:rPr>
                              <w:t>used in Penetrant Testing</w:t>
                            </w:r>
                          </w:p>
                        </w:txbxContent>
                      </wps:txbx>
                      <wps:bodyPr rot="0" vert="horz" wrap="square" lIns="91440" tIns="82800" rIns="91440" bIns="82800" anchor="ctr" anchorCtr="0" upright="1">
                        <a:noAutofit/>
                      </wps:bodyPr>
                    </wps:wsp>
                  </a:graphicData>
                </a:graphic>
              </wp:anchor>
            </w:drawing>
          </mc:Choice>
          <mc:Fallback>
            <w:pict>
              <v:shape id="Text Box 27" o:spid="_x0000_s1026" o:spt="202" type="#_x0000_t202" style="position:absolute;left:0pt;margin-top:0.5pt;height:167.25pt;width:334.7pt;mso-position-horizontal:left;mso-position-horizontal-relative:margin;z-index:251685888;v-text-anchor:middle;mso-width-relative:page;mso-height-relative:page;" fillcolor="#FFFFFF" filled="t" stroked="t" coordsize="21600,21600" o:gfxdata="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">
                <v:fill on="t" focussize="0,0"/>
                <v:stroke weight="0.25pt" color="#FFFFFF" miterlimit="8" joinstyle="miter" dashstyle="1 1" endcap="round"/>
                <v:imagedata o:title=""/>
                <o:lock v:ext="edit" aspectratio="f"/>
                <v:textbox inset="2.54mm,2.3mm,2.54mm,2.3mm">
                  <w:txbxContent>
                    <w:p>
                      <w:pPr>
                        <w:pStyle w:val="37"/>
                        <w:spacing w:line="240" w:lineRule="auto"/>
                        <w:ind w:firstLine="0" w:firstLineChars="0"/>
                      </w:pPr>
                      <w:r>
                        <w:rPr>
                          <w:rFonts w:hint="eastAsia"/>
                        </w:rPr>
                        <w:t>渗透检验参考试块校准规范</w:t>
                      </w:r>
                    </w:p>
                    <w:p>
                      <w:pPr>
                        <w:pStyle w:val="19"/>
                        <w:adjustRightInd w:val="0"/>
                        <w:snapToGrid w:val="0"/>
                        <w:spacing w:before="312" w:beforeLines="100" w:after="312" w:afterLines="100" w:line="240" w:lineRule="auto"/>
                        <w:rPr>
                          <w:kern w:val="36"/>
                          <w:szCs w:val="28"/>
                        </w:rPr>
                      </w:pPr>
                      <w:r>
                        <w:rPr>
                          <w:kern w:val="36"/>
                          <w:szCs w:val="28"/>
                        </w:rPr>
                        <w:t>Calibration Specification for Reference Test Blocks</w:t>
                      </w:r>
                    </w:p>
                    <w:p>
                      <w:pPr>
                        <w:pStyle w:val="19"/>
                        <w:adjustRightInd w:val="0"/>
                        <w:snapToGrid w:val="0"/>
                        <w:spacing w:before="0" w:line="240" w:lineRule="auto"/>
                        <w:rPr>
                          <w:rFonts w:ascii="黑体" w:eastAsia="黑体"/>
                          <w:szCs w:val="28"/>
                        </w:rPr>
                      </w:pPr>
                      <w:r>
                        <w:rPr>
                          <w:kern w:val="36"/>
                          <w:szCs w:val="28"/>
                        </w:rPr>
                        <w:t>used in Penetrant Testing</w:t>
                      </w:r>
                    </w:p>
                  </w:txbxContent>
                </v:textbox>
              </v:shape>
            </w:pict>
          </mc:Fallback>
        </mc:AlternateContent>
      </w:r>
      <w:r>
        <w:rPr>
          <w:b/>
          <w:bCs/>
          <w:szCs w:val="21"/>
        </w:rPr>
        <w:drawing>
          <wp:anchor distT="0" distB="0" distL="114300" distR="114300" simplePos="0" relativeHeight="251681792" behindDoc="0" locked="0" layoutInCell="1" allowOverlap="1">
            <wp:simplePos x="0" y="0"/>
            <wp:positionH relativeFrom="column">
              <wp:posOffset>4291330</wp:posOffset>
            </wp:positionH>
            <wp:positionV relativeFrom="paragraph">
              <wp:posOffset>648335</wp:posOffset>
            </wp:positionV>
            <wp:extent cx="1727835" cy="864235"/>
            <wp:effectExtent l="0" t="0" r="5715" b="0"/>
            <wp:wrapNone/>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1728000" cy="864000"/>
                    </a:xfrm>
                    <a:prstGeom prst="rect">
                      <a:avLst/>
                    </a:prstGeom>
                    <a:noFill/>
                    <a:ln>
                      <a:noFill/>
                    </a:ln>
                  </pic:spPr>
                </pic:pic>
              </a:graphicData>
            </a:graphic>
          </wp:anchor>
        </w:drawing>
      </w:r>
      <w:r>
        <w:rPr>
          <w:sz w:val="28"/>
          <w:szCs w:val="28"/>
        </w:rPr>
        <mc:AlternateContent>
          <mc:Choice Requires="wps">
            <w:drawing>
              <wp:anchor distT="0" distB="0" distL="114300" distR="114300" simplePos="0" relativeHeight="251680768" behindDoc="0" locked="0" layoutInCell="1" allowOverlap="1">
                <wp:simplePos x="0" y="0"/>
                <wp:positionH relativeFrom="column">
                  <wp:posOffset>0</wp:posOffset>
                </wp:positionH>
                <wp:positionV relativeFrom="paragraph">
                  <wp:posOffset>2160270</wp:posOffset>
                </wp:positionV>
                <wp:extent cx="5939790" cy="0"/>
                <wp:effectExtent l="0" t="0" r="22860" b="19050"/>
                <wp:wrapNone/>
                <wp:docPr id="8" name="Line 44"/>
                <wp:cNvGraphicFramePr/>
                <a:graphic xmlns:a="http://schemas.openxmlformats.org/drawingml/2006/main">
                  <a:graphicData uri="http://schemas.microsoft.com/office/word/2010/wordprocessingShape">
                    <wps:wsp>
                      <wps:cNvCnPr>
                        <a:cxnSpLocks noChangeShapeType="1"/>
                      </wps:cNvCnPr>
                      <wps:spPr bwMode="auto">
                        <a:xfrm>
                          <a:off x="0" y="0"/>
                          <a:ext cx="5940000" cy="0"/>
                        </a:xfrm>
                        <a:prstGeom prst="line">
                          <a:avLst/>
                        </a:prstGeom>
                        <a:noFill/>
                        <a:ln w="19050">
                          <a:solidFill>
                            <a:srgbClr val="000000"/>
                          </a:solidFill>
                          <a:round/>
                        </a:ln>
                        <a:effectLst/>
                      </wps:spPr>
                      <wps:bodyPr/>
                    </wps:wsp>
                  </a:graphicData>
                </a:graphic>
              </wp:anchor>
            </w:drawing>
          </mc:Choice>
          <mc:Fallback>
            <w:pict>
              <v:line id="Line 44" o:spid="_x0000_s1026" o:spt="20" style="position:absolute;left:0pt;margin-left:0pt;margin-top:170.1pt;height:0pt;width:467.7pt;z-index:251680768;mso-width-relative:page;mso-height-relative:page;" filled="f" stroked="t" coordsize="21600,21600" o:gfxdata="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">
                <v:fill on="f" focussize="0,0"/>
                <v:stroke weight="1.5pt" color="#000000" joinstyle="round"/>
                <v:imagedata o:title=""/>
                <o:lock v:ext="edit" aspectratio="f"/>
              </v:line>
            </w:pict>
          </mc:Fallback>
        </mc:AlternateContent>
      </w:r>
      <w:bookmarkEnd w:id="0"/>
      <w:bookmarkEnd w:id="1"/>
      <w:bookmarkEnd w:id="2"/>
      <w:bookmarkEnd w:id="3"/>
    </w:p>
    <w:p/>
    <w:p>
      <w:r>
        <mc:AlternateContent>
          <mc:Choice Requires="wps">
            <w:drawing>
              <wp:anchor distT="0" distB="0" distL="114300" distR="114300" simplePos="0" relativeHeight="251683840" behindDoc="0" locked="0" layoutInCell="1" allowOverlap="1">
                <wp:simplePos x="0" y="0"/>
                <wp:positionH relativeFrom="column">
                  <wp:posOffset>4363720</wp:posOffset>
                </wp:positionH>
                <wp:positionV relativeFrom="paragraph">
                  <wp:posOffset>194310</wp:posOffset>
                </wp:positionV>
                <wp:extent cx="1583690" cy="719455"/>
                <wp:effectExtent l="0" t="0" r="16510" b="23495"/>
                <wp:wrapNone/>
                <wp:docPr id="10" name="Text Box 43"/>
                <wp:cNvGraphicFramePr/>
                <a:graphic xmlns:a="http://schemas.openxmlformats.org/drawingml/2006/main">
                  <a:graphicData uri="http://schemas.microsoft.com/office/word/2010/wordprocessingShape">
                    <wps:wsp>
                      <wps:cNvSpPr txBox="1">
                        <a:spLocks noChangeArrowheads="1"/>
                      </wps:cNvSpPr>
                      <wps:spPr bwMode="auto">
                        <a:xfrm>
                          <a:off x="0" y="0"/>
                          <a:ext cx="1583690" cy="719455"/>
                        </a:xfrm>
                        <a:prstGeom prst="rect">
                          <a:avLst/>
                        </a:prstGeom>
                        <a:solidFill>
                          <a:srgbClr val="FFFFFF"/>
                        </a:solidFill>
                        <a:ln w="12700" cap="rnd">
                          <a:solidFill>
                            <a:srgbClr val="FFFFFF"/>
                          </a:solidFill>
                          <a:prstDash val="sysDot"/>
                          <a:miter lim="800000"/>
                        </a:ln>
                      </wps:spPr>
                      <wps:txbx>
                        <w:txbxContent>
                          <w:p>
                            <w:pPr>
                              <w:pStyle w:val="35"/>
                              <w:rPr>
                                <w:rFonts w:ascii="黑体" w:hAnsi="黑体" w:eastAsia="黑体"/>
                              </w:rPr>
                            </w:pPr>
                            <w:r>
                              <w:rPr>
                                <w:rFonts w:ascii="黑体" w:hAnsi="黑体" w:eastAsia="黑体"/>
                              </w:rPr>
                              <w:t>J</w:t>
                            </w:r>
                            <w:r>
                              <w:rPr>
                                <w:rFonts w:hint="eastAsia" w:ascii="黑体" w:hAnsi="黑体" w:eastAsia="黑体"/>
                              </w:rPr>
                              <w:t>JF（机械</w:t>
                            </w:r>
                            <w:r>
                              <w:rPr>
                                <w:rFonts w:ascii="黑体" w:hAnsi="黑体" w:eastAsia="黑体"/>
                              </w:rPr>
                              <w:t>）</w:t>
                            </w:r>
                            <w:r>
                              <w:rPr>
                                <w:rFonts w:hint="eastAsia" w:ascii="黑体" w:hAnsi="黑体" w:eastAsia="黑体"/>
                              </w:rPr>
                              <w:t>1022</w:t>
                            </w:r>
                            <w:r>
                              <w:rPr>
                                <w:rFonts w:ascii="黑体" w:hAnsi="黑体" w:eastAsia="黑体"/>
                              </w:rPr>
                              <w:t>—</w:t>
                            </w:r>
                            <w:r>
                              <w:rPr>
                                <w:rFonts w:hint="eastAsia" w:ascii="黑体" w:hAnsi="黑体" w:eastAsia="黑体"/>
                              </w:rPr>
                              <w:t>201</w:t>
                            </w:r>
                            <w:r>
                              <w:rPr>
                                <w:rFonts w:ascii="黑体" w:hAnsi="黑体" w:eastAsia="黑体"/>
                              </w:rPr>
                              <w:t>8</w:t>
                            </w:r>
                          </w:p>
                        </w:txbxContent>
                      </wps:txbx>
                      <wps:bodyPr rot="0" vert="horz" wrap="square" lIns="54000" tIns="45720" rIns="54000" bIns="45720" anchor="ctr" anchorCtr="0" upright="1">
                        <a:noAutofit/>
                      </wps:bodyPr>
                    </wps:wsp>
                  </a:graphicData>
                </a:graphic>
              </wp:anchor>
            </w:drawing>
          </mc:Choice>
          <mc:Fallback>
            <w:pict>
              <v:shape id="Text Box 43" o:spid="_x0000_s1026" o:spt="202" type="#_x0000_t202" style="position:absolute;left:0pt;margin-left:343.6pt;margin-top:15.3pt;height:56.65pt;width:124.7pt;z-index:251683840;v-text-anchor:middle;mso-width-relative:page;mso-height-relative:page;" fillcolor="#FFFFFF" filled="t" stroked="t" coordsize="21600,21600" o:gfxdata="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">
                <v:fill on="t" focussize="0,0"/>
                <v:stroke weight="1pt" color="#FFFFFF" miterlimit="8" joinstyle="miter" dashstyle="1 1" endcap="round"/>
                <v:imagedata o:title=""/>
                <o:lock v:ext="edit" aspectratio="f"/>
                <v:textbox inset="1.5mm,1.27mm,1.5mm,1.27mm">
                  <w:txbxContent>
                    <w:p>
                      <w:pPr>
                        <w:pStyle w:val="35"/>
                        <w:rPr>
                          <w:rFonts w:ascii="黑体" w:hAnsi="黑体" w:eastAsia="黑体"/>
                        </w:rPr>
                      </w:pPr>
                      <w:r>
                        <w:rPr>
                          <w:rFonts w:ascii="黑体" w:hAnsi="黑体" w:eastAsia="黑体"/>
                        </w:rPr>
                        <w:t>J</w:t>
                      </w:r>
                      <w:r>
                        <w:rPr>
                          <w:rFonts w:hint="eastAsia" w:ascii="黑体" w:hAnsi="黑体" w:eastAsia="黑体"/>
                        </w:rPr>
                        <w:t>JF（机械</w:t>
                      </w:r>
                      <w:r>
                        <w:rPr>
                          <w:rFonts w:ascii="黑体" w:hAnsi="黑体" w:eastAsia="黑体"/>
                        </w:rPr>
                        <w:t>）</w:t>
                      </w:r>
                      <w:r>
                        <w:rPr>
                          <w:rFonts w:hint="eastAsia" w:ascii="黑体" w:hAnsi="黑体" w:eastAsia="黑体"/>
                        </w:rPr>
                        <w:t>1022</w:t>
                      </w:r>
                      <w:r>
                        <w:rPr>
                          <w:rFonts w:ascii="黑体" w:hAnsi="黑体" w:eastAsia="黑体"/>
                        </w:rPr>
                        <w:t>—</w:t>
                      </w:r>
                      <w:r>
                        <w:rPr>
                          <w:rFonts w:hint="eastAsia" w:ascii="黑体" w:hAnsi="黑体" w:eastAsia="黑体"/>
                        </w:rPr>
                        <w:t>201</w:t>
                      </w:r>
                      <w:r>
                        <w:rPr>
                          <w:rFonts w:ascii="黑体" w:hAnsi="黑体" w:eastAsia="黑体"/>
                        </w:rPr>
                        <w:t>8</w:t>
                      </w:r>
                    </w:p>
                  </w:txbxContent>
                </v:textbox>
              </v:shape>
            </w:pict>
          </mc:Fallback>
        </mc:AlternateContent>
      </w:r>
    </w:p>
    <w:p/>
    <w:p/>
    <w:p/>
    <w:p/>
    <w:p/>
    <w:p/>
    <w:p/>
    <w:p/>
    <w:p>
      <w:r>
        <mc:AlternateContent>
          <mc:Choice Requires="wps">
            <w:drawing>
              <wp:anchor distT="0" distB="0" distL="114300" distR="114300" simplePos="0" relativeHeight="251686912" behindDoc="0" locked="0" layoutInCell="1" allowOverlap="1">
                <wp:simplePos x="0" y="0"/>
                <wp:positionH relativeFrom="column">
                  <wp:posOffset>499745</wp:posOffset>
                </wp:positionH>
                <wp:positionV relativeFrom="paragraph">
                  <wp:posOffset>31115</wp:posOffset>
                </wp:positionV>
                <wp:extent cx="5095875" cy="6153150"/>
                <wp:effectExtent l="0" t="0" r="9525" b="0"/>
                <wp:wrapNone/>
                <wp:docPr id="5" name="文本框 5"/>
                <wp:cNvGraphicFramePr/>
                <a:graphic xmlns:a="http://schemas.openxmlformats.org/drawingml/2006/main">
                  <a:graphicData uri="http://schemas.microsoft.com/office/word/2010/wordprocessingShape">
                    <wps:wsp>
                      <wps:cNvSpPr txBox="1"/>
                      <wps:spPr>
                        <a:xfrm>
                          <a:off x="0" y="0"/>
                          <a:ext cx="5095875" cy="6153150"/>
                        </a:xfrm>
                        <a:prstGeom prst="rect">
                          <a:avLst/>
                        </a:prstGeom>
                        <a:solidFill>
                          <a:schemeClr val="lt1"/>
                        </a:solidFill>
                        <a:ln w="6350">
                          <a:noFill/>
                        </a:ln>
                      </wps:spPr>
                      <wps:txbx>
                        <w:txbxContent>
                          <w:p>
                            <w:pPr>
                              <w:pStyle w:val="29"/>
                              <w:rPr>
                                <w:rFonts w:hint="eastAsia"/>
                              </w:rPr>
                            </w:pPr>
                            <w:r>
                              <w:rPr>
                                <w:rFonts w:hint="eastAsia"/>
                              </w:rPr>
                              <w:t>归 口 单  位：</w:t>
                            </w:r>
                            <w:r>
                              <w:rPr>
                                <w:rFonts w:hint="eastAsia" w:ascii="宋体" w:hAnsi="宋体" w:eastAsia="宋体"/>
                              </w:rPr>
                              <w:t>中国机械工业</w:t>
                            </w:r>
                            <w:r>
                              <w:rPr>
                                <w:rFonts w:ascii="宋体" w:hAnsi="宋体" w:eastAsia="宋体"/>
                              </w:rPr>
                              <w:t>联合会</w:t>
                            </w:r>
                          </w:p>
                          <w:p>
                            <w:pPr>
                              <w:pStyle w:val="29"/>
                            </w:pPr>
                            <w:r>
                              <w:rPr>
                                <w:rFonts w:hint="eastAsia"/>
                              </w:rPr>
                              <w:t>负责起草单位：</w:t>
                            </w:r>
                            <w:r>
                              <w:rPr>
                                <w:rFonts w:hint="eastAsia" w:ascii="宋体" w:hAnsi="宋体" w:eastAsia="宋体"/>
                              </w:rPr>
                              <w:t>沈阳仪表科学研究院有限公司</w:t>
                            </w:r>
                          </w:p>
                          <w:p>
                            <w:pPr>
                              <w:pStyle w:val="29"/>
                              <w:tabs>
                                <w:tab w:val="left" w:pos="1985"/>
                              </w:tabs>
                              <w:rPr>
                                <w:rFonts w:ascii="宋体" w:hAnsi="宋体" w:eastAsia="宋体"/>
                              </w:rPr>
                            </w:pPr>
                            <w:r>
                              <w:rPr>
                                <w:rFonts w:hint="eastAsia"/>
                              </w:rPr>
                              <w:t>参加起草单位：</w:t>
                            </w:r>
                            <w:r>
                              <w:rPr>
                                <w:rFonts w:hint="eastAsia" w:ascii="宋体" w:hAnsi="宋体" w:eastAsia="宋体"/>
                              </w:rPr>
                              <w:t>国家仪器仪表元器件质量监督检验中心</w:t>
                            </w:r>
                          </w:p>
                          <w:p>
                            <w:pPr>
                              <w:pStyle w:val="29"/>
                              <w:tabs>
                                <w:tab w:val="left" w:pos="1985"/>
                              </w:tabs>
                              <w:ind w:left="-24" w:leftChars="-10"/>
                              <w:rPr>
                                <w:rFonts w:ascii="宋体" w:hAnsi="宋体" w:eastAsia="宋体"/>
                              </w:rPr>
                            </w:pPr>
                            <w:r>
                              <w:rPr>
                                <w:rFonts w:hint="eastAsia" w:ascii="宋体" w:hAnsi="宋体" w:eastAsia="宋体"/>
                              </w:rPr>
                              <w:t xml:space="preserve">              机械工业第二十四计量测试中心站</w:t>
                            </w:r>
                          </w:p>
                          <w:p>
                            <w:pPr>
                              <w:pStyle w:val="29"/>
                              <w:ind w:left="-24" w:leftChars="-10"/>
                              <w:rPr>
                                <w:rFonts w:ascii="宋体" w:hAnsi="宋体" w:eastAsia="宋体"/>
                              </w:rPr>
                            </w:pPr>
                            <w:r>
                              <w:rPr>
                                <w:rFonts w:hint="eastAsia" w:ascii="宋体" w:hAnsi="宋体" w:eastAsia="宋体"/>
                              </w:rPr>
                              <w:t xml:space="preserve">              辽宁省计量科学研究院</w:t>
                            </w:r>
                          </w:p>
                          <w:p>
                            <w:pPr>
                              <w:pStyle w:val="29"/>
                              <w:ind w:left="-24" w:leftChars="-10" w:firstLine="1960" w:firstLineChars="700"/>
                              <w:rPr>
                                <w:rFonts w:ascii="宋体" w:hAnsi="宋体" w:eastAsia="宋体"/>
                              </w:rPr>
                            </w:pPr>
                            <w:r>
                              <w:rPr>
                                <w:rFonts w:hint="eastAsia" w:ascii="宋体" w:hAnsi="宋体" w:eastAsia="宋体"/>
                              </w:rPr>
                              <w:t>辽宁</w:t>
                            </w:r>
                            <w:r>
                              <w:rPr>
                                <w:rFonts w:ascii="宋体" w:hAnsi="宋体" w:eastAsia="宋体"/>
                              </w:rPr>
                              <w:t>石油化工大学</w:t>
                            </w:r>
                          </w:p>
                          <w:p>
                            <w:pPr>
                              <w:pStyle w:val="29"/>
                              <w:ind w:left="-24" w:leftChars="-10" w:firstLine="1960" w:firstLineChars="700"/>
                              <w:rPr>
                                <w:rFonts w:ascii="宋体" w:hAnsi="宋体" w:eastAsia="宋体"/>
                              </w:rPr>
                            </w:pPr>
                            <w:r>
                              <w:rPr>
                                <w:rFonts w:hint="eastAsia" w:ascii="宋体" w:hAnsi="宋体" w:eastAsia="宋体"/>
                              </w:rPr>
                              <w:t>浙江优尔特检测科技有限公司</w:t>
                            </w:r>
                          </w:p>
                          <w:p>
                            <w:pPr>
                              <w:pStyle w:val="29"/>
                              <w:tabs>
                                <w:tab w:val="left" w:pos="1985"/>
                              </w:tabs>
                              <w:ind w:left="-24" w:leftChars="-10" w:firstLine="1960" w:firstLineChars="700"/>
                              <w:rPr>
                                <w:rFonts w:ascii="宋体" w:hAnsi="宋体" w:eastAsia="宋体"/>
                              </w:rPr>
                            </w:pPr>
                            <w:r>
                              <w:rPr>
                                <w:rFonts w:hint="eastAsia" w:ascii="宋体" w:hAnsi="宋体" w:eastAsia="宋体"/>
                              </w:rPr>
                              <w:t>抚顺</w:t>
                            </w:r>
                            <w:r>
                              <w:rPr>
                                <w:rFonts w:ascii="宋体" w:hAnsi="宋体" w:eastAsia="宋体"/>
                              </w:rPr>
                              <w:t>中油</w:t>
                            </w:r>
                            <w:r>
                              <w:rPr>
                                <w:rFonts w:hint="eastAsia" w:ascii="宋体" w:hAnsi="宋体" w:eastAsia="宋体"/>
                              </w:rPr>
                              <w:t>检测</w:t>
                            </w:r>
                            <w:r>
                              <w:rPr>
                                <w:rFonts w:ascii="宋体" w:hAnsi="宋体" w:eastAsia="宋体"/>
                              </w:rPr>
                              <w:t>工程</w:t>
                            </w:r>
                            <w:r>
                              <w:rPr>
                                <w:rFonts w:hint="eastAsia" w:ascii="宋体" w:hAnsi="宋体" w:eastAsia="宋体"/>
                              </w:rPr>
                              <w:t>有限</w:t>
                            </w:r>
                            <w:r>
                              <w:rPr>
                                <w:rFonts w:ascii="宋体" w:hAnsi="宋体" w:eastAsia="宋体"/>
                              </w:rPr>
                              <w:t>公司</w:t>
                            </w:r>
                          </w:p>
                          <w:p>
                            <w:pPr>
                              <w:pStyle w:val="29"/>
                              <w:rPr>
                                <w:rFonts w:ascii="宋体" w:hAnsi="宋体" w:eastAsia="宋体"/>
                              </w:rPr>
                            </w:pP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202" type="#_x0000_t202" style="position:absolute;left:0pt;margin-left:39.35pt;margin-top:2.45pt;height:484.5pt;width:401.25pt;z-index:251686912;v-text-anchor:middle;mso-width-relative:page;mso-height-relative:page;" fillcolor="#FFFFFF [3201]" filled="t" stroked="f" coordsize="21600,21600" o:gfxdata="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">
                <v:fill on="t" focussize="0,0"/>
                <v:stroke on="f" weight="0.5pt"/>
                <v:imagedata o:title=""/>
                <o:lock v:ext="edit" aspectratio="f"/>
                <v:textbox>
                  <w:txbxContent>
                    <w:p>
                      <w:pPr>
                        <w:pStyle w:val="29"/>
                        <w:rPr>
                          <w:rFonts w:hint="eastAsia"/>
                        </w:rPr>
                      </w:pPr>
                      <w:r>
                        <w:rPr>
                          <w:rFonts w:hint="eastAsia"/>
                        </w:rPr>
                        <w:t>归 口 单  位：</w:t>
                      </w:r>
                      <w:r>
                        <w:rPr>
                          <w:rFonts w:hint="eastAsia" w:ascii="宋体" w:hAnsi="宋体" w:eastAsia="宋体"/>
                        </w:rPr>
                        <w:t>中国机械工业</w:t>
                      </w:r>
                      <w:r>
                        <w:rPr>
                          <w:rFonts w:ascii="宋体" w:hAnsi="宋体" w:eastAsia="宋体"/>
                        </w:rPr>
                        <w:t>联合会</w:t>
                      </w:r>
                    </w:p>
                    <w:p>
                      <w:pPr>
                        <w:pStyle w:val="29"/>
                      </w:pPr>
                      <w:r>
                        <w:rPr>
                          <w:rFonts w:hint="eastAsia"/>
                        </w:rPr>
                        <w:t>负责起草单位：</w:t>
                      </w:r>
                      <w:r>
                        <w:rPr>
                          <w:rFonts w:hint="eastAsia" w:ascii="宋体" w:hAnsi="宋体" w:eastAsia="宋体"/>
                        </w:rPr>
                        <w:t>沈阳仪表科学研究院有限公司</w:t>
                      </w:r>
                    </w:p>
                    <w:p>
                      <w:pPr>
                        <w:pStyle w:val="29"/>
                        <w:tabs>
                          <w:tab w:val="left" w:pos="1985"/>
                        </w:tabs>
                        <w:rPr>
                          <w:rFonts w:ascii="宋体" w:hAnsi="宋体" w:eastAsia="宋体"/>
                        </w:rPr>
                      </w:pPr>
                      <w:r>
                        <w:rPr>
                          <w:rFonts w:hint="eastAsia"/>
                        </w:rPr>
                        <w:t>参加起草单位：</w:t>
                      </w:r>
                      <w:r>
                        <w:rPr>
                          <w:rFonts w:hint="eastAsia" w:ascii="宋体" w:hAnsi="宋体" w:eastAsia="宋体"/>
                        </w:rPr>
                        <w:t>国家仪器仪表元器件质量监督检验中心</w:t>
                      </w:r>
                    </w:p>
                    <w:p>
                      <w:pPr>
                        <w:pStyle w:val="29"/>
                        <w:tabs>
                          <w:tab w:val="left" w:pos="1985"/>
                        </w:tabs>
                        <w:ind w:left="-24" w:leftChars="-10"/>
                        <w:rPr>
                          <w:rFonts w:ascii="宋体" w:hAnsi="宋体" w:eastAsia="宋体"/>
                        </w:rPr>
                      </w:pPr>
                      <w:r>
                        <w:rPr>
                          <w:rFonts w:hint="eastAsia" w:ascii="宋体" w:hAnsi="宋体" w:eastAsia="宋体"/>
                        </w:rPr>
                        <w:t xml:space="preserve">              机械工业第二十四计量测试中心站</w:t>
                      </w:r>
                    </w:p>
                    <w:p>
                      <w:pPr>
                        <w:pStyle w:val="29"/>
                        <w:ind w:left="-24" w:leftChars="-10"/>
                        <w:rPr>
                          <w:rFonts w:ascii="宋体" w:hAnsi="宋体" w:eastAsia="宋体"/>
                        </w:rPr>
                      </w:pPr>
                      <w:r>
                        <w:rPr>
                          <w:rFonts w:hint="eastAsia" w:ascii="宋体" w:hAnsi="宋体" w:eastAsia="宋体"/>
                        </w:rPr>
                        <w:t xml:space="preserve">              辽宁省计量科学研究院</w:t>
                      </w:r>
                    </w:p>
                    <w:p>
                      <w:pPr>
                        <w:pStyle w:val="29"/>
                        <w:ind w:left="-24" w:leftChars="-10" w:firstLine="1960" w:firstLineChars="700"/>
                        <w:rPr>
                          <w:rFonts w:ascii="宋体" w:hAnsi="宋体" w:eastAsia="宋体"/>
                        </w:rPr>
                      </w:pPr>
                      <w:r>
                        <w:rPr>
                          <w:rFonts w:hint="eastAsia" w:ascii="宋体" w:hAnsi="宋体" w:eastAsia="宋体"/>
                        </w:rPr>
                        <w:t>辽宁</w:t>
                      </w:r>
                      <w:r>
                        <w:rPr>
                          <w:rFonts w:ascii="宋体" w:hAnsi="宋体" w:eastAsia="宋体"/>
                        </w:rPr>
                        <w:t>石油化工大学</w:t>
                      </w:r>
                    </w:p>
                    <w:p>
                      <w:pPr>
                        <w:pStyle w:val="29"/>
                        <w:ind w:left="-24" w:leftChars="-10" w:firstLine="1960" w:firstLineChars="700"/>
                        <w:rPr>
                          <w:rFonts w:ascii="宋体" w:hAnsi="宋体" w:eastAsia="宋体"/>
                        </w:rPr>
                      </w:pPr>
                      <w:r>
                        <w:rPr>
                          <w:rFonts w:hint="eastAsia" w:ascii="宋体" w:hAnsi="宋体" w:eastAsia="宋体"/>
                        </w:rPr>
                        <w:t>浙江优尔特检测科技有限公司</w:t>
                      </w:r>
                    </w:p>
                    <w:p>
                      <w:pPr>
                        <w:pStyle w:val="29"/>
                        <w:tabs>
                          <w:tab w:val="left" w:pos="1985"/>
                        </w:tabs>
                        <w:ind w:left="-24" w:leftChars="-10" w:firstLine="1960" w:firstLineChars="700"/>
                        <w:rPr>
                          <w:rFonts w:ascii="宋体" w:hAnsi="宋体" w:eastAsia="宋体"/>
                        </w:rPr>
                      </w:pPr>
                      <w:r>
                        <w:rPr>
                          <w:rFonts w:hint="eastAsia" w:ascii="宋体" w:hAnsi="宋体" w:eastAsia="宋体"/>
                        </w:rPr>
                        <w:t>抚顺</w:t>
                      </w:r>
                      <w:r>
                        <w:rPr>
                          <w:rFonts w:ascii="宋体" w:hAnsi="宋体" w:eastAsia="宋体"/>
                        </w:rPr>
                        <w:t>中油</w:t>
                      </w:r>
                      <w:r>
                        <w:rPr>
                          <w:rFonts w:hint="eastAsia" w:ascii="宋体" w:hAnsi="宋体" w:eastAsia="宋体"/>
                        </w:rPr>
                        <w:t>检测</w:t>
                      </w:r>
                      <w:r>
                        <w:rPr>
                          <w:rFonts w:ascii="宋体" w:hAnsi="宋体" w:eastAsia="宋体"/>
                        </w:rPr>
                        <w:t>工程</w:t>
                      </w:r>
                      <w:r>
                        <w:rPr>
                          <w:rFonts w:hint="eastAsia" w:ascii="宋体" w:hAnsi="宋体" w:eastAsia="宋体"/>
                        </w:rPr>
                        <w:t>有限</w:t>
                      </w:r>
                      <w:r>
                        <w:rPr>
                          <w:rFonts w:ascii="宋体" w:hAnsi="宋体" w:eastAsia="宋体"/>
                        </w:rPr>
                        <w:t>公司</w:t>
                      </w:r>
                    </w:p>
                    <w:p>
                      <w:pPr>
                        <w:pStyle w:val="29"/>
                        <w:rPr>
                          <w:rFonts w:ascii="宋体" w:hAnsi="宋体" w:eastAsia="宋体"/>
                        </w:rPr>
                      </w:pPr>
                    </w:p>
                  </w:txbxContent>
                </v:textbox>
              </v:shape>
            </w:pict>
          </mc:Fallback>
        </mc:AlternateContent>
      </w:r>
    </w:p>
    <w:p/>
    <w:p/>
    <w:p/>
    <w:p/>
    <w:p/>
    <w:p/>
    <w:p/>
    <w:p/>
    <w:p/>
    <w:p/>
    <w:p/>
    <w:p>
      <w:r>
        <w:rPr>
          <w:rFonts w:hint="eastAsia"/>
        </w:rPr>
        <mc:AlternateContent>
          <mc:Choice Requires="wps">
            <w:drawing>
              <wp:anchor distT="0" distB="0" distL="114300" distR="114300" simplePos="0" relativeHeight="251688960" behindDoc="0" locked="0" layoutInCell="1" allowOverlap="1">
                <wp:simplePos x="0" y="0"/>
                <wp:positionH relativeFrom="margin">
                  <wp:align>left</wp:align>
                </wp:positionH>
                <wp:positionV relativeFrom="margin">
                  <wp:align>bottom</wp:align>
                </wp:positionV>
                <wp:extent cx="5939790" cy="492760"/>
                <wp:effectExtent l="0" t="0" r="3810" b="2540"/>
                <wp:wrapNone/>
                <wp:docPr id="1" name="文本框 1"/>
                <wp:cNvGraphicFramePr/>
                <a:graphic xmlns:a="http://schemas.openxmlformats.org/drawingml/2006/main">
                  <a:graphicData uri="http://schemas.microsoft.com/office/word/2010/wordprocessingShape">
                    <wps:wsp>
                      <wps:cNvSpPr txBox="1"/>
                      <wps:spPr>
                        <a:xfrm>
                          <a:off x="0" y="0"/>
                          <a:ext cx="5939790" cy="492760"/>
                        </a:xfrm>
                        <a:prstGeom prst="rect">
                          <a:avLst/>
                        </a:prstGeom>
                        <a:solidFill>
                          <a:schemeClr val="lt1"/>
                        </a:solidFill>
                        <a:ln w="6350">
                          <a:noFill/>
                        </a:ln>
                      </wps:spPr>
                      <wps:txbx>
                        <w:txbxContent>
                          <w:p>
                            <w:pPr>
                              <w:pStyle w:val="39"/>
                            </w:pPr>
                            <w:r>
                              <w:rPr>
                                <w:rFonts w:hint="eastAsia"/>
                              </w:rPr>
                              <w:t>本规范条文由中国机械</w:t>
                            </w:r>
                            <w:r>
                              <w:t>工业联合会</w:t>
                            </w:r>
                            <w:r>
                              <w:rPr>
                                <w:rFonts w:hint="eastAsia"/>
                              </w:rPr>
                              <w:t>负责解释</w:t>
                            </w:r>
                          </w:p>
                        </w:txbxContent>
                      </wps:txbx>
                      <wps:bodyPr rot="0" spcFirstLastPara="0" vertOverflow="overflow" horzOverflow="overflow" vert="horz" wrap="square" lIns="91440" tIns="45720" rIns="91440" bIns="45720" numCol="1" spcCol="0" rtlCol="0" fromWordArt="0" anchor="b" anchorCtr="0" forceAA="0" compatLnSpc="1">
                        <a:noAutofit/>
                      </wps:bodyPr>
                    </wps:wsp>
                  </a:graphicData>
                </a:graphic>
              </wp:anchor>
            </w:drawing>
          </mc:Choice>
          <mc:Fallback>
            <w:pict>
              <v:shape id="_x0000_s1026" o:spid="_x0000_s1026" o:spt="202" type="#_x0000_t202" style="position:absolute;left:0pt;height:38.8pt;width:467.7pt;mso-position-horizontal:left;mso-position-horizontal-relative:margin;mso-position-vertical:bottom;mso-position-vertical-relative:margin;z-index:251688960;v-text-anchor:bottom;mso-width-relative:page;mso-height-relative:page;" fillcolor="#FFFFFF [3201]" filled="t" stroked="f" coordsize="21600,21600" o:gfxdata="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bAnkT9UAAAAEAQAADwAAAAAAAAABACAAAAAiAAAAZHJzL2Rvd25yZXYueG1s&#10;UEsBAhQAFAAAAAgAh07iQJwVs6s0AgAAQQQAAA4AAAAAAAAAAQAgAAAAJAEAAGRycy9lMm9Eb2Mu&#10;eG1sUEsFBgAAAAAGAAYAWQEAAMoFAAAAAA==&#10;">
                <v:fill on="t" focussize="0,0"/>
                <v:stroke on="f" weight="0.5pt"/>
                <v:imagedata o:title=""/>
                <o:lock v:ext="edit" aspectratio="f"/>
                <v:textbox>
                  <w:txbxContent>
                    <w:p>
                      <w:pPr>
                        <w:pStyle w:val="39"/>
                      </w:pPr>
                      <w:r>
                        <w:rPr>
                          <w:rFonts w:hint="eastAsia"/>
                        </w:rPr>
                        <w:t>本规范条文由中国机械</w:t>
                      </w:r>
                      <w:r>
                        <w:t>工业联合会</w:t>
                      </w:r>
                      <w:r>
                        <w:rPr>
                          <w:rFonts w:hint="eastAsia"/>
                        </w:rPr>
                        <w:t>负责解释</w:t>
                      </w:r>
                    </w:p>
                  </w:txbxContent>
                </v:textbox>
              </v:shape>
            </w:pict>
          </mc:Fallback>
        </mc:AlternateContent>
      </w:r>
    </w:p>
    <w:p/>
    <w:p/>
    <w:p>
      <w:pPr>
        <w:sectPr>
          <w:headerReference r:id="rId11" w:type="default"/>
          <w:footerReference r:id="rId12" w:type="default"/>
          <w:pgSz w:w="11906" w:h="16838"/>
          <w:pgMar w:top="1588" w:right="1134" w:bottom="1361" w:left="1418" w:header="1191" w:footer="992" w:gutter="0"/>
          <w:cols w:space="425" w:num="1"/>
          <w:docGrid w:type="linesAndChars" w:linePitch="312" w:charSpace="0"/>
        </w:sectPr>
      </w:pPr>
    </w:p>
    <w:p/>
    <w:p/>
    <w:p/>
    <w:p>
      <w:r>
        <mc:AlternateContent>
          <mc:Choice Requires="wps">
            <w:drawing>
              <wp:anchor distT="0" distB="0" distL="114300" distR="114300" simplePos="0" relativeHeight="251687936" behindDoc="0" locked="0" layoutInCell="1" allowOverlap="1">
                <wp:simplePos x="0" y="0"/>
                <wp:positionH relativeFrom="column">
                  <wp:posOffset>357505</wp:posOffset>
                </wp:positionH>
                <wp:positionV relativeFrom="paragraph">
                  <wp:posOffset>137795</wp:posOffset>
                </wp:positionV>
                <wp:extent cx="5208905" cy="5819140"/>
                <wp:effectExtent l="0" t="0" r="0" b="0"/>
                <wp:wrapNone/>
                <wp:docPr id="6" name="文本框 6"/>
                <wp:cNvGraphicFramePr/>
                <a:graphic xmlns:a="http://schemas.openxmlformats.org/drawingml/2006/main">
                  <a:graphicData uri="http://schemas.microsoft.com/office/word/2010/wordprocessingShape">
                    <wps:wsp>
                      <wps:cNvSpPr txBox="1"/>
                      <wps:spPr>
                        <a:xfrm>
                          <a:off x="0" y="0"/>
                          <a:ext cx="5208905" cy="5819390"/>
                        </a:xfrm>
                        <a:prstGeom prst="rect">
                          <a:avLst/>
                        </a:prstGeom>
                        <a:solidFill>
                          <a:schemeClr val="lt1"/>
                        </a:solidFill>
                        <a:ln w="6350">
                          <a:noFill/>
                        </a:ln>
                      </wps:spPr>
                      <wps:txbx>
                        <w:txbxContent>
                          <w:p>
                            <w:pPr>
                              <w:pStyle w:val="30"/>
                            </w:pPr>
                            <w:bookmarkStart w:id="72" w:name="_Toc193547510"/>
                            <w:bookmarkStart w:id="73" w:name="_Toc193555886"/>
                            <w:bookmarkStart w:id="74" w:name="_Toc193551755"/>
                            <w:bookmarkStart w:id="75" w:name="_Toc193552965"/>
                            <w:bookmarkStart w:id="76" w:name="_Toc193601676"/>
                            <w:bookmarkStart w:id="77" w:name="_Toc193601897"/>
                            <w:bookmarkStart w:id="78" w:name="_Toc193603076"/>
                            <w:r>
                              <w:rPr>
                                <w:rFonts w:hint="eastAsia"/>
                              </w:rPr>
                              <w:t>本规范主要起草人：</w:t>
                            </w:r>
                            <w:bookmarkEnd w:id="72"/>
                            <w:bookmarkEnd w:id="73"/>
                            <w:bookmarkEnd w:id="74"/>
                            <w:bookmarkEnd w:id="75"/>
                            <w:bookmarkEnd w:id="76"/>
                            <w:bookmarkEnd w:id="77"/>
                            <w:bookmarkEnd w:id="78"/>
                          </w:p>
                          <w:p>
                            <w:pPr>
                              <w:pStyle w:val="41"/>
                            </w:pPr>
                            <w:r>
                              <w:rPr>
                                <w:rFonts w:hint="eastAsia"/>
                              </w:rPr>
                              <w:t>李晓旭（沈阳仪表科学研究院有限</w:t>
                            </w:r>
                            <w:r>
                              <w:t>公司</w:t>
                            </w:r>
                            <w:r>
                              <w:rPr>
                                <w:rFonts w:hint="eastAsia"/>
                              </w:rPr>
                              <w:t>）</w:t>
                            </w:r>
                          </w:p>
                          <w:p>
                            <w:pPr>
                              <w:pStyle w:val="41"/>
                            </w:pPr>
                            <w:r>
                              <w:rPr>
                                <w:rFonts w:hint="eastAsia"/>
                              </w:rPr>
                              <w:t>张  盼（沈阳仪表科学研究院有限</w:t>
                            </w:r>
                            <w:r>
                              <w:t>公司</w:t>
                            </w:r>
                            <w:r>
                              <w:rPr>
                                <w:rFonts w:hint="eastAsia"/>
                              </w:rPr>
                              <w:t>）</w:t>
                            </w:r>
                          </w:p>
                          <w:p>
                            <w:pPr>
                              <w:pStyle w:val="41"/>
                            </w:pPr>
                            <w:r>
                              <w:rPr>
                                <w:rFonts w:hint="eastAsia"/>
                              </w:rPr>
                              <w:t>于振毅（国家仪器仪表元器件质量监督检验中心）</w:t>
                            </w:r>
                          </w:p>
                          <w:p>
                            <w:pPr>
                              <w:pStyle w:val="41"/>
                            </w:pPr>
                            <w:r>
                              <w:rPr>
                                <w:rFonts w:hint="eastAsia"/>
                              </w:rPr>
                              <w:t>韩志诚（辽宁省计量科学研究院）</w:t>
                            </w:r>
                          </w:p>
                          <w:p>
                            <w:pPr>
                              <w:pStyle w:val="33"/>
                            </w:pPr>
                            <w:r>
                              <w:rPr>
                                <w:rFonts w:hint="eastAsia"/>
                              </w:rPr>
                              <w:t>参加起草人：</w:t>
                            </w:r>
                          </w:p>
                          <w:p>
                            <w:pPr>
                              <w:pStyle w:val="41"/>
                            </w:pPr>
                            <w:r>
                              <w:rPr>
                                <w:rFonts w:hint="eastAsia"/>
                              </w:rPr>
                              <w:t>刘殿东（国家仪器仪表元器件质量监督检验中心）</w:t>
                            </w:r>
                          </w:p>
                          <w:p>
                            <w:pPr>
                              <w:pStyle w:val="41"/>
                            </w:pPr>
                            <w:r>
                              <w:rPr>
                                <w:rFonts w:hint="eastAsia"/>
                              </w:rPr>
                              <w:t>李  琳（国家仪器仪表元器件质量监督检验中心）</w:t>
                            </w:r>
                          </w:p>
                          <w:p>
                            <w:pPr>
                              <w:pStyle w:val="41"/>
                            </w:pPr>
                            <w:r>
                              <w:t>付</w:t>
                            </w:r>
                            <w:r>
                              <w:rPr>
                                <w:rFonts w:hint="eastAsia"/>
                              </w:rPr>
                              <w:t xml:space="preserve">  </w:t>
                            </w:r>
                            <w:r>
                              <w:t>饶</w:t>
                            </w:r>
                            <w:r>
                              <w:rPr>
                                <w:rFonts w:hint="eastAsia"/>
                              </w:rPr>
                              <w:t>（机械工业第二十四计量测试中心站）</w:t>
                            </w:r>
                          </w:p>
                          <w:p>
                            <w:pPr>
                              <w:pStyle w:val="41"/>
                            </w:pPr>
                            <w:r>
                              <w:rPr>
                                <w:rFonts w:hint="eastAsia"/>
                              </w:rPr>
                              <w:t>程文琪（机械工业第二十四计量测试中心站）</w:t>
                            </w:r>
                          </w:p>
                          <w:p>
                            <w:pPr>
                              <w:pStyle w:val="41"/>
                            </w:pPr>
                            <w:r>
                              <w:rPr>
                                <w:rFonts w:hint="eastAsia"/>
                              </w:rPr>
                              <w:t>张莹莹</w:t>
                            </w:r>
                            <w:r>
                              <w:t>（</w:t>
                            </w:r>
                            <w:r>
                              <w:rPr>
                                <w:rFonts w:hint="eastAsia"/>
                              </w:rPr>
                              <w:t>辽宁</w:t>
                            </w:r>
                            <w:r>
                              <w:t>石油</w:t>
                            </w:r>
                            <w:r>
                              <w:rPr>
                                <w:rFonts w:hint="eastAsia"/>
                              </w:rPr>
                              <w:t>化工大学</w:t>
                            </w:r>
                            <w:r>
                              <w:t>）</w:t>
                            </w:r>
                          </w:p>
                          <w:p>
                            <w:pPr>
                              <w:pStyle w:val="41"/>
                            </w:pPr>
                            <w:r>
                              <w:rPr>
                                <w:rFonts w:hint="eastAsia"/>
                              </w:rPr>
                              <w:t>吕君敏（浙江优尔特检测科技有限公司）</w:t>
                            </w:r>
                          </w:p>
                          <w:p>
                            <w:pPr>
                              <w:pStyle w:val="41"/>
                            </w:pPr>
                            <w:r>
                              <w:rPr>
                                <w:rFonts w:hint="eastAsia"/>
                              </w:rPr>
                              <w:t>宋  振（</w:t>
                            </w:r>
                            <w:r>
                              <w:rPr>
                                <w:rFonts w:hint="eastAsia" w:hAnsi="宋体"/>
                              </w:rPr>
                              <w:t>抚顺</w:t>
                            </w:r>
                            <w:r>
                              <w:rPr>
                                <w:rFonts w:hAnsi="宋体"/>
                              </w:rPr>
                              <w:t>中油</w:t>
                            </w:r>
                            <w:r>
                              <w:rPr>
                                <w:rFonts w:hint="eastAsia" w:hAnsi="宋体"/>
                              </w:rPr>
                              <w:t>检测</w:t>
                            </w:r>
                            <w:r>
                              <w:rPr>
                                <w:rFonts w:hAnsi="宋体"/>
                              </w:rPr>
                              <w:t>工程</w:t>
                            </w:r>
                            <w:r>
                              <w:rPr>
                                <w:rFonts w:hint="eastAsia" w:hAnsi="宋体"/>
                              </w:rPr>
                              <w:t>有限</w:t>
                            </w:r>
                            <w:r>
                              <w:rPr>
                                <w:rFonts w:hAnsi="宋体"/>
                              </w:rPr>
                              <w:t>公司</w:t>
                            </w:r>
                            <w:r>
                              <w:rPr>
                                <w:rFonts w:hint="eastAsia"/>
                              </w:rPr>
                              <w:t>）</w:t>
                            </w:r>
                          </w:p>
                          <w:p>
                            <w:pPr>
                              <w:pStyle w:val="41"/>
                            </w:pPr>
                            <w:r>
                              <w:rPr>
                                <w:rFonts w:hint="eastAsia"/>
                              </w:rPr>
                              <w:t xml:space="preserve">轩  </w:t>
                            </w:r>
                            <w:r>
                              <w:t>帅</w:t>
                            </w:r>
                            <w:r>
                              <w:rPr>
                                <w:rFonts w:hint="eastAsia"/>
                              </w:rPr>
                              <w:t>（</w:t>
                            </w:r>
                            <w:r>
                              <w:rPr>
                                <w:rFonts w:hint="eastAsia" w:hAnsi="宋体"/>
                              </w:rPr>
                              <w:t>抚顺</w:t>
                            </w:r>
                            <w:r>
                              <w:rPr>
                                <w:rFonts w:hAnsi="宋体"/>
                              </w:rPr>
                              <w:t>中油</w:t>
                            </w:r>
                            <w:r>
                              <w:rPr>
                                <w:rFonts w:hint="eastAsia" w:hAnsi="宋体"/>
                              </w:rPr>
                              <w:t>检测</w:t>
                            </w:r>
                            <w:r>
                              <w:rPr>
                                <w:rFonts w:hAnsi="宋体"/>
                              </w:rPr>
                              <w:t>工程</w:t>
                            </w:r>
                            <w:r>
                              <w:rPr>
                                <w:rFonts w:hint="eastAsia" w:hAnsi="宋体"/>
                              </w:rPr>
                              <w:t>有限</w:t>
                            </w:r>
                            <w:r>
                              <w:rPr>
                                <w:rFonts w:hAnsi="宋体"/>
                              </w:rPr>
                              <w:t>公司</w:t>
                            </w:r>
                            <w:r>
                              <w:rPr>
                                <w:rFonts w:hint="eastAsia"/>
                              </w:rPr>
                              <w:t>）</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8.15pt;margin-top:10.85pt;height:458.2pt;width:410.15pt;z-index:251687936;mso-width-relative:page;mso-height-relative:page;" fillcolor="#FFFFFF [3201]" filled="t" stroked="f" coordsize="21600,21600" o:gfxdata="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">
                <v:fill on="t" focussize="0,0"/>
                <v:stroke on="f" weight="0.5pt"/>
                <v:imagedata o:title=""/>
                <o:lock v:ext="edit" aspectratio="f"/>
                <v:textbox>
                  <w:txbxContent>
                    <w:p>
                      <w:pPr>
                        <w:pStyle w:val="30"/>
                      </w:pPr>
                      <w:bookmarkStart w:id="72" w:name="_Toc193547510"/>
                      <w:bookmarkStart w:id="73" w:name="_Toc193555886"/>
                      <w:bookmarkStart w:id="74" w:name="_Toc193551755"/>
                      <w:bookmarkStart w:id="75" w:name="_Toc193552965"/>
                      <w:bookmarkStart w:id="76" w:name="_Toc193601676"/>
                      <w:bookmarkStart w:id="77" w:name="_Toc193601897"/>
                      <w:bookmarkStart w:id="78" w:name="_Toc193603076"/>
                      <w:r>
                        <w:rPr>
                          <w:rFonts w:hint="eastAsia"/>
                        </w:rPr>
                        <w:t>本规范主要起草人：</w:t>
                      </w:r>
                      <w:bookmarkEnd w:id="72"/>
                      <w:bookmarkEnd w:id="73"/>
                      <w:bookmarkEnd w:id="74"/>
                      <w:bookmarkEnd w:id="75"/>
                      <w:bookmarkEnd w:id="76"/>
                      <w:bookmarkEnd w:id="77"/>
                      <w:bookmarkEnd w:id="78"/>
                    </w:p>
                    <w:p>
                      <w:pPr>
                        <w:pStyle w:val="41"/>
                      </w:pPr>
                      <w:r>
                        <w:rPr>
                          <w:rFonts w:hint="eastAsia"/>
                        </w:rPr>
                        <w:t>李晓旭（沈阳仪表科学研究院有限</w:t>
                      </w:r>
                      <w:r>
                        <w:t>公司</w:t>
                      </w:r>
                      <w:r>
                        <w:rPr>
                          <w:rFonts w:hint="eastAsia"/>
                        </w:rPr>
                        <w:t>）</w:t>
                      </w:r>
                    </w:p>
                    <w:p>
                      <w:pPr>
                        <w:pStyle w:val="41"/>
                      </w:pPr>
                      <w:r>
                        <w:rPr>
                          <w:rFonts w:hint="eastAsia"/>
                        </w:rPr>
                        <w:t>张  盼（沈阳仪表科学研究院有限</w:t>
                      </w:r>
                      <w:r>
                        <w:t>公司</w:t>
                      </w:r>
                      <w:r>
                        <w:rPr>
                          <w:rFonts w:hint="eastAsia"/>
                        </w:rPr>
                        <w:t>）</w:t>
                      </w:r>
                    </w:p>
                    <w:p>
                      <w:pPr>
                        <w:pStyle w:val="41"/>
                      </w:pPr>
                      <w:r>
                        <w:rPr>
                          <w:rFonts w:hint="eastAsia"/>
                        </w:rPr>
                        <w:t>于振毅（国家仪器仪表元器件质量监督检验中心）</w:t>
                      </w:r>
                    </w:p>
                    <w:p>
                      <w:pPr>
                        <w:pStyle w:val="41"/>
                      </w:pPr>
                      <w:r>
                        <w:rPr>
                          <w:rFonts w:hint="eastAsia"/>
                        </w:rPr>
                        <w:t>韩志诚（辽宁省计量科学研究院）</w:t>
                      </w:r>
                    </w:p>
                    <w:p>
                      <w:pPr>
                        <w:pStyle w:val="33"/>
                      </w:pPr>
                      <w:r>
                        <w:rPr>
                          <w:rFonts w:hint="eastAsia"/>
                        </w:rPr>
                        <w:t>参加起草人：</w:t>
                      </w:r>
                    </w:p>
                    <w:p>
                      <w:pPr>
                        <w:pStyle w:val="41"/>
                      </w:pPr>
                      <w:r>
                        <w:rPr>
                          <w:rFonts w:hint="eastAsia"/>
                        </w:rPr>
                        <w:t>刘殿东（国家仪器仪表元器件质量监督检验中心）</w:t>
                      </w:r>
                    </w:p>
                    <w:p>
                      <w:pPr>
                        <w:pStyle w:val="41"/>
                      </w:pPr>
                      <w:r>
                        <w:rPr>
                          <w:rFonts w:hint="eastAsia"/>
                        </w:rPr>
                        <w:t>李  琳（国家仪器仪表元器件质量监督检验中心）</w:t>
                      </w:r>
                    </w:p>
                    <w:p>
                      <w:pPr>
                        <w:pStyle w:val="41"/>
                      </w:pPr>
                      <w:r>
                        <w:t>付</w:t>
                      </w:r>
                      <w:r>
                        <w:rPr>
                          <w:rFonts w:hint="eastAsia"/>
                        </w:rPr>
                        <w:t xml:space="preserve">  </w:t>
                      </w:r>
                      <w:r>
                        <w:t>饶</w:t>
                      </w:r>
                      <w:r>
                        <w:rPr>
                          <w:rFonts w:hint="eastAsia"/>
                        </w:rPr>
                        <w:t>（机械工业第二十四计量测试中心站）</w:t>
                      </w:r>
                    </w:p>
                    <w:p>
                      <w:pPr>
                        <w:pStyle w:val="41"/>
                      </w:pPr>
                      <w:r>
                        <w:rPr>
                          <w:rFonts w:hint="eastAsia"/>
                        </w:rPr>
                        <w:t>程文琪（机械工业第二十四计量测试中心站）</w:t>
                      </w:r>
                    </w:p>
                    <w:p>
                      <w:pPr>
                        <w:pStyle w:val="41"/>
                      </w:pPr>
                      <w:r>
                        <w:rPr>
                          <w:rFonts w:hint="eastAsia"/>
                        </w:rPr>
                        <w:t>张莹莹</w:t>
                      </w:r>
                      <w:r>
                        <w:t>（</w:t>
                      </w:r>
                      <w:r>
                        <w:rPr>
                          <w:rFonts w:hint="eastAsia"/>
                        </w:rPr>
                        <w:t>辽宁</w:t>
                      </w:r>
                      <w:r>
                        <w:t>石油</w:t>
                      </w:r>
                      <w:r>
                        <w:rPr>
                          <w:rFonts w:hint="eastAsia"/>
                        </w:rPr>
                        <w:t>化工大学</w:t>
                      </w:r>
                      <w:r>
                        <w:t>）</w:t>
                      </w:r>
                    </w:p>
                    <w:p>
                      <w:pPr>
                        <w:pStyle w:val="41"/>
                      </w:pPr>
                      <w:r>
                        <w:rPr>
                          <w:rFonts w:hint="eastAsia"/>
                        </w:rPr>
                        <w:t>吕君敏（浙江优尔特检测科技有限公司）</w:t>
                      </w:r>
                    </w:p>
                    <w:p>
                      <w:pPr>
                        <w:pStyle w:val="41"/>
                      </w:pPr>
                      <w:r>
                        <w:rPr>
                          <w:rFonts w:hint="eastAsia"/>
                        </w:rPr>
                        <w:t>宋  振（</w:t>
                      </w:r>
                      <w:r>
                        <w:rPr>
                          <w:rFonts w:hint="eastAsia" w:hAnsi="宋体"/>
                        </w:rPr>
                        <w:t>抚顺</w:t>
                      </w:r>
                      <w:r>
                        <w:rPr>
                          <w:rFonts w:hAnsi="宋体"/>
                        </w:rPr>
                        <w:t>中油</w:t>
                      </w:r>
                      <w:r>
                        <w:rPr>
                          <w:rFonts w:hint="eastAsia" w:hAnsi="宋体"/>
                        </w:rPr>
                        <w:t>检测</w:t>
                      </w:r>
                      <w:r>
                        <w:rPr>
                          <w:rFonts w:hAnsi="宋体"/>
                        </w:rPr>
                        <w:t>工程</w:t>
                      </w:r>
                      <w:r>
                        <w:rPr>
                          <w:rFonts w:hint="eastAsia" w:hAnsi="宋体"/>
                        </w:rPr>
                        <w:t>有限</w:t>
                      </w:r>
                      <w:r>
                        <w:rPr>
                          <w:rFonts w:hAnsi="宋体"/>
                        </w:rPr>
                        <w:t>公司</w:t>
                      </w:r>
                      <w:r>
                        <w:rPr>
                          <w:rFonts w:hint="eastAsia"/>
                        </w:rPr>
                        <w:t>）</w:t>
                      </w:r>
                    </w:p>
                    <w:p>
                      <w:pPr>
                        <w:pStyle w:val="41"/>
                      </w:pPr>
                      <w:r>
                        <w:rPr>
                          <w:rFonts w:hint="eastAsia"/>
                        </w:rPr>
                        <w:t xml:space="preserve">轩  </w:t>
                      </w:r>
                      <w:r>
                        <w:t>帅</w:t>
                      </w:r>
                      <w:r>
                        <w:rPr>
                          <w:rFonts w:hint="eastAsia"/>
                        </w:rPr>
                        <w:t>（</w:t>
                      </w:r>
                      <w:r>
                        <w:rPr>
                          <w:rFonts w:hint="eastAsia" w:hAnsi="宋体"/>
                        </w:rPr>
                        <w:t>抚顺</w:t>
                      </w:r>
                      <w:r>
                        <w:rPr>
                          <w:rFonts w:hAnsi="宋体"/>
                        </w:rPr>
                        <w:t>中油</w:t>
                      </w:r>
                      <w:r>
                        <w:rPr>
                          <w:rFonts w:hint="eastAsia" w:hAnsi="宋体"/>
                        </w:rPr>
                        <w:t>检测</w:t>
                      </w:r>
                      <w:r>
                        <w:rPr>
                          <w:rFonts w:hAnsi="宋体"/>
                        </w:rPr>
                        <w:t>工程</w:t>
                      </w:r>
                      <w:r>
                        <w:rPr>
                          <w:rFonts w:hint="eastAsia" w:hAnsi="宋体"/>
                        </w:rPr>
                        <w:t>有限</w:t>
                      </w:r>
                      <w:r>
                        <w:rPr>
                          <w:rFonts w:hAnsi="宋体"/>
                        </w:rPr>
                        <w:t>公司</w:t>
                      </w:r>
                      <w:r>
                        <w:rPr>
                          <w:rFonts w:hint="eastAsia"/>
                        </w:rPr>
                        <w:t>）</w:t>
                      </w:r>
                    </w:p>
                  </w:txbxContent>
                </v:textbox>
              </v:shape>
            </w:pict>
          </mc:Fallback>
        </mc:AlternateContent>
      </w:r>
    </w:p>
    <w:p/>
    <w:p/>
    <w:p/>
    <w:p/>
    <w:p/>
    <w:p/>
    <w:p/>
    <w:p/>
    <w:p/>
    <w:p/>
    <w:p/>
    <w:p>
      <w:pPr>
        <w:sectPr>
          <w:pgSz w:w="11906" w:h="16838"/>
          <w:pgMar w:top="1588" w:right="851" w:bottom="1361" w:left="1418" w:header="1191" w:footer="992" w:gutter="0"/>
          <w:cols w:space="425" w:num="1"/>
          <w:docGrid w:type="lines" w:linePitch="312" w:charSpace="0"/>
        </w:sectPr>
      </w:pPr>
    </w:p>
    <w:sdt>
      <w:sdtPr>
        <w:rPr>
          <w:rFonts w:ascii="Times New Roman" w:hAnsi="Times New Roman" w:eastAsia="宋体" w:cstheme="minorBidi"/>
          <w:color w:val="auto"/>
          <w:kern w:val="2"/>
          <w:sz w:val="24"/>
          <w:szCs w:val="24"/>
          <w:lang w:val="zh-CN"/>
        </w:rPr>
        <w:id w:val="715477163"/>
      </w:sdtPr>
      <w:sdtEndPr>
        <w:rPr>
          <w:rFonts w:ascii="Times New Roman" w:hAnsi="Times New Roman" w:eastAsia="宋体" w:cstheme="minorBidi"/>
          <w:b/>
          <w:bCs/>
          <w:color w:val="auto"/>
          <w:kern w:val="2"/>
          <w:sz w:val="24"/>
          <w:szCs w:val="24"/>
          <w:lang w:val="zh-CN"/>
        </w:rPr>
      </w:sdtEndPr>
      <w:sdtContent>
        <w:p>
          <w:pPr>
            <w:pStyle w:val="62"/>
            <w:jc w:val="center"/>
            <w:rPr>
              <w:rFonts w:ascii="黑体" w:hAnsi="黑体" w:eastAsia="黑体"/>
              <w:color w:val="auto"/>
              <w:sz w:val="44"/>
              <w:szCs w:val="44"/>
              <w:lang w:val="zh-CN"/>
            </w:rPr>
          </w:pPr>
          <w:r>
            <w:rPr>
              <w:rFonts w:ascii="黑体" w:hAnsi="黑体" w:eastAsia="黑体"/>
              <w:color w:val="auto"/>
              <w:sz w:val="44"/>
              <w:szCs w:val="44"/>
              <w:lang w:val="zh-CN"/>
            </w:rPr>
            <w:t>目</w:t>
          </w:r>
          <w:r>
            <w:rPr>
              <w:rFonts w:hint="eastAsia" w:ascii="黑体" w:hAnsi="黑体" w:eastAsia="黑体"/>
              <w:color w:val="auto"/>
              <w:sz w:val="44"/>
              <w:szCs w:val="44"/>
              <w:lang w:val="zh-CN"/>
            </w:rPr>
            <w:t xml:space="preserve"> </w:t>
          </w:r>
          <w:r>
            <w:rPr>
              <w:rFonts w:ascii="黑体" w:hAnsi="黑体" w:eastAsia="黑体"/>
              <w:color w:val="auto"/>
              <w:sz w:val="44"/>
              <w:szCs w:val="44"/>
              <w:lang w:val="zh-CN"/>
            </w:rPr>
            <w:t xml:space="preserve">  录</w:t>
          </w:r>
        </w:p>
        <w:p>
          <w:pPr>
            <w:pStyle w:val="11"/>
            <w:rPr>
              <w:rFonts w:asciiTheme="minorHAnsi" w:hAnsiTheme="minorHAnsi" w:eastAsiaTheme="minorEastAsia"/>
              <w:sz w:val="21"/>
              <w:szCs w:val="22"/>
            </w:rPr>
          </w:pPr>
          <w:r>
            <w:fldChar w:fldCharType="begin"/>
          </w:r>
          <w:r>
            <w:instrText xml:space="preserve"> TOC \o "1-2" \h \z \u </w:instrText>
          </w:r>
          <w:r>
            <w:fldChar w:fldCharType="separate"/>
          </w:r>
          <w:r>
            <w:fldChar w:fldCharType="begin"/>
          </w:r>
          <w:r>
            <w:instrText xml:space="preserve"> HYPERLINK \l "_Toc516556741" </w:instrText>
          </w:r>
          <w:r>
            <w:fldChar w:fldCharType="separate"/>
          </w:r>
          <w:r>
            <w:rPr>
              <w:rStyle w:val="14"/>
            </w:rPr>
            <w:t>引言</w:t>
          </w:r>
          <w:r>
            <w:tab/>
          </w:r>
          <w:r>
            <w:fldChar w:fldCharType="begin"/>
          </w:r>
          <w:r>
            <w:instrText xml:space="preserve"> PAGEREF _Toc516556741 \h </w:instrText>
          </w:r>
          <w:r>
            <w:fldChar w:fldCharType="separate"/>
          </w:r>
          <w:r>
            <w:t>II</w:t>
          </w:r>
          <w:r>
            <w:fldChar w:fldCharType="end"/>
          </w:r>
          <w:r>
            <w:fldChar w:fldCharType="end"/>
          </w:r>
        </w:p>
        <w:p>
          <w:pPr>
            <w:pStyle w:val="11"/>
            <w:rPr>
              <w:rFonts w:asciiTheme="minorHAnsi" w:hAnsiTheme="minorHAnsi" w:eastAsiaTheme="minorEastAsia"/>
              <w:sz w:val="21"/>
              <w:szCs w:val="22"/>
            </w:rPr>
          </w:pPr>
          <w:r>
            <w:fldChar w:fldCharType="begin"/>
          </w:r>
          <w:r>
            <w:instrText xml:space="preserve"> HYPERLINK \l "_Toc516556742" </w:instrText>
          </w:r>
          <w:r>
            <w:fldChar w:fldCharType="separate"/>
          </w:r>
          <w:r>
            <w:rPr>
              <w:rStyle w:val="14"/>
            </w:rPr>
            <w:t>1 范围</w:t>
          </w:r>
          <w:r>
            <w:tab/>
          </w:r>
          <w:r>
            <w:fldChar w:fldCharType="begin"/>
          </w:r>
          <w:r>
            <w:instrText xml:space="preserve"> PAGEREF _Toc516556742 \h </w:instrText>
          </w:r>
          <w:r>
            <w:fldChar w:fldCharType="separate"/>
          </w:r>
          <w:r>
            <w:t>1</w:t>
          </w:r>
          <w:r>
            <w:fldChar w:fldCharType="end"/>
          </w:r>
          <w:r>
            <w:fldChar w:fldCharType="end"/>
          </w:r>
        </w:p>
        <w:p>
          <w:pPr>
            <w:pStyle w:val="11"/>
            <w:rPr>
              <w:rFonts w:asciiTheme="minorHAnsi" w:hAnsiTheme="minorHAnsi" w:eastAsiaTheme="minorEastAsia"/>
              <w:sz w:val="21"/>
              <w:szCs w:val="22"/>
            </w:rPr>
          </w:pPr>
          <w:r>
            <w:fldChar w:fldCharType="begin"/>
          </w:r>
          <w:r>
            <w:instrText xml:space="preserve"> HYPERLINK \l "_Toc516556743" </w:instrText>
          </w:r>
          <w:r>
            <w:fldChar w:fldCharType="separate"/>
          </w:r>
          <w:r>
            <w:rPr>
              <w:rStyle w:val="14"/>
            </w:rPr>
            <w:t>2 引用文件</w:t>
          </w:r>
          <w:r>
            <w:tab/>
          </w:r>
          <w:r>
            <w:fldChar w:fldCharType="begin"/>
          </w:r>
          <w:r>
            <w:instrText xml:space="preserve"> PAGEREF _Toc516556743 \h </w:instrText>
          </w:r>
          <w:r>
            <w:fldChar w:fldCharType="separate"/>
          </w:r>
          <w:r>
            <w:t>1</w:t>
          </w:r>
          <w:r>
            <w:fldChar w:fldCharType="end"/>
          </w:r>
          <w:r>
            <w:fldChar w:fldCharType="end"/>
          </w:r>
        </w:p>
        <w:p>
          <w:pPr>
            <w:pStyle w:val="11"/>
            <w:rPr>
              <w:rFonts w:asciiTheme="minorHAnsi" w:hAnsiTheme="minorHAnsi" w:eastAsiaTheme="minorEastAsia"/>
              <w:sz w:val="21"/>
              <w:szCs w:val="22"/>
            </w:rPr>
          </w:pPr>
          <w:r>
            <w:fldChar w:fldCharType="begin"/>
          </w:r>
          <w:r>
            <w:instrText xml:space="preserve"> HYPERLINK \l "_Toc516556744" </w:instrText>
          </w:r>
          <w:r>
            <w:fldChar w:fldCharType="separate"/>
          </w:r>
          <w:r>
            <w:rPr>
              <w:rStyle w:val="14"/>
            </w:rPr>
            <w:t>3 概述</w:t>
          </w:r>
          <w:r>
            <w:tab/>
          </w:r>
          <w:r>
            <w:fldChar w:fldCharType="begin"/>
          </w:r>
          <w:r>
            <w:instrText xml:space="preserve"> PAGEREF _Toc516556744 \h </w:instrText>
          </w:r>
          <w:r>
            <w:fldChar w:fldCharType="separate"/>
          </w:r>
          <w:r>
            <w:t>1</w:t>
          </w:r>
          <w:r>
            <w:fldChar w:fldCharType="end"/>
          </w:r>
          <w:r>
            <w:fldChar w:fldCharType="end"/>
          </w:r>
        </w:p>
        <w:p>
          <w:pPr>
            <w:pStyle w:val="11"/>
            <w:rPr>
              <w:rFonts w:asciiTheme="minorHAnsi" w:hAnsiTheme="minorHAnsi" w:eastAsiaTheme="minorEastAsia"/>
              <w:sz w:val="21"/>
              <w:szCs w:val="22"/>
            </w:rPr>
          </w:pPr>
          <w:r>
            <w:fldChar w:fldCharType="begin"/>
          </w:r>
          <w:r>
            <w:instrText xml:space="preserve"> HYPERLINK \l "_Toc516556745" </w:instrText>
          </w:r>
          <w:r>
            <w:fldChar w:fldCharType="separate"/>
          </w:r>
          <w:r>
            <w:rPr>
              <w:rStyle w:val="14"/>
            </w:rPr>
            <w:t>4 计量特性</w:t>
          </w:r>
          <w:r>
            <w:tab/>
          </w:r>
          <w:r>
            <w:fldChar w:fldCharType="begin"/>
          </w:r>
          <w:r>
            <w:instrText xml:space="preserve"> PAGEREF _Toc516556745 \h </w:instrText>
          </w:r>
          <w:r>
            <w:fldChar w:fldCharType="separate"/>
          </w:r>
          <w:r>
            <w:t>3</w:t>
          </w:r>
          <w:r>
            <w:fldChar w:fldCharType="end"/>
          </w:r>
          <w:r>
            <w:fldChar w:fldCharType="end"/>
          </w:r>
        </w:p>
        <w:p>
          <w:pPr>
            <w:pStyle w:val="12"/>
            <w:ind w:left="0" w:leftChars="0" w:firstLine="0" w:firstLineChars="0"/>
            <w:rPr>
              <w:rFonts w:asciiTheme="minorHAnsi" w:hAnsiTheme="minorHAnsi" w:eastAsiaTheme="minorEastAsia"/>
              <w:sz w:val="21"/>
              <w:szCs w:val="22"/>
            </w:rPr>
          </w:pPr>
          <w:r>
            <w:fldChar w:fldCharType="begin"/>
          </w:r>
          <w:r>
            <w:instrText xml:space="preserve"> HYPERLINK \l "_Toc516556746" </w:instrText>
          </w:r>
          <w:r>
            <w:fldChar w:fldCharType="separate"/>
          </w:r>
          <w:r>
            <w:rPr>
              <w:rStyle w:val="14"/>
            </w:rPr>
            <w:t>4.1 表面粗糙度</w:t>
          </w:r>
          <w:r>
            <w:tab/>
          </w:r>
          <w:r>
            <w:fldChar w:fldCharType="begin"/>
          </w:r>
          <w:r>
            <w:instrText xml:space="preserve"> PAGEREF _Toc516556746 \h </w:instrText>
          </w:r>
          <w:r>
            <w:fldChar w:fldCharType="separate"/>
          </w:r>
          <w:r>
            <w:t>3</w:t>
          </w:r>
          <w:r>
            <w:fldChar w:fldCharType="end"/>
          </w:r>
          <w:r>
            <w:fldChar w:fldCharType="end"/>
          </w:r>
        </w:p>
        <w:p>
          <w:pPr>
            <w:pStyle w:val="12"/>
            <w:ind w:left="0" w:leftChars="0" w:firstLine="0" w:firstLineChars="0"/>
            <w:rPr>
              <w:rFonts w:asciiTheme="minorHAnsi" w:hAnsiTheme="minorHAnsi" w:eastAsiaTheme="minorEastAsia"/>
              <w:sz w:val="21"/>
              <w:szCs w:val="22"/>
            </w:rPr>
          </w:pPr>
          <w:r>
            <w:fldChar w:fldCharType="begin"/>
          </w:r>
          <w:r>
            <w:instrText xml:space="preserve"> HYPERLINK \l "_Toc516556747" </w:instrText>
          </w:r>
          <w:r>
            <w:fldChar w:fldCharType="separate"/>
          </w:r>
          <w:r>
            <w:rPr>
              <w:rStyle w:val="14"/>
            </w:rPr>
            <w:t>4.2 镀层厚度</w:t>
          </w:r>
          <w:r>
            <w:tab/>
          </w:r>
          <w:r>
            <w:fldChar w:fldCharType="begin"/>
          </w:r>
          <w:r>
            <w:instrText xml:space="preserve"> PAGEREF _Toc516556747 \h </w:instrText>
          </w:r>
          <w:r>
            <w:fldChar w:fldCharType="separate"/>
          </w:r>
          <w:r>
            <w:t>4</w:t>
          </w:r>
          <w:r>
            <w:fldChar w:fldCharType="end"/>
          </w:r>
          <w:r>
            <w:fldChar w:fldCharType="end"/>
          </w:r>
        </w:p>
        <w:p>
          <w:pPr>
            <w:pStyle w:val="12"/>
            <w:ind w:left="0" w:leftChars="0" w:firstLine="0" w:firstLineChars="0"/>
            <w:rPr>
              <w:rFonts w:asciiTheme="minorHAnsi" w:hAnsiTheme="minorHAnsi" w:eastAsiaTheme="minorEastAsia"/>
              <w:sz w:val="21"/>
              <w:szCs w:val="22"/>
            </w:rPr>
          </w:pPr>
          <w:r>
            <w:fldChar w:fldCharType="begin"/>
          </w:r>
          <w:r>
            <w:instrText xml:space="preserve"> HYPERLINK \l "_Toc516556748" </w:instrText>
          </w:r>
          <w:r>
            <w:fldChar w:fldCharType="separate"/>
          </w:r>
          <w:r>
            <w:rPr>
              <w:rStyle w:val="14"/>
            </w:rPr>
            <w:t>4.3 缺陷</w:t>
          </w:r>
          <w:r>
            <w:tab/>
          </w:r>
          <w:r>
            <w:fldChar w:fldCharType="begin"/>
          </w:r>
          <w:r>
            <w:instrText xml:space="preserve"> PAGEREF _Toc516556748 \h </w:instrText>
          </w:r>
          <w:r>
            <w:fldChar w:fldCharType="separate"/>
          </w:r>
          <w:r>
            <w:t>4</w:t>
          </w:r>
          <w:r>
            <w:fldChar w:fldCharType="end"/>
          </w:r>
          <w:r>
            <w:fldChar w:fldCharType="end"/>
          </w:r>
        </w:p>
        <w:p>
          <w:pPr>
            <w:pStyle w:val="11"/>
            <w:rPr>
              <w:rFonts w:asciiTheme="minorHAnsi" w:hAnsiTheme="minorHAnsi" w:eastAsiaTheme="minorEastAsia"/>
              <w:sz w:val="21"/>
              <w:szCs w:val="22"/>
            </w:rPr>
          </w:pPr>
          <w:r>
            <w:fldChar w:fldCharType="begin"/>
          </w:r>
          <w:r>
            <w:instrText xml:space="preserve"> HYPERLINK \l "_Toc516556749" </w:instrText>
          </w:r>
          <w:r>
            <w:fldChar w:fldCharType="separate"/>
          </w:r>
          <w:r>
            <w:rPr>
              <w:rStyle w:val="14"/>
            </w:rPr>
            <w:t>5 通用技术要求</w:t>
          </w:r>
          <w:r>
            <w:tab/>
          </w:r>
          <w:r>
            <w:fldChar w:fldCharType="begin"/>
          </w:r>
          <w:r>
            <w:instrText xml:space="preserve"> PAGEREF _Toc516556749 \h </w:instrText>
          </w:r>
          <w:r>
            <w:fldChar w:fldCharType="separate"/>
          </w:r>
          <w:r>
            <w:t>4</w:t>
          </w:r>
          <w:r>
            <w:fldChar w:fldCharType="end"/>
          </w:r>
          <w:r>
            <w:fldChar w:fldCharType="end"/>
          </w:r>
        </w:p>
        <w:p>
          <w:pPr>
            <w:pStyle w:val="11"/>
            <w:rPr>
              <w:rFonts w:asciiTheme="minorHAnsi" w:hAnsiTheme="minorHAnsi" w:eastAsiaTheme="minorEastAsia"/>
              <w:sz w:val="21"/>
              <w:szCs w:val="22"/>
            </w:rPr>
          </w:pPr>
          <w:r>
            <w:fldChar w:fldCharType="begin"/>
          </w:r>
          <w:r>
            <w:instrText xml:space="preserve"> HYPERLINK \l "_Toc516556750" </w:instrText>
          </w:r>
          <w:r>
            <w:fldChar w:fldCharType="separate"/>
          </w:r>
          <w:r>
            <w:rPr>
              <w:rStyle w:val="14"/>
            </w:rPr>
            <w:t>6 校准条件</w:t>
          </w:r>
          <w:r>
            <w:tab/>
          </w:r>
          <w:r>
            <w:fldChar w:fldCharType="begin"/>
          </w:r>
          <w:r>
            <w:instrText xml:space="preserve"> PAGEREF _Toc516556750 \h </w:instrText>
          </w:r>
          <w:r>
            <w:fldChar w:fldCharType="separate"/>
          </w:r>
          <w:r>
            <w:t>5</w:t>
          </w:r>
          <w:r>
            <w:fldChar w:fldCharType="end"/>
          </w:r>
          <w:r>
            <w:fldChar w:fldCharType="end"/>
          </w:r>
        </w:p>
        <w:p>
          <w:pPr>
            <w:pStyle w:val="12"/>
            <w:ind w:left="0" w:leftChars="0" w:firstLine="0" w:firstLineChars="0"/>
            <w:rPr>
              <w:rFonts w:asciiTheme="minorHAnsi" w:hAnsiTheme="minorHAnsi" w:eastAsiaTheme="minorEastAsia"/>
              <w:sz w:val="21"/>
              <w:szCs w:val="22"/>
            </w:rPr>
          </w:pPr>
          <w:r>
            <w:fldChar w:fldCharType="begin"/>
          </w:r>
          <w:r>
            <w:instrText xml:space="preserve"> HYPERLINK \l "_Toc516556751" </w:instrText>
          </w:r>
          <w:r>
            <w:fldChar w:fldCharType="separate"/>
          </w:r>
          <w:r>
            <w:rPr>
              <w:rStyle w:val="14"/>
            </w:rPr>
            <w:t>6.1 环境条件</w:t>
          </w:r>
          <w:r>
            <w:tab/>
          </w:r>
          <w:r>
            <w:fldChar w:fldCharType="begin"/>
          </w:r>
          <w:r>
            <w:instrText xml:space="preserve"> PAGEREF _Toc516556751 \h </w:instrText>
          </w:r>
          <w:r>
            <w:fldChar w:fldCharType="separate"/>
          </w:r>
          <w:r>
            <w:t>5</w:t>
          </w:r>
          <w:r>
            <w:fldChar w:fldCharType="end"/>
          </w:r>
          <w:r>
            <w:fldChar w:fldCharType="end"/>
          </w:r>
        </w:p>
        <w:p>
          <w:pPr>
            <w:pStyle w:val="12"/>
            <w:ind w:left="0" w:leftChars="0" w:firstLine="0" w:firstLineChars="0"/>
            <w:rPr>
              <w:rFonts w:asciiTheme="minorHAnsi" w:hAnsiTheme="minorHAnsi" w:eastAsiaTheme="minorEastAsia"/>
              <w:sz w:val="21"/>
              <w:szCs w:val="22"/>
            </w:rPr>
          </w:pPr>
          <w:r>
            <w:fldChar w:fldCharType="begin"/>
          </w:r>
          <w:r>
            <w:instrText xml:space="preserve"> HYPERLINK \l "_Toc516556752" </w:instrText>
          </w:r>
          <w:r>
            <w:fldChar w:fldCharType="separate"/>
          </w:r>
          <w:r>
            <w:rPr>
              <w:rStyle w:val="14"/>
            </w:rPr>
            <w:t>6.2 标准器及配套设备</w:t>
          </w:r>
          <w:r>
            <w:tab/>
          </w:r>
          <w:r>
            <w:fldChar w:fldCharType="begin"/>
          </w:r>
          <w:r>
            <w:instrText xml:space="preserve"> PAGEREF _Toc516556752 \h </w:instrText>
          </w:r>
          <w:r>
            <w:fldChar w:fldCharType="separate"/>
          </w:r>
          <w:r>
            <w:t>5</w:t>
          </w:r>
          <w:r>
            <w:fldChar w:fldCharType="end"/>
          </w:r>
          <w:r>
            <w:fldChar w:fldCharType="end"/>
          </w:r>
        </w:p>
        <w:p>
          <w:pPr>
            <w:pStyle w:val="11"/>
            <w:rPr>
              <w:rFonts w:asciiTheme="minorHAnsi" w:hAnsiTheme="minorHAnsi" w:eastAsiaTheme="minorEastAsia"/>
              <w:sz w:val="21"/>
              <w:szCs w:val="22"/>
            </w:rPr>
          </w:pPr>
          <w:r>
            <w:fldChar w:fldCharType="begin"/>
          </w:r>
          <w:r>
            <w:instrText xml:space="preserve"> HYPERLINK \l "_Toc516556753" </w:instrText>
          </w:r>
          <w:r>
            <w:fldChar w:fldCharType="separate"/>
          </w:r>
          <w:r>
            <w:rPr>
              <w:rStyle w:val="14"/>
            </w:rPr>
            <w:t>7 校准项目和校准方法</w:t>
          </w:r>
          <w:r>
            <w:tab/>
          </w:r>
          <w:r>
            <w:fldChar w:fldCharType="begin"/>
          </w:r>
          <w:r>
            <w:instrText xml:space="preserve"> PAGEREF _Toc516556753 \h </w:instrText>
          </w:r>
          <w:r>
            <w:fldChar w:fldCharType="separate"/>
          </w:r>
          <w:r>
            <w:t>5</w:t>
          </w:r>
          <w:r>
            <w:fldChar w:fldCharType="end"/>
          </w:r>
          <w:r>
            <w:fldChar w:fldCharType="end"/>
          </w:r>
        </w:p>
        <w:p>
          <w:pPr>
            <w:pStyle w:val="12"/>
            <w:ind w:left="0" w:leftChars="0" w:firstLine="0" w:firstLineChars="0"/>
            <w:rPr>
              <w:rFonts w:asciiTheme="minorHAnsi" w:hAnsiTheme="minorHAnsi" w:eastAsiaTheme="minorEastAsia"/>
              <w:sz w:val="21"/>
              <w:szCs w:val="22"/>
            </w:rPr>
          </w:pPr>
          <w:r>
            <w:fldChar w:fldCharType="begin"/>
          </w:r>
          <w:r>
            <w:instrText xml:space="preserve"> HYPERLINK \l "_Toc516556754" </w:instrText>
          </w:r>
          <w:r>
            <w:fldChar w:fldCharType="separate"/>
          </w:r>
          <w:r>
            <w:rPr>
              <w:rStyle w:val="14"/>
            </w:rPr>
            <w:t>7.1 外观</w:t>
          </w:r>
          <w:r>
            <w:tab/>
          </w:r>
          <w:r>
            <w:fldChar w:fldCharType="begin"/>
          </w:r>
          <w:r>
            <w:instrText xml:space="preserve"> PAGEREF _Toc516556754 \h </w:instrText>
          </w:r>
          <w:r>
            <w:fldChar w:fldCharType="separate"/>
          </w:r>
          <w:r>
            <w:t>5</w:t>
          </w:r>
          <w:r>
            <w:fldChar w:fldCharType="end"/>
          </w:r>
          <w:r>
            <w:fldChar w:fldCharType="end"/>
          </w:r>
        </w:p>
        <w:p>
          <w:pPr>
            <w:pStyle w:val="12"/>
            <w:ind w:left="0" w:leftChars="0" w:firstLine="0" w:firstLineChars="0"/>
            <w:rPr>
              <w:rFonts w:asciiTheme="minorHAnsi" w:hAnsiTheme="minorHAnsi" w:eastAsiaTheme="minorEastAsia"/>
              <w:sz w:val="21"/>
              <w:szCs w:val="22"/>
            </w:rPr>
          </w:pPr>
          <w:r>
            <w:fldChar w:fldCharType="begin"/>
          </w:r>
          <w:r>
            <w:instrText xml:space="preserve"> HYPERLINK \l "_Toc516556755" </w:instrText>
          </w:r>
          <w:r>
            <w:fldChar w:fldCharType="separate"/>
          </w:r>
          <w:r>
            <w:rPr>
              <w:rStyle w:val="14"/>
            </w:rPr>
            <w:t>7.2 表面粗糙度</w:t>
          </w:r>
          <w:r>
            <w:tab/>
          </w:r>
          <w:r>
            <w:fldChar w:fldCharType="begin"/>
          </w:r>
          <w:r>
            <w:instrText xml:space="preserve"> PAGEREF _Toc516556755 \h </w:instrText>
          </w:r>
          <w:r>
            <w:fldChar w:fldCharType="separate"/>
          </w:r>
          <w:r>
            <w:t>5</w:t>
          </w:r>
          <w:r>
            <w:fldChar w:fldCharType="end"/>
          </w:r>
          <w:r>
            <w:fldChar w:fldCharType="end"/>
          </w:r>
        </w:p>
        <w:p>
          <w:pPr>
            <w:pStyle w:val="12"/>
            <w:ind w:left="0" w:leftChars="0" w:firstLine="0" w:firstLineChars="0"/>
            <w:rPr>
              <w:rFonts w:asciiTheme="minorHAnsi" w:hAnsiTheme="minorHAnsi" w:eastAsiaTheme="minorEastAsia"/>
              <w:sz w:val="21"/>
              <w:szCs w:val="22"/>
            </w:rPr>
          </w:pPr>
          <w:r>
            <w:fldChar w:fldCharType="begin"/>
          </w:r>
          <w:r>
            <w:instrText xml:space="preserve"> HYPERLINK \l "_Toc516556756" </w:instrText>
          </w:r>
          <w:r>
            <w:fldChar w:fldCharType="separate"/>
          </w:r>
          <w:r>
            <w:rPr>
              <w:rStyle w:val="14"/>
            </w:rPr>
            <w:t>7.3 镀层厚度</w:t>
          </w:r>
          <w:r>
            <w:tab/>
          </w:r>
          <w:r>
            <w:fldChar w:fldCharType="begin"/>
          </w:r>
          <w:r>
            <w:instrText xml:space="preserve"> PAGEREF _Toc516556756 \h </w:instrText>
          </w:r>
          <w:r>
            <w:fldChar w:fldCharType="separate"/>
          </w:r>
          <w:r>
            <w:t>6</w:t>
          </w:r>
          <w:r>
            <w:fldChar w:fldCharType="end"/>
          </w:r>
          <w:r>
            <w:fldChar w:fldCharType="end"/>
          </w:r>
        </w:p>
        <w:p>
          <w:pPr>
            <w:pStyle w:val="12"/>
            <w:ind w:left="0" w:leftChars="0" w:firstLine="0" w:firstLineChars="0"/>
            <w:rPr>
              <w:rFonts w:asciiTheme="minorHAnsi" w:hAnsiTheme="minorHAnsi" w:eastAsiaTheme="minorEastAsia"/>
              <w:sz w:val="21"/>
              <w:szCs w:val="22"/>
            </w:rPr>
          </w:pPr>
          <w:r>
            <w:fldChar w:fldCharType="begin"/>
          </w:r>
          <w:r>
            <w:instrText xml:space="preserve"> HYPERLINK \l "_Toc516556757" </w:instrText>
          </w:r>
          <w:r>
            <w:fldChar w:fldCharType="separate"/>
          </w:r>
          <w:r>
            <w:rPr>
              <w:rStyle w:val="14"/>
            </w:rPr>
            <w:t>7.4 缺陷</w:t>
          </w:r>
          <w:r>
            <w:tab/>
          </w:r>
          <w:r>
            <w:fldChar w:fldCharType="begin"/>
          </w:r>
          <w:r>
            <w:instrText xml:space="preserve"> PAGEREF _Toc516556757 \h </w:instrText>
          </w:r>
          <w:r>
            <w:fldChar w:fldCharType="separate"/>
          </w:r>
          <w:r>
            <w:t>6</w:t>
          </w:r>
          <w:r>
            <w:fldChar w:fldCharType="end"/>
          </w:r>
          <w:r>
            <w:fldChar w:fldCharType="end"/>
          </w:r>
        </w:p>
        <w:p>
          <w:pPr>
            <w:pStyle w:val="11"/>
            <w:rPr>
              <w:rFonts w:asciiTheme="minorHAnsi" w:hAnsiTheme="minorHAnsi" w:eastAsiaTheme="minorEastAsia"/>
              <w:sz w:val="21"/>
              <w:szCs w:val="22"/>
            </w:rPr>
          </w:pPr>
          <w:r>
            <w:fldChar w:fldCharType="begin"/>
          </w:r>
          <w:r>
            <w:instrText xml:space="preserve"> HYPERLINK \l "_Toc516556758" </w:instrText>
          </w:r>
          <w:r>
            <w:fldChar w:fldCharType="separate"/>
          </w:r>
          <w:r>
            <w:rPr>
              <w:rStyle w:val="14"/>
            </w:rPr>
            <w:t>8 校准结果表达</w:t>
          </w:r>
          <w:r>
            <w:tab/>
          </w:r>
          <w:r>
            <w:fldChar w:fldCharType="begin"/>
          </w:r>
          <w:r>
            <w:instrText xml:space="preserve"> PAGEREF _Toc516556758 \h </w:instrText>
          </w:r>
          <w:r>
            <w:fldChar w:fldCharType="separate"/>
          </w:r>
          <w:r>
            <w:t>7</w:t>
          </w:r>
          <w:r>
            <w:fldChar w:fldCharType="end"/>
          </w:r>
          <w:r>
            <w:fldChar w:fldCharType="end"/>
          </w:r>
        </w:p>
        <w:p>
          <w:pPr>
            <w:pStyle w:val="11"/>
            <w:rPr>
              <w:rFonts w:asciiTheme="minorHAnsi" w:hAnsiTheme="minorHAnsi" w:eastAsiaTheme="minorEastAsia"/>
              <w:sz w:val="21"/>
              <w:szCs w:val="22"/>
            </w:rPr>
          </w:pPr>
          <w:r>
            <w:fldChar w:fldCharType="begin"/>
          </w:r>
          <w:r>
            <w:instrText xml:space="preserve"> HYPERLINK \l "_Toc516556759" </w:instrText>
          </w:r>
          <w:r>
            <w:fldChar w:fldCharType="separate"/>
          </w:r>
          <w:r>
            <w:rPr>
              <w:rStyle w:val="14"/>
            </w:rPr>
            <w:t>9 复校时间间隔</w:t>
          </w:r>
          <w:r>
            <w:tab/>
          </w:r>
          <w:r>
            <w:fldChar w:fldCharType="begin"/>
          </w:r>
          <w:r>
            <w:instrText xml:space="preserve"> PAGEREF _Toc516556759 \h </w:instrText>
          </w:r>
          <w:r>
            <w:fldChar w:fldCharType="separate"/>
          </w:r>
          <w:r>
            <w:t>7</w:t>
          </w:r>
          <w:r>
            <w:fldChar w:fldCharType="end"/>
          </w:r>
          <w:r>
            <w:fldChar w:fldCharType="end"/>
          </w:r>
        </w:p>
        <w:p>
          <w:pPr>
            <w:pStyle w:val="11"/>
            <w:rPr>
              <w:rFonts w:asciiTheme="minorHAnsi" w:hAnsiTheme="minorHAnsi" w:eastAsiaTheme="minorEastAsia"/>
              <w:sz w:val="21"/>
              <w:szCs w:val="22"/>
            </w:rPr>
          </w:pPr>
          <w:r>
            <w:fldChar w:fldCharType="begin"/>
          </w:r>
          <w:r>
            <w:instrText xml:space="preserve"> HYPERLINK \l "_Toc516556760" </w:instrText>
          </w:r>
          <w:r>
            <w:fldChar w:fldCharType="separate"/>
          </w:r>
          <w:r>
            <w:rPr>
              <w:rStyle w:val="14"/>
            </w:rPr>
            <w:t>附录 A 渗透检验参考试块裂纹宽度校准结果的测量不确定度评定</w:t>
          </w:r>
          <w:r>
            <w:tab/>
          </w:r>
          <w:r>
            <w:fldChar w:fldCharType="begin"/>
          </w:r>
          <w:r>
            <w:instrText xml:space="preserve"> PAGEREF _Toc516556760 \h </w:instrText>
          </w:r>
          <w:r>
            <w:fldChar w:fldCharType="separate"/>
          </w:r>
          <w:r>
            <w:t>8</w:t>
          </w:r>
          <w:r>
            <w:fldChar w:fldCharType="end"/>
          </w:r>
          <w:r>
            <w:fldChar w:fldCharType="end"/>
          </w:r>
        </w:p>
        <w:p>
          <w:pPr>
            <w:pStyle w:val="11"/>
            <w:rPr>
              <w:rFonts w:asciiTheme="minorHAnsi" w:hAnsiTheme="minorHAnsi" w:eastAsiaTheme="minorEastAsia"/>
              <w:sz w:val="21"/>
              <w:szCs w:val="22"/>
            </w:rPr>
          </w:pPr>
          <w:r>
            <w:fldChar w:fldCharType="begin"/>
          </w:r>
          <w:r>
            <w:instrText xml:space="preserve"> HYPERLINK \l "_Toc516556761" </w:instrText>
          </w:r>
          <w:r>
            <w:fldChar w:fldCharType="separate"/>
          </w:r>
          <w:r>
            <w:rPr>
              <w:rStyle w:val="14"/>
            </w:rPr>
            <w:t xml:space="preserve">附录 B </w:t>
          </w:r>
          <w:r>
            <w:rPr>
              <w:rFonts w:hint="eastAsia"/>
            </w:rPr>
            <w:t>渗透检验参考试块裂纹区长直径校准结果的测量不确定度评定</w:t>
          </w:r>
          <w:r>
            <w:tab/>
          </w:r>
          <w:r>
            <w:fldChar w:fldCharType="begin"/>
          </w:r>
          <w:r>
            <w:instrText xml:space="preserve"> PAGEREF _Toc516556761 \h </w:instrText>
          </w:r>
          <w:r>
            <w:fldChar w:fldCharType="separate"/>
          </w:r>
          <w:r>
            <w:t>10</w:t>
          </w:r>
          <w:r>
            <w:fldChar w:fldCharType="end"/>
          </w:r>
          <w:r>
            <w:fldChar w:fldCharType="end"/>
          </w:r>
        </w:p>
        <w:p>
          <w:pPr>
            <w:pStyle w:val="11"/>
            <w:rPr>
              <w:rFonts w:asciiTheme="minorHAnsi" w:hAnsiTheme="minorHAnsi" w:eastAsiaTheme="minorEastAsia"/>
              <w:sz w:val="21"/>
              <w:szCs w:val="22"/>
            </w:rPr>
          </w:pPr>
          <w:r>
            <w:fldChar w:fldCharType="begin"/>
          </w:r>
          <w:r>
            <w:instrText xml:space="preserve"> HYPERLINK \l "_Toc516556762" </w:instrText>
          </w:r>
          <w:r>
            <w:fldChar w:fldCharType="separate"/>
          </w:r>
          <w:r>
            <w:rPr>
              <w:rStyle w:val="14"/>
            </w:rPr>
            <w:t xml:space="preserve">附录 C </w:t>
          </w:r>
          <w:r>
            <w:rPr>
              <w:rStyle w:val="14"/>
              <w:rFonts w:hint="eastAsia"/>
            </w:rPr>
            <w:t>渗透</w:t>
          </w:r>
          <w:r>
            <w:rPr>
              <w:rStyle w:val="14"/>
            </w:rPr>
            <w:t>检验参考试块镀层厚度校准结果的测量不确定度评定</w:t>
          </w:r>
          <w:r>
            <w:tab/>
          </w:r>
          <w:r>
            <w:fldChar w:fldCharType="begin"/>
          </w:r>
          <w:r>
            <w:instrText xml:space="preserve"> PAGEREF _Toc516556762 \h </w:instrText>
          </w:r>
          <w:r>
            <w:fldChar w:fldCharType="separate"/>
          </w:r>
          <w:r>
            <w:t>13</w:t>
          </w:r>
          <w:r>
            <w:fldChar w:fldCharType="end"/>
          </w:r>
          <w:r>
            <w:fldChar w:fldCharType="end"/>
          </w:r>
        </w:p>
        <w:p>
          <w:pPr>
            <w:pStyle w:val="11"/>
            <w:rPr>
              <w:rFonts w:asciiTheme="minorHAnsi" w:hAnsiTheme="minorHAnsi" w:eastAsiaTheme="minorEastAsia"/>
              <w:sz w:val="21"/>
              <w:szCs w:val="22"/>
            </w:rPr>
          </w:pPr>
          <w:r>
            <w:fldChar w:fldCharType="begin"/>
          </w:r>
          <w:r>
            <w:instrText xml:space="preserve"> HYPERLINK \l "_Toc516556763" </w:instrText>
          </w:r>
          <w:r>
            <w:fldChar w:fldCharType="separate"/>
          </w:r>
          <w:r>
            <w:rPr>
              <w:rStyle w:val="14"/>
            </w:rPr>
            <w:t>附录 D 校准证书内页信息及格式</w:t>
          </w:r>
          <w:r>
            <w:tab/>
          </w:r>
          <w:r>
            <w:fldChar w:fldCharType="begin"/>
          </w:r>
          <w:r>
            <w:instrText xml:space="preserve"> PAGEREF _Toc516556763 \h </w:instrText>
          </w:r>
          <w:r>
            <w:fldChar w:fldCharType="separate"/>
          </w:r>
          <w:r>
            <w:t>16</w:t>
          </w:r>
          <w:r>
            <w:fldChar w:fldCharType="end"/>
          </w:r>
          <w:r>
            <w:fldChar w:fldCharType="end"/>
          </w:r>
        </w:p>
        <w:p>
          <w:pPr>
            <w:ind w:firstLine="0" w:firstLineChars="0"/>
          </w:pPr>
          <w:r>
            <w:fldChar w:fldCharType="end"/>
          </w:r>
        </w:p>
      </w:sdtContent>
    </w:sdt>
    <w:p>
      <w:pPr>
        <w:ind w:firstLine="0" w:firstLineChars="0"/>
      </w:pPr>
    </w:p>
    <w:p/>
    <w:p/>
    <w:p/>
    <w:p>
      <w:pPr>
        <w:sectPr>
          <w:footerReference r:id="rId13" w:type="default"/>
          <w:pgSz w:w="11906" w:h="16838"/>
          <w:pgMar w:top="1588" w:right="851" w:bottom="1361" w:left="1418" w:header="1162" w:footer="567" w:gutter="0"/>
          <w:pgNumType w:fmt="upperRoman" w:start="1"/>
          <w:cols w:space="425" w:num="1"/>
          <w:docGrid w:type="lines" w:linePitch="326" w:charSpace="0"/>
        </w:sectPr>
      </w:pPr>
    </w:p>
    <w:p>
      <w:pPr>
        <w:pStyle w:val="43"/>
      </w:pPr>
      <w:bookmarkStart w:id="4" w:name="_Toc516556741"/>
      <w:bookmarkStart w:id="5" w:name="_Toc478472371"/>
      <w:r>
        <w:rPr>
          <w:rFonts w:hint="eastAsia"/>
          <w:sz w:val="44"/>
        </w:rPr>
        <w:t>引言</w:t>
      </w:r>
      <w:bookmarkEnd w:id="4"/>
      <w:bookmarkEnd w:id="5"/>
    </w:p>
    <w:p>
      <w:pPr>
        <w:rPr>
          <w:rFonts w:ascii="宋体" w:hAnsi="宋体"/>
        </w:rPr>
      </w:pPr>
      <w:r>
        <w:rPr>
          <w:rFonts w:hint="eastAsia" w:ascii="宋体" w:hAnsi="宋体"/>
        </w:rPr>
        <w:t>JJF 1071-2010《国家计量校准规范编写规则》、JJF</w:t>
      </w:r>
      <w:r>
        <w:rPr>
          <w:rFonts w:ascii="宋体" w:hAnsi="宋体"/>
        </w:rPr>
        <w:t xml:space="preserve"> </w:t>
      </w:r>
      <w:r>
        <w:rPr>
          <w:rFonts w:hint="eastAsia" w:ascii="宋体" w:hAnsi="宋体"/>
        </w:rPr>
        <w:t>1001-2011《通用计量术语及定义》、JJF</w:t>
      </w:r>
      <w:r>
        <w:rPr>
          <w:rFonts w:ascii="宋体" w:hAnsi="宋体"/>
        </w:rPr>
        <w:t xml:space="preserve"> </w:t>
      </w:r>
      <w:r>
        <w:rPr>
          <w:rFonts w:hint="eastAsia" w:ascii="宋体" w:hAnsi="宋体"/>
        </w:rPr>
        <w:t>1130-2005《几何量测量设备校准中的不确定度评定指南》、JJF</w:t>
      </w:r>
      <w:r>
        <w:rPr>
          <w:rFonts w:ascii="宋体" w:hAnsi="宋体"/>
        </w:rPr>
        <w:t xml:space="preserve"> </w:t>
      </w:r>
      <w:r>
        <w:rPr>
          <w:rFonts w:hint="eastAsia" w:ascii="宋体" w:hAnsi="宋体"/>
        </w:rPr>
        <w:t>1094-2002《测量仪器特性评定》，共同构成支撑本校准规范制定工作的基础性系列规范。</w:t>
      </w:r>
    </w:p>
    <w:p>
      <w:pPr>
        <w:rPr>
          <w:rFonts w:ascii="宋体" w:hAnsi="宋体"/>
        </w:rPr>
      </w:pPr>
      <w:r>
        <w:rPr>
          <w:rFonts w:hint="eastAsia" w:ascii="宋体" w:hAnsi="宋体"/>
        </w:rPr>
        <w:t>规范编制中参考了以下文件中关于渗透检测参考试块的内容：GB/T</w:t>
      </w:r>
      <w:r>
        <w:rPr>
          <w:rFonts w:ascii="宋体" w:hAnsi="宋体"/>
        </w:rPr>
        <w:t xml:space="preserve"> </w:t>
      </w:r>
      <w:r>
        <w:rPr>
          <w:rFonts w:hint="eastAsia" w:ascii="宋体" w:hAnsi="宋体"/>
        </w:rPr>
        <w:t>12604.3-2013《无损检测 术语 渗透检测》、GB/T</w:t>
      </w:r>
      <w:r>
        <w:rPr>
          <w:rFonts w:ascii="宋体" w:hAnsi="宋体"/>
        </w:rPr>
        <w:t xml:space="preserve"> </w:t>
      </w:r>
      <w:r>
        <w:rPr>
          <w:rFonts w:hint="eastAsia" w:ascii="宋体" w:hAnsi="宋体"/>
        </w:rPr>
        <w:t>18851.1-2012《无损检测 渗透检测 第1部分：总则》、GB/T</w:t>
      </w:r>
      <w:r>
        <w:rPr>
          <w:rFonts w:ascii="宋体" w:hAnsi="宋体"/>
        </w:rPr>
        <w:t xml:space="preserve"> </w:t>
      </w:r>
      <w:r>
        <w:rPr>
          <w:rFonts w:hint="eastAsia" w:ascii="宋体" w:hAnsi="宋体"/>
        </w:rPr>
        <w:t>18851.3-2008《无损检测 渗透检测 第3部分：参考试块》、GB/T</w:t>
      </w:r>
      <w:r>
        <w:rPr>
          <w:rFonts w:ascii="宋体" w:hAnsi="宋体"/>
        </w:rPr>
        <w:t xml:space="preserve"> </w:t>
      </w:r>
      <w:r>
        <w:rPr>
          <w:rFonts w:hint="eastAsia" w:ascii="宋体" w:hAnsi="宋体"/>
        </w:rPr>
        <w:t>23911-</w:t>
      </w:r>
      <w:r>
        <w:rPr>
          <w:rFonts w:ascii="宋体" w:hAnsi="宋体"/>
        </w:rPr>
        <w:t xml:space="preserve"> </w:t>
      </w:r>
      <w:r>
        <w:rPr>
          <w:rFonts w:hint="eastAsia" w:ascii="宋体" w:hAnsi="宋体"/>
        </w:rPr>
        <w:t>2009《无损检测 渗透检测用试块》、GB/T</w:t>
      </w:r>
      <w:r>
        <w:rPr>
          <w:rFonts w:ascii="宋体" w:hAnsi="宋体"/>
        </w:rPr>
        <w:t xml:space="preserve"> </w:t>
      </w:r>
      <w:r>
        <w:rPr>
          <w:rFonts w:hint="eastAsia" w:ascii="宋体" w:hAnsi="宋体"/>
        </w:rPr>
        <w:t>9443-2007《铸钢件渗透检测》、JB/T</w:t>
      </w:r>
      <w:r>
        <w:rPr>
          <w:rFonts w:ascii="宋体" w:hAnsi="宋体"/>
        </w:rPr>
        <w:t xml:space="preserve"> </w:t>
      </w:r>
      <w:r>
        <w:rPr>
          <w:rFonts w:hint="eastAsia" w:ascii="宋体" w:hAnsi="宋体"/>
        </w:rPr>
        <w:t>6064-2015《无损检测 渗透试块通用规范》等相关标准。</w:t>
      </w:r>
    </w:p>
    <w:p>
      <w:pPr>
        <w:rPr>
          <w:rFonts w:ascii="宋体" w:hAnsi="宋体"/>
        </w:rPr>
      </w:pPr>
      <w:r>
        <w:rPr>
          <w:rFonts w:hint="eastAsia" w:ascii="宋体" w:hAnsi="宋体"/>
        </w:rPr>
        <w:t>本规范为首次发布。</w:t>
      </w:r>
    </w:p>
    <w:p>
      <w:pPr>
        <w:pStyle w:val="27"/>
      </w:pPr>
    </w:p>
    <w:p>
      <w:pPr>
        <w:pStyle w:val="27"/>
      </w:pPr>
    </w:p>
    <w:p>
      <w:pPr>
        <w:pStyle w:val="27"/>
      </w:pPr>
    </w:p>
    <w:p>
      <w:pPr>
        <w:pStyle w:val="27"/>
      </w:pPr>
    </w:p>
    <w:p>
      <w:pPr>
        <w:pStyle w:val="27"/>
      </w:pPr>
    </w:p>
    <w:p>
      <w:pPr>
        <w:pStyle w:val="27"/>
      </w:pPr>
    </w:p>
    <w:p>
      <w:pPr>
        <w:pStyle w:val="27"/>
      </w:pPr>
    </w:p>
    <w:p/>
    <w:p>
      <w:pPr>
        <w:sectPr>
          <w:footerReference r:id="rId14" w:type="even"/>
          <w:pgSz w:w="11906" w:h="16838"/>
          <w:pgMar w:top="1588" w:right="1418" w:bottom="1361" w:left="1247" w:header="1191" w:footer="567" w:gutter="0"/>
          <w:pgNumType w:fmt="upperRoman"/>
          <w:cols w:space="425" w:num="1"/>
          <w:docGrid w:type="lines" w:linePitch="326" w:charSpace="0"/>
        </w:sectPr>
      </w:pPr>
    </w:p>
    <w:p>
      <w:pPr>
        <w:pStyle w:val="46"/>
      </w:pPr>
      <w:r>
        <w:rPr>
          <w:rFonts w:hint="eastAsia"/>
        </w:rPr>
        <w:t>渗透检验参考试块校准规范</w:t>
      </w:r>
    </w:p>
    <w:p>
      <w:pPr>
        <w:pStyle w:val="2"/>
      </w:pPr>
      <w:bookmarkStart w:id="6" w:name="_Toc478472372"/>
      <w:bookmarkStart w:id="7" w:name="_Toc516556742"/>
      <w:r>
        <w:rPr>
          <w:rFonts w:hint="eastAsia"/>
        </w:rPr>
        <w:t>范围</w:t>
      </w:r>
      <w:bookmarkEnd w:id="6"/>
      <w:bookmarkEnd w:id="7"/>
    </w:p>
    <w:p>
      <w:r>
        <w:rPr>
          <w:rFonts w:hint="eastAsia"/>
        </w:rPr>
        <w:t>本规范适用于无损检测渗透检验参考试块的校准。</w:t>
      </w:r>
    </w:p>
    <w:p>
      <w:pPr>
        <w:pStyle w:val="2"/>
      </w:pPr>
      <w:bookmarkStart w:id="8" w:name="_Toc478472373"/>
      <w:bookmarkStart w:id="9" w:name="_Toc516556743"/>
      <w:r>
        <w:rPr>
          <w:rFonts w:hint="eastAsia"/>
        </w:rPr>
        <w:t>引用文件</w:t>
      </w:r>
      <w:bookmarkEnd w:id="8"/>
      <w:bookmarkEnd w:id="9"/>
    </w:p>
    <w:p>
      <w:r>
        <w:rPr>
          <w:rFonts w:hint="eastAsia"/>
        </w:rPr>
        <w:t>本规范引用下列文件：</w:t>
      </w:r>
    </w:p>
    <w:p>
      <w:r>
        <w:rPr>
          <w:rFonts w:hint="eastAsia"/>
        </w:rPr>
        <w:t>GB/T</w:t>
      </w:r>
      <w:r>
        <w:t xml:space="preserve"> </w:t>
      </w:r>
      <w:r>
        <w:rPr>
          <w:rFonts w:hint="eastAsia"/>
        </w:rPr>
        <w:t>18851.3-2008</w:t>
      </w:r>
      <w:r>
        <w:t xml:space="preserve"> </w:t>
      </w:r>
      <w:r>
        <w:rPr>
          <w:rFonts w:hint="eastAsia"/>
        </w:rPr>
        <w:t>无损检测 渗透检测 第3部分：参考试块</w:t>
      </w:r>
    </w:p>
    <w:p>
      <w:r>
        <w:rPr>
          <w:rFonts w:hint="eastAsia"/>
        </w:rPr>
        <w:t>JB/T</w:t>
      </w:r>
      <w:r>
        <w:t xml:space="preserve"> </w:t>
      </w:r>
      <w:r>
        <w:rPr>
          <w:rFonts w:hint="eastAsia"/>
        </w:rPr>
        <w:t>6064-2015</w:t>
      </w:r>
      <w:r>
        <w:t xml:space="preserve"> </w:t>
      </w:r>
      <w:r>
        <w:rPr>
          <w:rFonts w:hint="eastAsia"/>
        </w:rPr>
        <w:t>无损检测 渗透试块通用规范</w:t>
      </w:r>
    </w:p>
    <w:p>
      <w:r>
        <w:rPr>
          <w:rFonts w:hint="eastAsia"/>
        </w:rPr>
        <w:t>G</w:t>
      </w:r>
      <w:r>
        <w:t xml:space="preserve">B/T 7325-2004 </w:t>
      </w:r>
      <w:r>
        <w:rPr>
          <w:rFonts w:hint="eastAsia"/>
        </w:rPr>
        <w:t>产品几何量技术规范（GPS）评定圆度误差的方法半径变化量测量</w:t>
      </w:r>
    </w:p>
    <w:p>
      <w:r>
        <w:rPr>
          <w:rFonts w:hint="eastAsia"/>
        </w:rPr>
        <w:t>凡是注日期的引用文件，仅注日期的版本适用于本规范；凡是不注日期的引用文件，其最新版本（包括所有的修订单）适用于本规范。</w:t>
      </w:r>
    </w:p>
    <w:p>
      <w:pPr>
        <w:pStyle w:val="2"/>
      </w:pPr>
      <w:bookmarkStart w:id="10" w:name="_Toc516556744"/>
      <w:bookmarkStart w:id="11" w:name="_Toc478472374"/>
      <w:r>
        <w:rPr>
          <w:rFonts w:hint="eastAsia"/>
        </w:rPr>
        <w:t>概述</w:t>
      </w:r>
      <w:bookmarkEnd w:id="10"/>
      <w:bookmarkEnd w:id="11"/>
    </w:p>
    <w:p>
      <w:r>
        <w:rPr>
          <w:rFonts w:hint="eastAsia"/>
        </w:rPr>
        <w:t>渗透检验参考试块（以下简称试块） 是一种表面镀膜，通过施加拉伸载荷或用专用压头施压以及其他方式使其产生预定人工缺陷的金属长方体，用于检验渗透剂灵敏度是否满足检验要求，验证操作工艺正确性，以及比较两种渗透检测剂性能的差异。</w:t>
      </w:r>
    </w:p>
    <w:p>
      <w:r>
        <w:rPr>
          <w:rFonts w:hint="eastAsia"/>
        </w:rPr>
        <w:t>试块均为长方体试块，分为国标试块和机标试块。国标试块分为国标1型试块和国标2型试块，外形示意图如</w:t>
      </w:r>
      <w:r>
        <w:fldChar w:fldCharType="begin"/>
      </w:r>
      <w:r>
        <w:instrText xml:space="preserve"> </w:instrText>
      </w:r>
      <w:r>
        <w:rPr>
          <w:rFonts w:hint="eastAsia"/>
        </w:rPr>
        <w:instrText xml:space="preserve">REF _Ref478474322 \h</w:instrText>
      </w:r>
      <w:r>
        <w:instrText xml:space="preserve"> </w:instrText>
      </w:r>
      <w:r>
        <w:fldChar w:fldCharType="separate"/>
      </w:r>
      <w:r>
        <w:rPr>
          <w:rFonts w:hint="eastAsia" w:ascii="宋体" w:hAnsi="宋体"/>
        </w:rPr>
        <w:t>图</w:t>
      </w:r>
      <w:r>
        <w:rPr>
          <w:rFonts w:ascii="宋体" w:hAnsi="宋体"/>
        </w:rPr>
        <w:t>1</w:t>
      </w:r>
      <w:r>
        <w:fldChar w:fldCharType="end"/>
      </w:r>
      <w:r>
        <w:rPr>
          <w:rFonts w:hint="eastAsia"/>
        </w:rPr>
        <w:t>和</w:t>
      </w:r>
      <w:r>
        <w:fldChar w:fldCharType="begin"/>
      </w:r>
      <w:r>
        <w:instrText xml:space="preserve"> </w:instrText>
      </w:r>
      <w:r>
        <w:rPr>
          <w:rFonts w:hint="eastAsia"/>
        </w:rPr>
        <w:instrText xml:space="preserve">REF _Ref478474325 \h</w:instrText>
      </w:r>
      <w:r>
        <w:instrText xml:space="preserve"> </w:instrText>
      </w:r>
      <w:r>
        <w:fldChar w:fldCharType="separate"/>
      </w:r>
      <w:r>
        <w:rPr>
          <w:rFonts w:hint="eastAsia" w:ascii="宋体" w:hAnsi="宋体"/>
        </w:rPr>
        <w:t>图</w:t>
      </w:r>
      <w:r>
        <w:rPr>
          <w:rFonts w:ascii="宋体" w:hAnsi="宋体"/>
        </w:rPr>
        <w:t>2</w:t>
      </w:r>
      <w:r>
        <w:fldChar w:fldCharType="end"/>
      </w:r>
      <w:r>
        <w:rPr>
          <w:rFonts w:hint="eastAsia"/>
        </w:rPr>
        <w:t>所示，详细规定见GB/T</w:t>
      </w:r>
      <w:r>
        <w:t xml:space="preserve"> </w:t>
      </w:r>
      <w:r>
        <w:rPr>
          <w:rFonts w:hint="eastAsia"/>
        </w:rPr>
        <w:t>18</w:t>
      </w:r>
      <w:r>
        <w:t>8</w:t>
      </w:r>
      <w:r>
        <w:rPr>
          <w:rFonts w:hint="eastAsia"/>
        </w:rPr>
        <w:t>51.3-2008。机标试块分为机标A型、机标B型和机标C型试块，外形示意图如</w:t>
      </w:r>
      <w:r>
        <w:fldChar w:fldCharType="begin"/>
      </w:r>
      <w:r>
        <w:instrText xml:space="preserve"> </w:instrText>
      </w:r>
      <w:r>
        <w:rPr>
          <w:rFonts w:hint="eastAsia"/>
        </w:rPr>
        <w:instrText xml:space="preserve">REF _Ref478474330 \h</w:instrText>
      </w:r>
      <w:r>
        <w:instrText xml:space="preserve">  \* MERGEFORMAT </w:instrText>
      </w:r>
      <w:r>
        <w:fldChar w:fldCharType="separate"/>
      </w:r>
      <w:r>
        <w:rPr>
          <w:rFonts w:hint="eastAsia"/>
        </w:rPr>
        <w:t>图</w:t>
      </w:r>
      <w:r>
        <w:t>3</w:t>
      </w:r>
      <w:r>
        <w:fldChar w:fldCharType="end"/>
      </w:r>
      <w:r>
        <w:rPr>
          <w:rFonts w:hint="eastAsia"/>
        </w:rPr>
        <w:t>、</w:t>
      </w:r>
      <w:r>
        <w:fldChar w:fldCharType="begin"/>
      </w:r>
      <w:r>
        <w:instrText xml:space="preserve"> </w:instrText>
      </w:r>
      <w:r>
        <w:rPr>
          <w:rFonts w:hint="eastAsia"/>
        </w:rPr>
        <w:instrText xml:space="preserve">REF _Ref478474337 \h</w:instrText>
      </w:r>
      <w:r>
        <w:instrText xml:space="preserve">  \* MERGEFORMAT </w:instrText>
      </w:r>
      <w:r>
        <w:fldChar w:fldCharType="separate"/>
      </w:r>
      <w:r>
        <w:rPr>
          <w:rFonts w:hint="eastAsia"/>
        </w:rPr>
        <w:t>图</w:t>
      </w:r>
      <w:r>
        <w:t>4</w:t>
      </w:r>
      <w:r>
        <w:fldChar w:fldCharType="end"/>
      </w:r>
      <w:r>
        <w:rPr>
          <w:rFonts w:hint="eastAsia"/>
        </w:rPr>
        <w:t>、</w:t>
      </w:r>
      <w:r>
        <w:fldChar w:fldCharType="begin"/>
      </w:r>
      <w:r>
        <w:instrText xml:space="preserve"> </w:instrText>
      </w:r>
      <w:r>
        <w:rPr>
          <w:rFonts w:hint="eastAsia"/>
        </w:rPr>
        <w:instrText xml:space="preserve">REF _Ref478474341 \h</w:instrText>
      </w:r>
      <w:r>
        <w:instrText xml:space="preserve"> </w:instrText>
      </w:r>
      <w:r>
        <w:fldChar w:fldCharType="separate"/>
      </w:r>
      <w:r>
        <w:rPr>
          <w:rFonts w:hint="eastAsia" w:ascii="宋体" w:hAnsi="宋体"/>
        </w:rPr>
        <w:t>图</w:t>
      </w:r>
      <w:r>
        <w:rPr>
          <w:rFonts w:ascii="宋体" w:hAnsi="宋体"/>
        </w:rPr>
        <w:t>5</w:t>
      </w:r>
      <w:r>
        <w:fldChar w:fldCharType="end"/>
      </w:r>
      <w:r>
        <w:rPr>
          <w:rFonts w:hint="eastAsia"/>
        </w:rPr>
        <w:t>和</w:t>
      </w:r>
      <w:r>
        <w:fldChar w:fldCharType="begin"/>
      </w:r>
      <w:r>
        <w:instrText xml:space="preserve"> </w:instrText>
      </w:r>
      <w:r>
        <w:rPr>
          <w:rFonts w:hint="eastAsia"/>
        </w:rPr>
        <w:instrText xml:space="preserve">REF _Ref478474346 \h</w:instrText>
      </w:r>
      <w:r>
        <w:instrText xml:space="preserve"> </w:instrText>
      </w:r>
      <w:r>
        <w:fldChar w:fldCharType="separate"/>
      </w:r>
      <w:r>
        <w:rPr>
          <w:rFonts w:hint="eastAsia" w:ascii="宋体" w:hAnsi="宋体"/>
        </w:rPr>
        <w:t>图</w:t>
      </w:r>
      <w:r>
        <w:rPr>
          <w:rFonts w:ascii="宋体" w:hAnsi="宋体"/>
        </w:rPr>
        <w:t>6</w:t>
      </w:r>
      <w:r>
        <w:fldChar w:fldCharType="end"/>
      </w:r>
      <w:r>
        <w:rPr>
          <w:rFonts w:hint="eastAsia"/>
        </w:rPr>
        <w:t>所示，详细规定见JB/T</w:t>
      </w:r>
      <w:r>
        <w:t xml:space="preserve"> </w:t>
      </w:r>
      <w:r>
        <w:rPr>
          <w:rFonts w:hint="eastAsia"/>
        </w:rPr>
        <w:t>6064-2015。</w:t>
      </w:r>
    </w:p>
    <w:p>
      <w:pPr>
        <w:spacing w:line="240" w:lineRule="auto"/>
        <w:ind w:firstLine="0" w:firstLineChars="0"/>
        <w:jc w:val="center"/>
      </w:pPr>
      <w:r>
        <w:drawing>
          <wp:inline distT="0" distB="0" distL="0" distR="0">
            <wp:extent cx="3282315" cy="2036445"/>
            <wp:effectExtent l="0" t="0" r="0" b="190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pic:cNvPicPr>
                  </pic:nvPicPr>
                  <pic:blipFill>
                    <a:blip r:embed="rId21"/>
                    <a:stretch>
                      <a:fillRect/>
                    </a:stretch>
                  </pic:blipFill>
                  <pic:spPr>
                    <a:xfrm>
                      <a:off x="0" y="0"/>
                      <a:ext cx="3299419" cy="2047234"/>
                    </a:xfrm>
                    <a:prstGeom prst="rect">
                      <a:avLst/>
                    </a:prstGeom>
                  </pic:spPr>
                </pic:pic>
              </a:graphicData>
            </a:graphic>
          </wp:inline>
        </w:drawing>
      </w:r>
    </w:p>
    <w:p>
      <w:pPr>
        <w:pStyle w:val="49"/>
        <w:rPr>
          <w:rFonts w:ascii="宋体" w:hAnsi="宋体"/>
        </w:rPr>
      </w:pPr>
      <w:bookmarkStart w:id="12" w:name="_Ref478474322"/>
      <w:r>
        <w:rPr>
          <w:rFonts w:hint="eastAsia" w:ascii="宋体" w:hAnsi="宋体"/>
        </w:rPr>
        <w:t>图</w:t>
      </w:r>
      <w:r>
        <w:rPr>
          <w:rFonts w:ascii="宋体" w:hAnsi="宋体"/>
        </w:rPr>
        <w:fldChar w:fldCharType="begin"/>
      </w:r>
      <w:r>
        <w:rPr>
          <w:rFonts w:ascii="宋体" w:hAnsi="宋体"/>
        </w:rPr>
        <w:instrText xml:space="preserve"> </w:instrText>
      </w:r>
      <w:r>
        <w:rPr>
          <w:rFonts w:hint="eastAsia" w:ascii="宋体" w:hAnsi="宋体"/>
        </w:rPr>
        <w:instrText xml:space="preserve">SEQ 图 \* ARABIC</w:instrText>
      </w:r>
      <w:r>
        <w:rPr>
          <w:rFonts w:ascii="宋体" w:hAnsi="宋体"/>
        </w:rPr>
        <w:instrText xml:space="preserve"> </w:instrText>
      </w:r>
      <w:r>
        <w:rPr>
          <w:rFonts w:ascii="宋体" w:hAnsi="宋体"/>
        </w:rPr>
        <w:fldChar w:fldCharType="separate"/>
      </w:r>
      <w:r>
        <w:rPr>
          <w:rFonts w:ascii="宋体" w:hAnsi="宋体"/>
        </w:rPr>
        <w:t>1</w:t>
      </w:r>
      <w:r>
        <w:rPr>
          <w:rFonts w:ascii="宋体" w:hAnsi="宋体"/>
        </w:rPr>
        <w:fldChar w:fldCharType="end"/>
      </w:r>
      <w:bookmarkEnd w:id="12"/>
      <w:r>
        <w:rPr>
          <w:rFonts w:ascii="宋体" w:hAnsi="宋体"/>
        </w:rPr>
        <w:t xml:space="preserve">  </w:t>
      </w:r>
      <w:r>
        <w:rPr>
          <w:rFonts w:hint="eastAsia" w:ascii="宋体" w:hAnsi="宋体"/>
        </w:rPr>
        <w:t>国标1型</w:t>
      </w:r>
    </w:p>
    <w:p>
      <w:pPr>
        <w:spacing w:line="240" w:lineRule="auto"/>
        <w:ind w:firstLine="0" w:firstLineChars="0"/>
        <w:jc w:val="center"/>
      </w:pPr>
      <w:r>
        <w:drawing>
          <wp:inline distT="0" distB="0" distL="0" distR="0">
            <wp:extent cx="4231640" cy="2853690"/>
            <wp:effectExtent l="0" t="0" r="0" b="381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pic:cNvPicPr>
                      <a:picLocks noChangeAspect="1"/>
                    </pic:cNvPicPr>
                  </pic:nvPicPr>
                  <pic:blipFill>
                    <a:blip r:embed="rId22"/>
                    <a:stretch>
                      <a:fillRect/>
                    </a:stretch>
                  </pic:blipFill>
                  <pic:spPr>
                    <a:xfrm>
                      <a:off x="0" y="0"/>
                      <a:ext cx="4245396" cy="2863395"/>
                    </a:xfrm>
                    <a:prstGeom prst="rect">
                      <a:avLst/>
                    </a:prstGeom>
                  </pic:spPr>
                </pic:pic>
              </a:graphicData>
            </a:graphic>
          </wp:inline>
        </w:drawing>
      </w:r>
    </w:p>
    <w:p>
      <w:pPr>
        <w:pStyle w:val="49"/>
        <w:rPr>
          <w:rFonts w:ascii="宋体" w:hAnsi="宋体"/>
        </w:rPr>
      </w:pPr>
      <w:bookmarkStart w:id="13" w:name="_Ref478474325"/>
      <w:r>
        <w:rPr>
          <w:rFonts w:hint="eastAsia" w:ascii="宋体" w:hAnsi="宋体"/>
        </w:rPr>
        <w:t>图</w:t>
      </w:r>
      <w:r>
        <w:rPr>
          <w:rFonts w:ascii="宋体" w:hAnsi="宋体"/>
        </w:rPr>
        <w:fldChar w:fldCharType="begin"/>
      </w:r>
      <w:r>
        <w:rPr>
          <w:rFonts w:ascii="宋体" w:hAnsi="宋体"/>
        </w:rPr>
        <w:instrText xml:space="preserve"> </w:instrText>
      </w:r>
      <w:r>
        <w:rPr>
          <w:rFonts w:hint="eastAsia" w:ascii="宋体" w:hAnsi="宋体"/>
        </w:rPr>
        <w:instrText xml:space="preserve">SEQ 图 \* ARABIC</w:instrText>
      </w:r>
      <w:r>
        <w:rPr>
          <w:rFonts w:ascii="宋体" w:hAnsi="宋体"/>
        </w:rPr>
        <w:instrText xml:space="preserve"> </w:instrText>
      </w:r>
      <w:r>
        <w:rPr>
          <w:rFonts w:ascii="宋体" w:hAnsi="宋体"/>
        </w:rPr>
        <w:fldChar w:fldCharType="separate"/>
      </w:r>
      <w:r>
        <w:rPr>
          <w:rFonts w:ascii="宋体" w:hAnsi="宋体"/>
        </w:rPr>
        <w:t>2</w:t>
      </w:r>
      <w:r>
        <w:rPr>
          <w:rFonts w:ascii="宋体" w:hAnsi="宋体"/>
        </w:rPr>
        <w:fldChar w:fldCharType="end"/>
      </w:r>
      <w:bookmarkEnd w:id="13"/>
      <w:r>
        <w:rPr>
          <w:rFonts w:ascii="宋体" w:hAnsi="宋体"/>
        </w:rPr>
        <w:t xml:space="preserve">  </w:t>
      </w:r>
      <w:r>
        <w:rPr>
          <w:rFonts w:hint="eastAsia" w:ascii="宋体" w:hAnsi="宋体"/>
        </w:rPr>
        <w:t>国标2型</w:t>
      </w:r>
    </w:p>
    <w:p>
      <w:pPr>
        <w:spacing w:line="240" w:lineRule="auto"/>
        <w:ind w:firstLine="0" w:firstLineChars="0"/>
        <w:jc w:val="center"/>
        <w:rPr>
          <w:rFonts w:ascii="宋体" w:hAnsi="宋体"/>
        </w:rPr>
      </w:pPr>
      <w:r>
        <w:drawing>
          <wp:inline distT="0" distB="0" distL="0" distR="0">
            <wp:extent cx="3030220" cy="4519930"/>
            <wp:effectExtent l="0" t="0" r="0" b="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28"/>
                    <pic:cNvPicPr>
                      <a:picLocks noChangeAspect="1"/>
                    </pic:cNvPicPr>
                  </pic:nvPicPr>
                  <pic:blipFill>
                    <a:blip r:embed="rId23"/>
                    <a:stretch>
                      <a:fillRect/>
                    </a:stretch>
                  </pic:blipFill>
                  <pic:spPr>
                    <a:xfrm>
                      <a:off x="0" y="0"/>
                      <a:ext cx="3055489" cy="4558085"/>
                    </a:xfrm>
                    <a:prstGeom prst="rect">
                      <a:avLst/>
                    </a:prstGeom>
                  </pic:spPr>
                </pic:pic>
              </a:graphicData>
            </a:graphic>
          </wp:inline>
        </w:drawing>
      </w:r>
      <w:r>
        <w:rPr/>
        <w:br w:type="textWrapping" w:clear="all"/>
      </w:r>
      <w:bookmarkStart w:id="14" w:name="_Ref478474330"/>
      <w:r>
        <w:rPr>
          <w:rFonts w:hint="eastAsia" w:ascii="宋体" w:hAnsi="宋体"/>
          <w:sz w:val="21"/>
        </w:rPr>
        <w:t>图</w:t>
      </w:r>
      <w:r>
        <w:rPr>
          <w:rFonts w:ascii="宋体" w:hAnsi="宋体"/>
          <w:sz w:val="21"/>
        </w:rPr>
        <w:fldChar w:fldCharType="begin"/>
      </w:r>
      <w:r>
        <w:rPr>
          <w:rFonts w:ascii="宋体" w:hAnsi="宋体"/>
          <w:sz w:val="21"/>
        </w:rPr>
        <w:instrText xml:space="preserve"> </w:instrText>
      </w:r>
      <w:r>
        <w:rPr>
          <w:rFonts w:hint="eastAsia" w:ascii="宋体" w:hAnsi="宋体"/>
          <w:sz w:val="21"/>
        </w:rPr>
        <w:instrText xml:space="preserve">SEQ 图 \* ARABIC</w:instrText>
      </w:r>
      <w:r>
        <w:rPr>
          <w:rFonts w:ascii="宋体" w:hAnsi="宋体"/>
          <w:sz w:val="21"/>
        </w:rPr>
        <w:instrText xml:space="preserve"> </w:instrText>
      </w:r>
      <w:r>
        <w:rPr>
          <w:rFonts w:ascii="宋体" w:hAnsi="宋体"/>
          <w:sz w:val="21"/>
        </w:rPr>
        <w:fldChar w:fldCharType="separate"/>
      </w:r>
      <w:r>
        <w:rPr>
          <w:rFonts w:ascii="宋体" w:hAnsi="宋体"/>
          <w:sz w:val="21"/>
        </w:rPr>
        <w:t>3</w:t>
      </w:r>
      <w:r>
        <w:rPr>
          <w:rFonts w:ascii="宋体" w:hAnsi="宋体"/>
          <w:sz w:val="21"/>
        </w:rPr>
        <w:fldChar w:fldCharType="end"/>
      </w:r>
      <w:bookmarkEnd w:id="14"/>
      <w:r>
        <w:rPr>
          <w:rFonts w:ascii="宋体" w:hAnsi="宋体"/>
          <w:sz w:val="21"/>
        </w:rPr>
        <w:t xml:space="preserve">  </w:t>
      </w:r>
      <w:r>
        <w:rPr>
          <w:rFonts w:hint="eastAsia" w:ascii="宋体" w:hAnsi="宋体"/>
          <w:sz w:val="21"/>
        </w:rPr>
        <w:t>机标A型试块</w:t>
      </w:r>
    </w:p>
    <w:p>
      <w:pPr>
        <w:spacing w:line="240" w:lineRule="auto"/>
        <w:ind w:firstLine="0" w:firstLineChars="0"/>
        <w:jc w:val="center"/>
      </w:pPr>
    </w:p>
    <w:p>
      <w:pPr>
        <w:spacing w:line="240" w:lineRule="auto"/>
        <w:ind w:firstLine="0" w:firstLineChars="0"/>
        <w:jc w:val="center"/>
      </w:pPr>
      <w:r>
        <w:rPr>
          <w:rFonts w:hint="eastAsia"/>
        </w:rPr>
        <w:t xml:space="preserve"> </w:t>
      </w:r>
      <w:r>
        <w:t xml:space="preserve">  </w:t>
      </w:r>
      <w:r>
        <w:drawing>
          <wp:inline distT="0" distB="0" distL="0" distR="0">
            <wp:extent cx="4201795" cy="3087370"/>
            <wp:effectExtent l="0" t="0" r="8255"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pic:cNvPicPr>
                      <a:picLocks noChangeAspect="1"/>
                    </pic:cNvPicPr>
                  </pic:nvPicPr>
                  <pic:blipFill>
                    <a:blip r:embed="rId24"/>
                    <a:stretch>
                      <a:fillRect/>
                    </a:stretch>
                  </pic:blipFill>
                  <pic:spPr>
                    <a:xfrm>
                      <a:off x="0" y="0"/>
                      <a:ext cx="4213658" cy="3096052"/>
                    </a:xfrm>
                    <a:prstGeom prst="rect">
                      <a:avLst/>
                    </a:prstGeom>
                  </pic:spPr>
                </pic:pic>
              </a:graphicData>
            </a:graphic>
          </wp:inline>
        </w:drawing>
      </w:r>
    </w:p>
    <w:p>
      <w:pPr>
        <w:pStyle w:val="49"/>
        <w:rPr>
          <w:rFonts w:ascii="宋体" w:hAnsi="宋体"/>
        </w:rPr>
      </w:pPr>
      <w:bookmarkStart w:id="15" w:name="_Ref478474337"/>
      <w:r>
        <w:rPr>
          <w:rFonts w:hint="eastAsia" w:ascii="宋体" w:hAnsi="宋体"/>
        </w:rPr>
        <w:t>图</w:t>
      </w:r>
      <w:r>
        <w:rPr>
          <w:rFonts w:ascii="宋体" w:hAnsi="宋体"/>
        </w:rPr>
        <w:fldChar w:fldCharType="begin"/>
      </w:r>
      <w:r>
        <w:rPr>
          <w:rFonts w:ascii="宋体" w:hAnsi="宋体"/>
        </w:rPr>
        <w:instrText xml:space="preserve"> </w:instrText>
      </w:r>
      <w:r>
        <w:rPr>
          <w:rFonts w:hint="eastAsia" w:ascii="宋体" w:hAnsi="宋体"/>
        </w:rPr>
        <w:instrText xml:space="preserve">SEQ 图 \* ARABIC</w:instrText>
      </w:r>
      <w:r>
        <w:rPr>
          <w:rFonts w:ascii="宋体" w:hAnsi="宋体"/>
        </w:rPr>
        <w:instrText xml:space="preserve"> </w:instrText>
      </w:r>
      <w:r>
        <w:rPr>
          <w:rFonts w:ascii="宋体" w:hAnsi="宋体"/>
        </w:rPr>
        <w:fldChar w:fldCharType="separate"/>
      </w:r>
      <w:r>
        <w:rPr>
          <w:rFonts w:ascii="宋体" w:hAnsi="宋体"/>
        </w:rPr>
        <w:t>4</w:t>
      </w:r>
      <w:r>
        <w:rPr>
          <w:rFonts w:ascii="宋体" w:hAnsi="宋体"/>
        </w:rPr>
        <w:fldChar w:fldCharType="end"/>
      </w:r>
      <w:bookmarkEnd w:id="15"/>
      <w:r>
        <w:rPr>
          <w:rFonts w:ascii="宋体" w:hAnsi="宋体"/>
        </w:rPr>
        <w:t xml:space="preserve">  </w:t>
      </w:r>
      <w:r>
        <w:rPr>
          <w:rFonts w:hint="eastAsia" w:ascii="宋体" w:hAnsi="宋体"/>
        </w:rPr>
        <w:t>机标五点式B型试块</w:t>
      </w:r>
    </w:p>
    <w:p>
      <w:pPr>
        <w:spacing w:line="240" w:lineRule="auto"/>
        <w:ind w:firstLine="0" w:firstLineChars="0"/>
        <w:jc w:val="center"/>
      </w:pPr>
      <w:r>
        <w:drawing>
          <wp:inline distT="0" distB="0" distL="0" distR="0">
            <wp:extent cx="3670300" cy="1221740"/>
            <wp:effectExtent l="0" t="0" r="6350" b="0"/>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图片 30"/>
                    <pic:cNvPicPr>
                      <a:picLocks noChangeAspect="1"/>
                    </pic:cNvPicPr>
                  </pic:nvPicPr>
                  <pic:blipFill>
                    <a:blip r:embed="rId25"/>
                    <a:stretch>
                      <a:fillRect/>
                    </a:stretch>
                  </pic:blipFill>
                  <pic:spPr>
                    <a:xfrm>
                      <a:off x="0" y="0"/>
                      <a:ext cx="3720875" cy="1238701"/>
                    </a:xfrm>
                    <a:prstGeom prst="rect">
                      <a:avLst/>
                    </a:prstGeom>
                  </pic:spPr>
                </pic:pic>
              </a:graphicData>
            </a:graphic>
          </wp:inline>
        </w:drawing>
      </w:r>
    </w:p>
    <w:p>
      <w:pPr>
        <w:pStyle w:val="49"/>
        <w:rPr>
          <w:rFonts w:ascii="宋体" w:hAnsi="宋体"/>
        </w:rPr>
      </w:pPr>
      <w:bookmarkStart w:id="16" w:name="_Ref478474341"/>
      <w:r>
        <w:rPr>
          <w:rFonts w:hint="eastAsia" w:ascii="宋体" w:hAnsi="宋体"/>
        </w:rPr>
        <w:t>图</w:t>
      </w:r>
      <w:r>
        <w:rPr>
          <w:rFonts w:ascii="宋体" w:hAnsi="宋体"/>
        </w:rPr>
        <w:fldChar w:fldCharType="begin"/>
      </w:r>
      <w:r>
        <w:rPr>
          <w:rFonts w:ascii="宋体" w:hAnsi="宋体"/>
        </w:rPr>
        <w:instrText xml:space="preserve"> </w:instrText>
      </w:r>
      <w:r>
        <w:rPr>
          <w:rFonts w:hint="eastAsia" w:ascii="宋体" w:hAnsi="宋体"/>
        </w:rPr>
        <w:instrText xml:space="preserve">SEQ 图 \* ARABIC</w:instrText>
      </w:r>
      <w:r>
        <w:rPr>
          <w:rFonts w:ascii="宋体" w:hAnsi="宋体"/>
        </w:rPr>
        <w:instrText xml:space="preserve"> </w:instrText>
      </w:r>
      <w:r>
        <w:rPr>
          <w:rFonts w:ascii="宋体" w:hAnsi="宋体"/>
        </w:rPr>
        <w:fldChar w:fldCharType="separate"/>
      </w:r>
      <w:r>
        <w:rPr>
          <w:rFonts w:ascii="宋体" w:hAnsi="宋体"/>
        </w:rPr>
        <w:t>5</w:t>
      </w:r>
      <w:r>
        <w:rPr>
          <w:rFonts w:ascii="宋体" w:hAnsi="宋体"/>
        </w:rPr>
        <w:fldChar w:fldCharType="end"/>
      </w:r>
      <w:bookmarkEnd w:id="16"/>
      <w:r>
        <w:rPr>
          <w:rFonts w:ascii="宋体" w:hAnsi="宋体"/>
        </w:rPr>
        <w:t xml:space="preserve">  </w:t>
      </w:r>
      <w:r>
        <w:rPr>
          <w:rFonts w:hint="eastAsia" w:ascii="宋体" w:hAnsi="宋体"/>
        </w:rPr>
        <w:t>机标三点式B型试块</w:t>
      </w:r>
    </w:p>
    <w:p>
      <w:pPr>
        <w:spacing w:line="240" w:lineRule="auto"/>
        <w:ind w:firstLine="0" w:firstLineChars="0"/>
        <w:jc w:val="center"/>
      </w:pPr>
      <w:r>
        <w:drawing>
          <wp:inline distT="0" distB="0" distL="0" distR="0">
            <wp:extent cx="3442335" cy="2139315"/>
            <wp:effectExtent l="0" t="0" r="5715" b="0"/>
            <wp:docPr id="3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图片 31"/>
                    <pic:cNvPicPr>
                      <a:picLocks noChangeAspect="1"/>
                    </pic:cNvPicPr>
                  </pic:nvPicPr>
                  <pic:blipFill>
                    <a:blip r:embed="rId26"/>
                    <a:stretch>
                      <a:fillRect/>
                    </a:stretch>
                  </pic:blipFill>
                  <pic:spPr>
                    <a:xfrm>
                      <a:off x="0" y="0"/>
                      <a:ext cx="3461674" cy="2151241"/>
                    </a:xfrm>
                    <a:prstGeom prst="rect">
                      <a:avLst/>
                    </a:prstGeom>
                  </pic:spPr>
                </pic:pic>
              </a:graphicData>
            </a:graphic>
          </wp:inline>
        </w:drawing>
      </w:r>
    </w:p>
    <w:p>
      <w:pPr>
        <w:pStyle w:val="49"/>
        <w:rPr>
          <w:rFonts w:ascii="宋体" w:hAnsi="宋体"/>
        </w:rPr>
      </w:pPr>
      <w:bookmarkStart w:id="17" w:name="_Ref478474346"/>
      <w:r>
        <w:rPr>
          <w:rFonts w:hint="eastAsia" w:ascii="宋体" w:hAnsi="宋体"/>
        </w:rPr>
        <w:t>图</w:t>
      </w:r>
      <w:r>
        <w:rPr>
          <w:rFonts w:ascii="宋体" w:hAnsi="宋体"/>
        </w:rPr>
        <w:fldChar w:fldCharType="begin"/>
      </w:r>
      <w:r>
        <w:rPr>
          <w:rFonts w:ascii="宋体" w:hAnsi="宋体"/>
        </w:rPr>
        <w:instrText xml:space="preserve"> </w:instrText>
      </w:r>
      <w:r>
        <w:rPr>
          <w:rFonts w:hint="eastAsia" w:ascii="宋体" w:hAnsi="宋体"/>
        </w:rPr>
        <w:instrText xml:space="preserve">SEQ 图 \* ARABIC</w:instrText>
      </w:r>
      <w:r>
        <w:rPr>
          <w:rFonts w:ascii="宋体" w:hAnsi="宋体"/>
        </w:rPr>
        <w:instrText xml:space="preserve"> </w:instrText>
      </w:r>
      <w:r>
        <w:rPr>
          <w:rFonts w:ascii="宋体" w:hAnsi="宋体"/>
        </w:rPr>
        <w:fldChar w:fldCharType="separate"/>
      </w:r>
      <w:r>
        <w:rPr>
          <w:rFonts w:ascii="宋体" w:hAnsi="宋体"/>
        </w:rPr>
        <w:t>6</w:t>
      </w:r>
      <w:r>
        <w:rPr>
          <w:rFonts w:ascii="宋体" w:hAnsi="宋体"/>
        </w:rPr>
        <w:fldChar w:fldCharType="end"/>
      </w:r>
      <w:bookmarkEnd w:id="17"/>
      <w:r>
        <w:rPr>
          <w:rFonts w:ascii="宋体" w:hAnsi="宋体"/>
        </w:rPr>
        <w:t xml:space="preserve">  </w:t>
      </w:r>
      <w:r>
        <w:rPr>
          <w:rFonts w:hint="eastAsia" w:ascii="宋体" w:hAnsi="宋体"/>
        </w:rPr>
        <w:t>机标C型试块</w:t>
      </w:r>
    </w:p>
    <w:p>
      <w:pPr>
        <w:pStyle w:val="2"/>
      </w:pPr>
      <w:bookmarkStart w:id="18" w:name="_Toc478472375"/>
      <w:bookmarkStart w:id="19" w:name="_Toc516556745"/>
      <w:r>
        <w:rPr>
          <w:rFonts w:hint="eastAsia"/>
        </w:rPr>
        <w:t>计量特性</w:t>
      </w:r>
      <w:bookmarkEnd w:id="18"/>
      <w:bookmarkEnd w:id="19"/>
    </w:p>
    <w:p>
      <w:pPr>
        <w:pStyle w:val="4"/>
      </w:pPr>
      <w:bookmarkStart w:id="20" w:name="_Toc478472376"/>
      <w:bookmarkStart w:id="21" w:name="_Toc516556746"/>
      <w:r>
        <w:rPr>
          <w:rFonts w:hint="eastAsia"/>
        </w:rPr>
        <w:t>表面粗糙度</w:t>
      </w:r>
      <w:bookmarkEnd w:id="20"/>
      <w:bookmarkEnd w:id="21"/>
    </w:p>
    <w:p>
      <w:pPr>
        <w:rPr>
          <w:rFonts w:cs="Times New Roman"/>
        </w:rPr>
      </w:pPr>
      <w:r>
        <w:rPr>
          <w:rFonts w:hint="eastAsia"/>
        </w:rPr>
        <w:t>国标2型试块中四个25mm×</w:t>
      </w:r>
      <w:r>
        <w:t>35</w:t>
      </w:r>
      <w:r>
        <w:rPr>
          <w:rFonts w:hint="eastAsia"/>
        </w:rPr>
        <w:t>mm相邻可水洗区域表面粗糙度分别为</w:t>
      </w:r>
      <w:r>
        <w:rPr>
          <w:rFonts w:cs="Times New Roman"/>
          <w:i/>
        </w:rPr>
        <w:t>Ra</w:t>
      </w:r>
      <w:r>
        <w:rPr>
          <w:rFonts w:hint="eastAsia"/>
        </w:rPr>
        <w:t>=2.5</w:t>
      </w:r>
      <w:r>
        <w:rPr>
          <w:rFonts w:cs="Times New Roman"/>
        </w:rPr>
        <w:t>μm</w:t>
      </w:r>
      <w:r>
        <w:rPr>
          <w:rFonts w:hint="eastAsia" w:cs="Times New Roman"/>
        </w:rPr>
        <w:t>、</w:t>
      </w:r>
      <w:r>
        <w:rPr>
          <w:rFonts w:cs="Times New Roman"/>
          <w:i/>
        </w:rPr>
        <w:t>Ra</w:t>
      </w:r>
      <w:r>
        <w:rPr>
          <w:rFonts w:hint="eastAsia"/>
        </w:rPr>
        <w:t>=5</w:t>
      </w:r>
      <w:r>
        <w:rPr>
          <w:rFonts w:cs="Times New Roman"/>
        </w:rPr>
        <w:t>μm</w:t>
      </w:r>
      <w:r>
        <w:rPr>
          <w:rFonts w:hint="eastAsia" w:cs="Times New Roman"/>
        </w:rPr>
        <w:t>、</w:t>
      </w:r>
      <w:r>
        <w:rPr>
          <w:rFonts w:cs="Times New Roman"/>
          <w:i/>
        </w:rPr>
        <w:t>Ra</w:t>
      </w:r>
      <w:r>
        <w:rPr>
          <w:rFonts w:hint="eastAsia"/>
        </w:rPr>
        <w:t>=10</w:t>
      </w:r>
      <w:r>
        <w:rPr>
          <w:rFonts w:cs="Times New Roman"/>
        </w:rPr>
        <w:t>μm</w:t>
      </w:r>
      <w:r>
        <w:rPr>
          <w:rFonts w:hint="eastAsia" w:cs="Times New Roman"/>
        </w:rPr>
        <w:t>和</w:t>
      </w:r>
      <w:r>
        <w:rPr>
          <w:rFonts w:cs="Times New Roman"/>
          <w:i/>
        </w:rPr>
        <w:t>Ra</w:t>
      </w:r>
      <w:r>
        <w:rPr>
          <w:rFonts w:hint="eastAsia"/>
        </w:rPr>
        <w:t>=15</w:t>
      </w:r>
      <w:r>
        <w:rPr>
          <w:rFonts w:cs="Times New Roman"/>
        </w:rPr>
        <w:t>μm</w:t>
      </w:r>
      <w:r>
        <w:rPr>
          <w:rFonts w:hint="eastAsia" w:cs="Times New Roman"/>
        </w:rPr>
        <w:t>，缺陷区域的表面粗糙度</w:t>
      </w:r>
      <w:r>
        <w:rPr>
          <w:rFonts w:cs="Times New Roman"/>
          <w:i/>
        </w:rPr>
        <w:t>Ra</w:t>
      </w:r>
      <w:r>
        <w:rPr>
          <w:rFonts w:hint="eastAsia" w:cs="Times New Roman"/>
        </w:rPr>
        <w:t>应为1</w:t>
      </w:r>
      <w:r>
        <w:rPr>
          <w:rFonts w:cs="Times New Roman"/>
        </w:rPr>
        <w:t>.2μm</w:t>
      </w:r>
      <w:r>
        <w:rPr>
          <w:rFonts w:hint="eastAsia" w:cs="Times New Roman"/>
        </w:rPr>
        <w:t>～1</w:t>
      </w:r>
      <w:r>
        <w:rPr>
          <w:rFonts w:cs="Times New Roman"/>
        </w:rPr>
        <w:t>.6μm</w:t>
      </w:r>
      <w:r>
        <w:rPr>
          <w:rFonts w:hint="eastAsia" w:cs="Times New Roman"/>
        </w:rPr>
        <w:t>（见图2）。</w:t>
      </w:r>
    </w:p>
    <w:p>
      <w:r>
        <w:rPr>
          <w:rFonts w:hint="eastAsia" w:cs="Times New Roman"/>
        </w:rPr>
        <w:t>机标A型试块裂纹所在面表面粗糙度为</w:t>
      </w:r>
      <w:r>
        <w:rPr>
          <w:rFonts w:cs="Times New Roman"/>
          <w:i/>
        </w:rPr>
        <w:t>Ra</w:t>
      </w:r>
      <w:r>
        <w:rPr>
          <w:rFonts w:hint="eastAsia"/>
        </w:rPr>
        <w:t>=1.2</w:t>
      </w:r>
      <w:r>
        <w:rPr>
          <w:rFonts w:cs="Times New Roman"/>
        </w:rPr>
        <w:t>μm</w:t>
      </w:r>
      <w:r>
        <w:rPr>
          <w:rFonts w:hint="eastAsia" w:cs="Times New Roman"/>
        </w:rPr>
        <w:t>～</w:t>
      </w:r>
      <w:r>
        <w:rPr>
          <w:rFonts w:hint="eastAsia"/>
        </w:rPr>
        <w:t>2.5</w:t>
      </w:r>
      <w:r>
        <w:rPr>
          <w:rFonts w:cs="Times New Roman"/>
        </w:rPr>
        <w:t>μm</w:t>
      </w:r>
      <w:r>
        <w:rPr>
          <w:rFonts w:hint="eastAsia" w:cs="Times New Roman"/>
        </w:rPr>
        <w:t>。</w:t>
      </w:r>
    </w:p>
    <w:p>
      <w:pPr>
        <w:rPr>
          <w:rFonts w:cs="Times New Roman"/>
        </w:rPr>
      </w:pPr>
      <w:r>
        <w:rPr>
          <w:rFonts w:hint="eastAsia" w:cs="Times New Roman"/>
        </w:rPr>
        <w:t>机标五点式B型试块1</w:t>
      </w:r>
      <w:r>
        <w:rPr>
          <w:rFonts w:cs="Times New Roman"/>
        </w:rPr>
        <w:t>52</w:t>
      </w:r>
      <w:r>
        <w:rPr>
          <w:rFonts w:hint="eastAsia" w:cs="Times New Roman"/>
        </w:rPr>
        <w:t>mm×</w:t>
      </w:r>
      <w:r>
        <w:rPr>
          <w:rFonts w:cs="Times New Roman"/>
        </w:rPr>
        <w:t>57</w:t>
      </w:r>
      <w:r>
        <w:rPr>
          <w:rFonts w:hint="eastAsia" w:cs="Times New Roman"/>
        </w:rPr>
        <w:t>mm喷砂区域表面粗糙度为</w:t>
      </w:r>
      <w:r>
        <w:rPr>
          <w:rFonts w:cs="Times New Roman"/>
          <w:i/>
        </w:rPr>
        <w:t>Ra</w:t>
      </w:r>
      <w:r>
        <w:rPr>
          <w:rFonts w:hint="eastAsia"/>
        </w:rPr>
        <w:t>=1.25</w:t>
      </w:r>
      <w:r>
        <w:rPr>
          <w:rFonts w:cs="Times New Roman"/>
        </w:rPr>
        <w:t>μm</w:t>
      </w:r>
      <w:r>
        <w:rPr>
          <w:rFonts w:hint="eastAsia" w:cs="Times New Roman"/>
        </w:rPr>
        <w:t>～</w:t>
      </w:r>
      <w:r>
        <w:rPr>
          <w:rFonts w:hint="eastAsia"/>
        </w:rPr>
        <w:t>2.5</w:t>
      </w:r>
      <w:r>
        <w:t>0</w:t>
      </w:r>
      <w:r>
        <w:rPr>
          <w:rFonts w:cs="Times New Roman"/>
        </w:rPr>
        <w:t>μm</w:t>
      </w:r>
      <w:r>
        <w:rPr>
          <w:rFonts w:hint="eastAsia" w:cs="Times New Roman"/>
        </w:rPr>
        <w:t>，缺陷区域的表面粗糙度</w:t>
      </w:r>
      <w:r>
        <w:rPr>
          <w:rFonts w:cs="Times New Roman"/>
          <w:i/>
        </w:rPr>
        <w:t>Ra</w:t>
      </w:r>
      <w:r>
        <w:rPr>
          <w:rFonts w:hint="eastAsia" w:cs="Times New Roman"/>
        </w:rPr>
        <w:t>应为</w:t>
      </w:r>
      <w:r>
        <w:rPr>
          <w:rFonts w:cs="Times New Roman"/>
        </w:rPr>
        <w:t>0.63μm</w:t>
      </w:r>
      <w:r>
        <w:rPr>
          <w:rFonts w:hint="eastAsia" w:cs="Times New Roman"/>
        </w:rPr>
        <w:t>～1</w:t>
      </w:r>
      <w:r>
        <w:rPr>
          <w:rFonts w:cs="Times New Roman"/>
        </w:rPr>
        <w:t>.25μm</w:t>
      </w:r>
      <w:r>
        <w:rPr>
          <w:rFonts w:hint="eastAsia" w:cs="Times New Roman"/>
        </w:rPr>
        <w:t>。</w:t>
      </w:r>
    </w:p>
    <w:p>
      <w:pPr>
        <w:pStyle w:val="4"/>
      </w:pPr>
      <w:bookmarkStart w:id="22" w:name="_Toc478472377"/>
      <w:bookmarkStart w:id="23" w:name="_Toc516556747"/>
      <w:r>
        <w:rPr>
          <w:rFonts w:hint="eastAsia"/>
        </w:rPr>
        <w:t>镀层厚度</w:t>
      </w:r>
      <w:bookmarkEnd w:id="22"/>
      <w:bookmarkEnd w:id="23"/>
    </w:p>
    <w:p>
      <w:r>
        <w:rPr>
          <w:rFonts w:hint="eastAsia"/>
        </w:rPr>
        <w:t>国标1型试块为一组四块，每块的镍-铬镀层厚度分别为</w:t>
      </w:r>
      <w:r>
        <w:t>10μm</w:t>
      </w:r>
      <w:r>
        <w:rPr>
          <w:rFonts w:hint="eastAsia"/>
        </w:rPr>
        <w:t>、20</w:t>
      </w:r>
      <w:r>
        <w:t>μm</w:t>
      </w:r>
      <w:r>
        <w:rPr>
          <w:rFonts w:hint="eastAsia"/>
        </w:rPr>
        <w:t>、30</w:t>
      </w:r>
      <w:r>
        <w:t>μm</w:t>
      </w:r>
      <w:r>
        <w:rPr>
          <w:rFonts w:hint="eastAsia"/>
        </w:rPr>
        <w:t>和50</w:t>
      </w:r>
      <w:r>
        <w:t>μm</w:t>
      </w:r>
      <w:r>
        <w:rPr>
          <w:rFonts w:hint="eastAsia"/>
        </w:rPr>
        <w:t>。</w:t>
      </w:r>
    </w:p>
    <w:p>
      <w:r>
        <w:rPr>
          <w:rFonts w:hint="eastAsia"/>
        </w:rPr>
        <w:t>机标C型试块为一组三块，每块的镀镍层厚度分别为</w:t>
      </w:r>
      <w:r>
        <w:t>10μm～13μm、20μm～30μm</w:t>
      </w:r>
      <w:r>
        <w:rPr>
          <w:rFonts w:hint="eastAsia"/>
        </w:rPr>
        <w:t>和</w:t>
      </w:r>
      <w:r>
        <w:t>40μm～50μm</w:t>
      </w:r>
      <w:r>
        <w:rPr>
          <w:rFonts w:hint="eastAsia"/>
        </w:rPr>
        <w:t>，镀镍层上面的镀铬层厚度约为1</w:t>
      </w:r>
      <w:r>
        <w:t>μm</w:t>
      </w:r>
      <w:r>
        <w:rPr>
          <w:rFonts w:hint="eastAsia"/>
        </w:rPr>
        <w:t>。</w:t>
      </w:r>
    </w:p>
    <w:p>
      <w:pPr>
        <w:rPr>
          <w:rFonts w:cs="Times New Roman"/>
        </w:rPr>
      </w:pPr>
      <w:r>
        <w:rPr>
          <w:rFonts w:hint="eastAsia" w:cs="Times New Roman"/>
        </w:rPr>
        <w:t>机标B型试块镀层厚度应不大于</w:t>
      </w:r>
      <w:r>
        <w:rPr>
          <w:rFonts w:cs="Times New Roman"/>
        </w:rPr>
        <w:t>150</w:t>
      </w:r>
      <w:r>
        <w:t>μm</w:t>
      </w:r>
      <w:r>
        <w:rPr>
          <w:rFonts w:hint="eastAsia"/>
        </w:rPr>
        <w:t>。</w:t>
      </w:r>
    </w:p>
    <w:p>
      <w:pPr>
        <w:pStyle w:val="4"/>
      </w:pPr>
      <w:bookmarkStart w:id="24" w:name="_Toc516556748"/>
      <w:r>
        <w:rPr>
          <w:rFonts w:hint="eastAsia"/>
        </w:rPr>
        <w:t>缺陷</w:t>
      </w:r>
      <w:bookmarkEnd w:id="24"/>
    </w:p>
    <w:p>
      <w:r>
        <w:rPr>
          <w:rFonts w:hint="eastAsia"/>
        </w:rPr>
        <w:t>国标1型试块的裂纹深度应贯穿整个镀层，每条裂纹的宽深比约为1:2</w:t>
      </w:r>
      <w:r>
        <w:t>0</w:t>
      </w:r>
      <w:r>
        <w:rPr>
          <w:rFonts w:hint="eastAsia"/>
        </w:rPr>
        <w:t>。</w:t>
      </w:r>
    </w:p>
    <w:p>
      <w:r>
        <w:rPr>
          <w:rFonts w:hint="eastAsia"/>
        </w:rPr>
        <w:t>国标2型试块人工缺陷区域中的辐射状裂纹展开应成圆状，其典型直径分别为3mm、3.5mm、4mm、4.5mm和5.5mm。</w:t>
      </w:r>
    </w:p>
    <w:p>
      <w:r>
        <w:rPr>
          <w:rFonts w:hint="eastAsia" w:cs="Times New Roman"/>
        </w:rPr>
        <w:t>A型试块的A、B两表面上应有无规则分布的宽度在3</w:t>
      </w:r>
      <w:r>
        <w:rPr>
          <w:rFonts w:cs="Times New Roman"/>
        </w:rPr>
        <w:t>μm</w:t>
      </w:r>
      <w:r>
        <w:rPr>
          <w:rFonts w:hint="eastAsia" w:cs="Times New Roman"/>
        </w:rPr>
        <w:t>以下、3</w:t>
      </w:r>
      <w:r>
        <w:rPr>
          <w:rFonts w:cs="Times New Roman"/>
        </w:rPr>
        <w:t>μm</w:t>
      </w:r>
      <w:r>
        <w:rPr>
          <w:rFonts w:cs="Times New Roman"/>
          <w:sz w:val="21"/>
          <w:szCs w:val="21"/>
        </w:rPr>
        <w:t>～</w:t>
      </w:r>
      <w:r>
        <w:rPr>
          <w:rFonts w:hint="eastAsia" w:cs="Times New Roman"/>
          <w:sz w:val="21"/>
          <w:szCs w:val="21"/>
        </w:rPr>
        <w:t>5</w:t>
      </w:r>
      <w:r>
        <w:rPr>
          <w:rFonts w:cs="Times New Roman"/>
        </w:rPr>
        <w:t>μm</w:t>
      </w:r>
      <w:r>
        <w:rPr>
          <w:rFonts w:hint="eastAsia" w:cs="Times New Roman"/>
        </w:rPr>
        <w:t>和大于</w:t>
      </w:r>
      <w:r>
        <w:rPr>
          <w:rFonts w:cs="Times New Roman"/>
          <w:sz w:val="21"/>
          <w:szCs w:val="21"/>
        </w:rPr>
        <w:t>5</w:t>
      </w:r>
      <w:r>
        <w:rPr>
          <w:rFonts w:cs="Times New Roman"/>
        </w:rPr>
        <w:t>μm</w:t>
      </w:r>
      <w:r>
        <w:rPr>
          <w:rFonts w:hint="eastAsia" w:cs="Times New Roman"/>
        </w:rPr>
        <w:t>的开口裂纹。应至少有两条宽度不大于3</w:t>
      </w:r>
      <w:r>
        <w:rPr>
          <w:rFonts w:cs="Times New Roman"/>
        </w:rPr>
        <w:t>μm</w:t>
      </w:r>
      <w:r>
        <w:rPr>
          <w:rFonts w:hint="eastAsia" w:cs="Times New Roman"/>
        </w:rPr>
        <w:t>的开口裂纹，在A、B任意一表面上的裂纹总数不应少于4条。</w:t>
      </w:r>
    </w:p>
    <w:p>
      <w:r>
        <w:rPr>
          <w:rFonts w:hint="eastAsia"/>
        </w:rPr>
        <w:t>机标五点式B型试块缺陷区域中辐射状裂纹展开应成圆状，其长直径应符合</w:t>
      </w:r>
      <w:r>
        <w:fldChar w:fldCharType="begin"/>
      </w:r>
      <w:r>
        <w:instrText xml:space="preserve"> </w:instrText>
      </w:r>
      <w:r>
        <w:rPr>
          <w:rFonts w:hint="eastAsia"/>
        </w:rPr>
        <w:instrText xml:space="preserve">REF _Ref478473973 \h</w:instrText>
      </w:r>
      <w:r>
        <w:instrText xml:space="preserve"> </w:instrText>
      </w:r>
      <w:r>
        <w:fldChar w:fldCharType="separate"/>
      </w:r>
      <w:r>
        <w:rPr>
          <w:rFonts w:hint="eastAsia"/>
        </w:rPr>
        <w:t>表</w:t>
      </w:r>
      <w:r>
        <w:fldChar w:fldCharType="end"/>
      </w:r>
      <w:r>
        <w:t>1</w:t>
      </w:r>
      <w:r>
        <w:rPr>
          <w:rFonts w:hint="eastAsia"/>
        </w:rPr>
        <w:t>要求。</w:t>
      </w:r>
    </w:p>
    <w:p>
      <w:pPr>
        <w:pStyle w:val="53"/>
      </w:pPr>
      <w:bookmarkStart w:id="25" w:name="_Ref478473973"/>
      <w:r>
        <w:rPr>
          <w:rFonts w:hint="eastAsia"/>
        </w:rPr>
        <w:t>表</w:t>
      </w:r>
      <w:bookmarkEnd w:id="25"/>
      <w:r>
        <w:t>1</w:t>
      </w:r>
      <w:r>
        <w:rPr>
          <w:rFonts w:hint="eastAsia"/>
        </w:rPr>
        <w:t xml:space="preserve">  </w:t>
      </w:r>
      <w:bookmarkStart w:id="26" w:name="_Ref478388959"/>
      <w:r>
        <w:rPr>
          <w:rFonts w:hint="eastAsia" w:ascii="黑体" w:hAnsi="黑体"/>
        </w:rPr>
        <w:t>五点式B型试块裂纹区长直径</w:t>
      </w:r>
      <w:bookmarkEnd w:id="26"/>
    </w:p>
    <w:tbl>
      <w:tblPr>
        <w:tblStyle w:val="16"/>
        <w:tblW w:w="934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0"/>
        <w:gridCol w:w="1245"/>
        <w:gridCol w:w="1530"/>
        <w:gridCol w:w="1529"/>
        <w:gridCol w:w="1530"/>
        <w:gridCol w:w="15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80" w:type="dxa"/>
            <w:vAlign w:val="center"/>
          </w:tcPr>
          <w:p>
            <w:pPr>
              <w:pStyle w:val="54"/>
            </w:pPr>
            <w:r>
              <w:rPr>
                <w:rFonts w:hint="eastAsia"/>
              </w:rPr>
              <w:t>裂纹区次序</w:t>
            </w:r>
          </w:p>
        </w:tc>
        <w:tc>
          <w:tcPr>
            <w:tcW w:w="1245" w:type="dxa"/>
            <w:vAlign w:val="center"/>
          </w:tcPr>
          <w:p>
            <w:pPr>
              <w:pStyle w:val="54"/>
            </w:pPr>
            <w:r>
              <w:rPr>
                <w:rFonts w:hint="eastAsia"/>
              </w:rPr>
              <w:t>1</w:t>
            </w:r>
          </w:p>
        </w:tc>
        <w:tc>
          <w:tcPr>
            <w:tcW w:w="1530" w:type="dxa"/>
            <w:vAlign w:val="center"/>
          </w:tcPr>
          <w:p>
            <w:pPr>
              <w:pStyle w:val="54"/>
            </w:pPr>
            <w:r>
              <w:rPr>
                <w:rFonts w:hint="eastAsia"/>
              </w:rPr>
              <w:t>2</w:t>
            </w:r>
          </w:p>
        </w:tc>
        <w:tc>
          <w:tcPr>
            <w:tcW w:w="1529" w:type="dxa"/>
            <w:vAlign w:val="center"/>
          </w:tcPr>
          <w:p>
            <w:pPr>
              <w:pStyle w:val="54"/>
            </w:pPr>
            <w:r>
              <w:rPr>
                <w:rFonts w:hint="eastAsia"/>
              </w:rPr>
              <w:t>3</w:t>
            </w:r>
          </w:p>
        </w:tc>
        <w:tc>
          <w:tcPr>
            <w:tcW w:w="1530" w:type="dxa"/>
            <w:vAlign w:val="center"/>
          </w:tcPr>
          <w:p>
            <w:pPr>
              <w:pStyle w:val="54"/>
            </w:pPr>
            <w:r>
              <w:rPr>
                <w:rFonts w:hint="eastAsia"/>
              </w:rPr>
              <w:t>4</w:t>
            </w:r>
          </w:p>
        </w:tc>
        <w:tc>
          <w:tcPr>
            <w:tcW w:w="1530" w:type="dxa"/>
            <w:vAlign w:val="center"/>
          </w:tcPr>
          <w:p>
            <w:pPr>
              <w:pStyle w:val="54"/>
            </w:pPr>
            <w:r>
              <w:rPr>
                <w:rFonts w:hint="eastAsia"/>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80" w:type="dxa"/>
            <w:vAlign w:val="center"/>
          </w:tcPr>
          <w:p>
            <w:pPr>
              <w:pStyle w:val="54"/>
            </w:pPr>
            <w:r>
              <w:rPr>
                <w:rFonts w:hint="eastAsia"/>
              </w:rPr>
              <w:t>裂纹区长直径/mm</w:t>
            </w:r>
          </w:p>
        </w:tc>
        <w:tc>
          <w:tcPr>
            <w:tcW w:w="1245" w:type="dxa"/>
            <w:vAlign w:val="center"/>
          </w:tcPr>
          <w:p>
            <w:pPr>
              <w:pStyle w:val="54"/>
            </w:pPr>
            <w:r>
              <w:rPr>
                <w:rFonts w:hint="eastAsia"/>
              </w:rPr>
              <w:t>5.5～6.3</w:t>
            </w:r>
          </w:p>
        </w:tc>
        <w:tc>
          <w:tcPr>
            <w:tcW w:w="1530" w:type="dxa"/>
            <w:vAlign w:val="center"/>
          </w:tcPr>
          <w:p>
            <w:pPr>
              <w:pStyle w:val="54"/>
            </w:pPr>
            <w:r>
              <w:rPr>
                <w:rFonts w:hint="eastAsia"/>
              </w:rPr>
              <w:t>3.7～4.5</w:t>
            </w:r>
          </w:p>
        </w:tc>
        <w:tc>
          <w:tcPr>
            <w:tcW w:w="1529" w:type="dxa"/>
            <w:vAlign w:val="center"/>
          </w:tcPr>
          <w:p>
            <w:pPr>
              <w:pStyle w:val="54"/>
            </w:pPr>
            <w:r>
              <w:rPr>
                <w:rFonts w:hint="eastAsia"/>
              </w:rPr>
              <w:t>2.7～3.5</w:t>
            </w:r>
          </w:p>
        </w:tc>
        <w:tc>
          <w:tcPr>
            <w:tcW w:w="1530" w:type="dxa"/>
            <w:vAlign w:val="center"/>
          </w:tcPr>
          <w:p>
            <w:pPr>
              <w:pStyle w:val="54"/>
            </w:pPr>
            <w:r>
              <w:rPr>
                <w:rFonts w:hint="eastAsia"/>
              </w:rPr>
              <w:t>1.6～2.4</w:t>
            </w:r>
          </w:p>
        </w:tc>
        <w:tc>
          <w:tcPr>
            <w:tcW w:w="1530" w:type="dxa"/>
            <w:vAlign w:val="center"/>
          </w:tcPr>
          <w:p>
            <w:pPr>
              <w:pStyle w:val="54"/>
            </w:pPr>
            <w:r>
              <w:rPr>
                <w:rFonts w:hint="eastAsia"/>
              </w:rPr>
              <w:t>0.8～1.6</w:t>
            </w:r>
          </w:p>
        </w:tc>
      </w:tr>
    </w:tbl>
    <w:p>
      <w:r>
        <w:rPr>
          <w:rFonts w:hint="eastAsia"/>
        </w:rPr>
        <w:t>机标C型试块的裂纹深度应贯穿整个镀层，裂纹深度及宽度见</w:t>
      </w:r>
      <w:r>
        <w:fldChar w:fldCharType="begin"/>
      </w:r>
      <w:r>
        <w:instrText xml:space="preserve"> </w:instrText>
      </w:r>
      <w:r>
        <w:rPr>
          <w:rFonts w:hint="eastAsia"/>
        </w:rPr>
        <w:instrText xml:space="preserve">REF _Ref478473943 \h</w:instrText>
      </w:r>
      <w:r>
        <w:instrText xml:space="preserve"> </w:instrText>
      </w:r>
      <w:r>
        <w:fldChar w:fldCharType="separate"/>
      </w:r>
      <w:r>
        <w:rPr>
          <w:rFonts w:hint="eastAsia" w:ascii="黑体" w:hAnsi="黑体"/>
        </w:rPr>
        <w:t>表</w:t>
      </w:r>
      <w:r>
        <w:fldChar w:fldCharType="end"/>
      </w:r>
      <w:r>
        <w:t>2</w:t>
      </w:r>
      <w:r>
        <w:rPr>
          <w:rFonts w:hint="eastAsia"/>
        </w:rPr>
        <w:t>所示。</w:t>
      </w:r>
    </w:p>
    <w:p>
      <w:pPr>
        <w:pStyle w:val="53"/>
      </w:pPr>
      <w:bookmarkStart w:id="27" w:name="_Ref478473943"/>
      <w:bookmarkStart w:id="28" w:name="_Ref478374406"/>
      <w:r>
        <w:rPr>
          <w:rFonts w:hint="eastAsia" w:ascii="黑体" w:hAnsi="黑体"/>
        </w:rPr>
        <w:t>表</w:t>
      </w:r>
      <w:bookmarkEnd w:id="27"/>
      <w:r>
        <w:rPr>
          <w:rFonts w:ascii="黑体" w:hAnsi="黑体"/>
        </w:rPr>
        <w:t xml:space="preserve">2  </w:t>
      </w:r>
      <w:r>
        <w:rPr>
          <w:rFonts w:hint="eastAsia" w:ascii="黑体" w:hAnsi="黑体"/>
        </w:rPr>
        <w:t>C型试</w:t>
      </w:r>
      <w:r>
        <w:rPr>
          <w:rFonts w:hint="eastAsia"/>
        </w:rPr>
        <w:t>块计量特性</w:t>
      </w:r>
      <w:bookmarkEnd w:id="28"/>
    </w:p>
    <w:tbl>
      <w:tblPr>
        <w:tblStyle w:val="16"/>
        <w:tblW w:w="934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14"/>
        <w:gridCol w:w="3115"/>
        <w:gridCol w:w="31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14" w:type="dxa"/>
            <w:vAlign w:val="center"/>
          </w:tcPr>
          <w:p>
            <w:pPr>
              <w:pStyle w:val="54"/>
            </w:pPr>
            <w:r>
              <w:rPr>
                <w:rFonts w:hint="eastAsia"/>
              </w:rPr>
              <w:t>C型试块编号</w:t>
            </w:r>
          </w:p>
        </w:tc>
        <w:tc>
          <w:tcPr>
            <w:tcW w:w="3115" w:type="dxa"/>
            <w:vAlign w:val="center"/>
          </w:tcPr>
          <w:p>
            <w:pPr>
              <w:pStyle w:val="54"/>
            </w:pPr>
            <w:r>
              <w:rPr>
                <w:rFonts w:hint="eastAsia"/>
              </w:rPr>
              <w:t>裂纹深度/</w:t>
            </w:r>
            <w:r>
              <w:rPr>
                <w:rFonts w:cs="Times New Roman"/>
              </w:rPr>
              <w:t>μm</w:t>
            </w:r>
          </w:p>
        </w:tc>
        <w:tc>
          <w:tcPr>
            <w:tcW w:w="3115" w:type="dxa"/>
            <w:vAlign w:val="center"/>
          </w:tcPr>
          <w:p>
            <w:pPr>
              <w:pStyle w:val="54"/>
            </w:pPr>
            <w:r>
              <w:rPr>
                <w:rFonts w:hint="eastAsia"/>
              </w:rPr>
              <w:t>裂纹宽度/</w:t>
            </w:r>
            <w:r>
              <w:rPr>
                <w:rFonts w:cs="Times New Roman"/>
              </w:rPr>
              <w:t>μm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14" w:type="dxa"/>
            <w:vAlign w:val="center"/>
          </w:tcPr>
          <w:p>
            <w:pPr>
              <w:pStyle w:val="54"/>
            </w:pPr>
            <w:r>
              <w:rPr>
                <w:rFonts w:hint="eastAsia"/>
              </w:rPr>
              <w:t>1</w:t>
            </w:r>
            <w:r>
              <w:t xml:space="preserve"> </w:t>
            </w:r>
          </w:p>
        </w:tc>
        <w:tc>
          <w:tcPr>
            <w:tcW w:w="3115" w:type="dxa"/>
            <w:vAlign w:val="center"/>
          </w:tcPr>
          <w:p>
            <w:pPr>
              <w:pStyle w:val="54"/>
            </w:pPr>
            <w:r>
              <w:t>40～50</w:t>
            </w:r>
          </w:p>
        </w:tc>
        <w:tc>
          <w:tcPr>
            <w:tcW w:w="3115" w:type="dxa"/>
            <w:vAlign w:val="center"/>
          </w:tcPr>
          <w:p>
            <w:pPr>
              <w:pStyle w:val="54"/>
            </w:pPr>
            <w:r>
              <w:rPr>
                <w:rFonts w:hint="eastAsia"/>
              </w:rPr>
              <w:t>4</w:t>
            </w:r>
            <w: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14" w:type="dxa"/>
            <w:vAlign w:val="center"/>
          </w:tcPr>
          <w:p>
            <w:pPr>
              <w:pStyle w:val="54"/>
            </w:pPr>
            <w:r>
              <w:rPr>
                <w:rFonts w:hint="eastAsia"/>
              </w:rPr>
              <w:t>2</w:t>
            </w:r>
          </w:p>
        </w:tc>
        <w:tc>
          <w:tcPr>
            <w:tcW w:w="3115" w:type="dxa"/>
            <w:vAlign w:val="center"/>
          </w:tcPr>
          <w:p>
            <w:pPr>
              <w:pStyle w:val="54"/>
            </w:pPr>
            <w:r>
              <w:t>20～30</w:t>
            </w:r>
          </w:p>
        </w:tc>
        <w:tc>
          <w:tcPr>
            <w:tcW w:w="3115" w:type="dxa"/>
            <w:vAlign w:val="center"/>
          </w:tcPr>
          <w:p>
            <w:pPr>
              <w:pStyle w:val="54"/>
            </w:pPr>
            <w:r>
              <w:rPr>
                <w:rFonts w:hint="eastAsia"/>
              </w:rPr>
              <w:t>2</w:t>
            </w:r>
            <w:r>
              <w:t>～</w:t>
            </w:r>
            <w:r>
              <w:rPr>
                <w:rFonts w:hint="eastAsia"/>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14" w:type="dxa"/>
            <w:vAlign w:val="center"/>
          </w:tcPr>
          <w:p>
            <w:pPr>
              <w:pStyle w:val="54"/>
            </w:pPr>
            <w:r>
              <w:rPr>
                <w:rFonts w:hint="eastAsia"/>
              </w:rPr>
              <w:t>3</w:t>
            </w:r>
          </w:p>
        </w:tc>
        <w:tc>
          <w:tcPr>
            <w:tcW w:w="3115" w:type="dxa"/>
            <w:vAlign w:val="center"/>
          </w:tcPr>
          <w:p>
            <w:pPr>
              <w:pStyle w:val="54"/>
            </w:pPr>
            <w:r>
              <w:t>10～13</w:t>
            </w:r>
          </w:p>
        </w:tc>
        <w:tc>
          <w:tcPr>
            <w:tcW w:w="3115" w:type="dxa"/>
            <w:vAlign w:val="center"/>
          </w:tcPr>
          <w:p>
            <w:pPr>
              <w:pStyle w:val="54"/>
            </w:pPr>
            <w:r>
              <w:rPr>
                <w:rFonts w:hint="eastAsia"/>
              </w:rPr>
              <w:t>1</w:t>
            </w:r>
            <w:r>
              <w:t>.</w:t>
            </w:r>
            <w:r>
              <w:rPr>
                <w:rFonts w:hint="eastAsia"/>
              </w:rPr>
              <w:t>0</w:t>
            </w:r>
            <w:r>
              <w:t>～</w:t>
            </w:r>
            <w:r>
              <w:rPr>
                <w:rFonts w:hint="eastAsia"/>
              </w:rPr>
              <w:t>1.3</w:t>
            </w:r>
          </w:p>
        </w:tc>
      </w:tr>
    </w:tbl>
    <w:p>
      <w:pPr>
        <w:pStyle w:val="2"/>
      </w:pPr>
      <w:bookmarkStart w:id="29" w:name="_Toc516556749"/>
      <w:bookmarkStart w:id="30" w:name="_Toc478472379"/>
      <w:r>
        <w:rPr>
          <w:rFonts w:hint="eastAsia"/>
        </w:rPr>
        <w:t>通用技术要求</w:t>
      </w:r>
      <w:bookmarkEnd w:id="29"/>
    </w:p>
    <w:p>
      <w:bookmarkStart w:id="31" w:name="_Toc499148916"/>
      <w:bookmarkStart w:id="32" w:name="_Toc500443698"/>
      <w:bookmarkStart w:id="33" w:name="_Toc500749017"/>
      <w:r>
        <w:rPr>
          <w:rFonts w:hint="eastAsia"/>
        </w:rPr>
        <w:t>新制造试块的表面，不应有划痕，碰伤和锈蚀；使用中和修理后试块上，允许有不妨碍正常使用的上述缺陷。</w:t>
      </w:r>
      <w:bookmarkEnd w:id="31"/>
      <w:bookmarkEnd w:id="32"/>
      <w:bookmarkEnd w:id="33"/>
    </w:p>
    <w:p/>
    <w:p/>
    <w:p>
      <w:pPr>
        <w:pStyle w:val="2"/>
      </w:pPr>
      <w:bookmarkStart w:id="34" w:name="_Toc516556750"/>
      <w:r>
        <w:rPr>
          <w:rFonts w:hint="eastAsia"/>
        </w:rPr>
        <w:t>校准条件</w:t>
      </w:r>
      <w:bookmarkEnd w:id="30"/>
      <w:bookmarkEnd w:id="34"/>
    </w:p>
    <w:p>
      <w:pPr>
        <w:pStyle w:val="4"/>
      </w:pPr>
      <w:bookmarkStart w:id="35" w:name="_Toc516556751"/>
      <w:bookmarkStart w:id="36" w:name="_Toc478472380"/>
      <w:r>
        <w:rPr>
          <w:rFonts w:hint="eastAsia"/>
        </w:rPr>
        <w:t>环境条件</w:t>
      </w:r>
      <w:bookmarkEnd w:id="35"/>
      <w:bookmarkEnd w:id="36"/>
    </w:p>
    <w:p>
      <w:pPr>
        <w:pStyle w:val="5"/>
        <w:ind w:hanging="5954"/>
      </w:pPr>
      <w:bookmarkStart w:id="37" w:name="_Toc478472381"/>
      <w:r>
        <w:rPr>
          <w:rFonts w:hint="eastAsia"/>
        </w:rPr>
        <w:t>温度条件：</w:t>
      </w:r>
      <w:r>
        <w:rPr>
          <w:kern w:val="0"/>
        </w:rPr>
        <w:t>(20</w:t>
      </w:r>
      <w:r>
        <w:rPr>
          <w:rFonts w:hint="eastAsia"/>
          <w:kern w:val="0"/>
        </w:rPr>
        <w:t>±</w:t>
      </w:r>
      <w:r>
        <w:rPr>
          <w:kern w:val="0"/>
        </w:rPr>
        <w:t>5)</w:t>
      </w:r>
      <w:r>
        <w:rPr>
          <w:rFonts w:hint="eastAsia"/>
          <w:kern w:val="0"/>
        </w:rPr>
        <w:t>℃</w:t>
      </w:r>
      <w:r>
        <w:rPr>
          <w:rFonts w:hint="eastAsia"/>
        </w:rPr>
        <w:t>。</w:t>
      </w:r>
      <w:bookmarkEnd w:id="37"/>
    </w:p>
    <w:p>
      <w:pPr>
        <w:pStyle w:val="5"/>
        <w:ind w:hanging="5954"/>
      </w:pPr>
      <w:bookmarkStart w:id="38" w:name="_Toc478472382"/>
      <w:r>
        <w:rPr>
          <w:rFonts w:hint="eastAsia"/>
        </w:rPr>
        <w:t>相对湿度：＜</w:t>
      </w:r>
      <w:r>
        <w:rPr>
          <w:kern w:val="0"/>
        </w:rPr>
        <w:t>80</w:t>
      </w:r>
      <w:r>
        <w:rPr>
          <w:rFonts w:hint="eastAsia"/>
        </w:rPr>
        <w:t>%。</w:t>
      </w:r>
      <w:bookmarkEnd w:id="38"/>
    </w:p>
    <w:p>
      <w:pPr>
        <w:pStyle w:val="5"/>
        <w:ind w:hanging="5954"/>
      </w:pPr>
      <w:bookmarkStart w:id="39" w:name="_Toc478472383"/>
      <w:r>
        <w:rPr>
          <w:rFonts w:hint="eastAsia"/>
        </w:rPr>
        <w:t>大气压力：8</w:t>
      </w:r>
      <w:r>
        <w:t>6</w:t>
      </w:r>
      <w:r>
        <w:rPr>
          <w:rFonts w:hint="eastAsia"/>
        </w:rPr>
        <w:t>k</w:t>
      </w:r>
      <w:r>
        <w:t>P</w:t>
      </w:r>
      <w:r>
        <w:rPr>
          <w:rFonts w:hint="eastAsia"/>
        </w:rPr>
        <w:t>a～1</w:t>
      </w:r>
      <w:r>
        <w:t>06</w:t>
      </w:r>
      <w:r>
        <w:rPr>
          <w:rFonts w:hint="eastAsia"/>
        </w:rPr>
        <w:t>k</w:t>
      </w:r>
      <w:r>
        <w:t>P</w:t>
      </w:r>
      <w:r>
        <w:rPr>
          <w:rFonts w:hint="eastAsia"/>
        </w:rPr>
        <w:t>a。</w:t>
      </w:r>
      <w:bookmarkEnd w:id="39"/>
    </w:p>
    <w:p>
      <w:pPr>
        <w:pStyle w:val="4"/>
      </w:pPr>
      <w:bookmarkStart w:id="40" w:name="_Toc478472384"/>
      <w:bookmarkStart w:id="41" w:name="_Toc516556752"/>
      <w:r>
        <w:rPr>
          <w:rFonts w:hint="eastAsia"/>
        </w:rPr>
        <w:t>标准器及配套设备</w:t>
      </w:r>
      <w:bookmarkEnd w:id="40"/>
      <w:bookmarkEnd w:id="41"/>
    </w:p>
    <w:p>
      <w:r>
        <w:rPr>
          <w:rFonts w:hint="eastAsia"/>
        </w:rPr>
        <w:t>渗透检验参考试块的校准项目和标准器见</w:t>
      </w:r>
      <w:r>
        <w:fldChar w:fldCharType="begin"/>
      </w:r>
      <w:r>
        <w:instrText xml:space="preserve"> </w:instrText>
      </w:r>
      <w:r>
        <w:rPr>
          <w:rFonts w:hint="eastAsia"/>
        </w:rPr>
        <w:instrText xml:space="preserve">REF _Ref478474007 \h</w:instrText>
      </w:r>
      <w:r>
        <w:instrText xml:space="preserve"> </w:instrText>
      </w:r>
      <w:r>
        <w:fldChar w:fldCharType="separate"/>
      </w:r>
      <w:r>
        <w:rPr>
          <w:rFonts w:hint="eastAsia"/>
        </w:rPr>
        <w:t>表</w:t>
      </w:r>
      <w:r>
        <w:fldChar w:fldCharType="end"/>
      </w:r>
      <w:r>
        <w:t>3</w:t>
      </w:r>
      <w:r>
        <w:rPr>
          <w:rFonts w:hint="eastAsia"/>
        </w:rPr>
        <w:t>。</w:t>
      </w:r>
    </w:p>
    <w:p>
      <w:pPr>
        <w:pStyle w:val="53"/>
      </w:pPr>
      <w:bookmarkStart w:id="42" w:name="_Ref478474007"/>
      <w:r>
        <w:rPr>
          <w:rFonts w:hint="eastAsia"/>
        </w:rPr>
        <w:t>表</w:t>
      </w:r>
      <w:bookmarkEnd w:id="42"/>
      <w:r>
        <w:t>3</w:t>
      </w:r>
      <w:r>
        <w:rPr>
          <w:rFonts w:hint="eastAsia"/>
        </w:rPr>
        <w:t xml:space="preserve">  </w:t>
      </w:r>
      <w:bookmarkStart w:id="43" w:name="_Ref478377324"/>
      <w:r>
        <w:rPr>
          <w:rFonts w:hint="eastAsia"/>
        </w:rPr>
        <w:t>校准</w:t>
      </w:r>
      <w:bookmarkEnd w:id="43"/>
      <w:r>
        <w:rPr>
          <w:rFonts w:hint="eastAsia"/>
        </w:rPr>
        <w:t>项目和标准器</w:t>
      </w:r>
    </w:p>
    <w:tbl>
      <w:tblPr>
        <w:tblStyle w:val="16"/>
        <w:tblW w:w="934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1134"/>
        <w:gridCol w:w="1701"/>
        <w:gridCol w:w="58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04" w:type="dxa"/>
            <w:vAlign w:val="center"/>
          </w:tcPr>
          <w:p>
            <w:pPr>
              <w:pStyle w:val="54"/>
            </w:pPr>
            <w:r>
              <w:rPr>
                <w:rFonts w:hint="eastAsia"/>
              </w:rPr>
              <w:t>序号</w:t>
            </w:r>
          </w:p>
        </w:tc>
        <w:tc>
          <w:tcPr>
            <w:tcW w:w="2835" w:type="dxa"/>
            <w:gridSpan w:val="2"/>
            <w:vAlign w:val="center"/>
          </w:tcPr>
          <w:p>
            <w:pPr>
              <w:pStyle w:val="54"/>
            </w:pPr>
            <w:r>
              <w:rPr>
                <w:rFonts w:hint="eastAsia"/>
              </w:rPr>
              <w:t>校准项目</w:t>
            </w:r>
          </w:p>
        </w:tc>
        <w:tc>
          <w:tcPr>
            <w:tcW w:w="5805" w:type="dxa"/>
          </w:tcPr>
          <w:p>
            <w:pPr>
              <w:pStyle w:val="54"/>
            </w:pPr>
            <w:r>
              <w:rPr>
                <w:rFonts w:hint="eastAsia"/>
              </w:rPr>
              <w:t>标准计量器具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04" w:type="dxa"/>
            <w:vAlign w:val="center"/>
          </w:tcPr>
          <w:p>
            <w:pPr>
              <w:pStyle w:val="54"/>
            </w:pPr>
            <w:r>
              <w:rPr>
                <w:rFonts w:hint="eastAsia"/>
              </w:rPr>
              <w:t>1</w:t>
            </w:r>
          </w:p>
        </w:tc>
        <w:tc>
          <w:tcPr>
            <w:tcW w:w="2835" w:type="dxa"/>
            <w:gridSpan w:val="2"/>
            <w:vAlign w:val="center"/>
          </w:tcPr>
          <w:p>
            <w:pPr>
              <w:pStyle w:val="54"/>
            </w:pPr>
            <w:r>
              <w:rPr>
                <w:rFonts w:hint="eastAsia"/>
              </w:rPr>
              <w:t>镀层厚度</w:t>
            </w:r>
          </w:p>
        </w:tc>
        <w:tc>
          <w:tcPr>
            <w:tcW w:w="5805" w:type="dxa"/>
          </w:tcPr>
          <w:p>
            <w:pPr>
              <w:pStyle w:val="54"/>
            </w:pPr>
            <w:r>
              <w:rPr>
                <w:rFonts w:hint="eastAsia"/>
              </w:rPr>
              <w:t>镀层厚度测量仪器MPE：</w:t>
            </w:r>
            <w:r>
              <w:rPr>
                <w:rFonts w:cs="Times New Roman"/>
              </w:rPr>
              <w:t>±1μ</w:t>
            </w:r>
            <w:r>
              <w:rPr>
                <w:rFonts w:hint="eastAsia"/>
              </w:rPr>
              <w:t>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04" w:type="dxa"/>
            <w:vAlign w:val="center"/>
          </w:tcPr>
          <w:p>
            <w:pPr>
              <w:pStyle w:val="54"/>
            </w:pPr>
            <w:r>
              <w:rPr>
                <w:rFonts w:hint="eastAsia"/>
              </w:rPr>
              <w:t>2</w:t>
            </w:r>
          </w:p>
        </w:tc>
        <w:tc>
          <w:tcPr>
            <w:tcW w:w="2835" w:type="dxa"/>
            <w:gridSpan w:val="2"/>
            <w:vAlign w:val="center"/>
          </w:tcPr>
          <w:p>
            <w:pPr>
              <w:pStyle w:val="54"/>
            </w:pPr>
            <w:r>
              <w:rPr>
                <w:rFonts w:hint="eastAsia"/>
              </w:rPr>
              <w:t>表面粗糙度</w:t>
            </w:r>
          </w:p>
        </w:tc>
        <w:tc>
          <w:tcPr>
            <w:tcW w:w="5805" w:type="dxa"/>
          </w:tcPr>
          <w:p>
            <w:pPr>
              <w:pStyle w:val="54"/>
            </w:pPr>
            <w:r>
              <w:rPr>
                <w:rFonts w:hint="eastAsia"/>
              </w:rPr>
              <w:t>表面粗糙度比较样块MPE：＋12%～－17%</w:t>
            </w:r>
          </w:p>
          <w:p>
            <w:pPr>
              <w:pStyle w:val="54"/>
            </w:pPr>
            <w:r>
              <w:rPr>
                <w:rFonts w:hint="eastAsia"/>
                <w:kern w:val="0"/>
              </w:rPr>
              <w:t>或粗糙度测量仪</w:t>
            </w:r>
            <w:r>
              <w:rPr>
                <w:kern w:val="0"/>
              </w:rPr>
              <w:t>MPE</w:t>
            </w:r>
            <w:r>
              <w:rPr>
                <w:rFonts w:hint="eastAsia"/>
                <w:kern w:val="0"/>
              </w:rPr>
              <w:t>：±</w:t>
            </w:r>
            <w:r>
              <w:rPr>
                <w:kern w:val="0"/>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04" w:type="dxa"/>
            <w:vMerge w:val="restart"/>
            <w:vAlign w:val="center"/>
          </w:tcPr>
          <w:p>
            <w:pPr>
              <w:pStyle w:val="54"/>
            </w:pPr>
            <w:r>
              <w:rPr>
                <w:rFonts w:hint="eastAsia"/>
              </w:rPr>
              <w:t>3</w:t>
            </w:r>
          </w:p>
        </w:tc>
        <w:tc>
          <w:tcPr>
            <w:tcW w:w="1134" w:type="dxa"/>
            <w:vMerge w:val="restart"/>
            <w:vAlign w:val="center"/>
          </w:tcPr>
          <w:p>
            <w:pPr>
              <w:pStyle w:val="54"/>
            </w:pPr>
            <w:r>
              <w:rPr>
                <w:rFonts w:hint="eastAsia"/>
              </w:rPr>
              <w:t>缺陷</w:t>
            </w:r>
          </w:p>
        </w:tc>
        <w:tc>
          <w:tcPr>
            <w:tcW w:w="1701" w:type="dxa"/>
            <w:vAlign w:val="center"/>
          </w:tcPr>
          <w:p>
            <w:pPr>
              <w:pStyle w:val="54"/>
            </w:pPr>
            <w:r>
              <w:rPr>
                <w:rFonts w:hint="eastAsia"/>
              </w:rPr>
              <w:t>裂纹宽度</w:t>
            </w:r>
          </w:p>
        </w:tc>
        <w:tc>
          <w:tcPr>
            <w:tcW w:w="5805" w:type="dxa"/>
          </w:tcPr>
          <w:p>
            <w:pPr>
              <w:pStyle w:val="54"/>
            </w:pPr>
            <w:r>
              <w:rPr>
                <w:rFonts w:hint="eastAsia"/>
              </w:rPr>
              <w:t>金相显微镜或与其相当的仪器MPE：</w:t>
            </w:r>
            <w:r>
              <w:t>5</w:t>
            </w:r>
            <w:r>
              <w:rPr>
                <w:rFonts w:hint="eastAsi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04" w:type="dxa"/>
            <w:vMerge w:val="continue"/>
            <w:vAlign w:val="center"/>
          </w:tcPr>
          <w:p>
            <w:pPr>
              <w:pStyle w:val="54"/>
            </w:pPr>
          </w:p>
        </w:tc>
        <w:tc>
          <w:tcPr>
            <w:tcW w:w="1134" w:type="dxa"/>
            <w:vMerge w:val="continue"/>
            <w:vAlign w:val="center"/>
          </w:tcPr>
          <w:p>
            <w:pPr>
              <w:pStyle w:val="54"/>
            </w:pPr>
          </w:p>
        </w:tc>
        <w:tc>
          <w:tcPr>
            <w:tcW w:w="1701" w:type="dxa"/>
            <w:vAlign w:val="center"/>
          </w:tcPr>
          <w:p>
            <w:pPr>
              <w:pStyle w:val="54"/>
            </w:pPr>
            <w:r>
              <w:rPr>
                <w:rFonts w:hint="eastAsia"/>
              </w:rPr>
              <w:t>裂纹区域长直径/最大直径</w:t>
            </w:r>
          </w:p>
        </w:tc>
        <w:tc>
          <w:tcPr>
            <w:tcW w:w="5805" w:type="dxa"/>
            <w:vAlign w:val="center"/>
          </w:tcPr>
          <w:p>
            <w:pPr>
              <w:pStyle w:val="54"/>
              <w:rPr>
                <w:kern w:val="0"/>
              </w:rPr>
            </w:pPr>
            <w:r>
              <w:rPr>
                <w:rFonts w:hint="eastAsia"/>
                <w:kern w:val="0"/>
              </w:rPr>
              <w:t>测量显微镜或与其相当的仪器</w:t>
            </w:r>
            <w:r>
              <w:rPr>
                <w:kern w:val="0"/>
              </w:rPr>
              <w:t>MPE</w:t>
            </w:r>
            <w:r>
              <w:rPr>
                <w:rFonts w:hint="eastAsia"/>
                <w:kern w:val="0"/>
              </w:rPr>
              <w:t>：±</w:t>
            </w:r>
            <w:r>
              <w:rPr>
                <w:kern w:val="0"/>
              </w:rPr>
              <w:t>2μm</w:t>
            </w:r>
          </w:p>
        </w:tc>
      </w:tr>
    </w:tbl>
    <w:p>
      <w:pPr>
        <w:pStyle w:val="2"/>
      </w:pPr>
      <w:bookmarkStart w:id="44" w:name="_Toc516556753"/>
      <w:bookmarkStart w:id="45" w:name="_Toc478472385"/>
      <w:r>
        <w:rPr>
          <w:rFonts w:hint="eastAsia"/>
        </w:rPr>
        <w:t>校准项目和校准方法</w:t>
      </w:r>
      <w:bookmarkEnd w:id="44"/>
      <w:bookmarkEnd w:id="45"/>
    </w:p>
    <w:p>
      <w:r>
        <w:rPr>
          <w:rFonts w:hint="eastAsia"/>
        </w:rPr>
        <w:t>以下项目的校准方法和标准器及配套设备的选取，可根据测量结果最大允差的要求确定。</w:t>
      </w:r>
    </w:p>
    <w:p>
      <w:r>
        <w:rPr>
          <w:rFonts w:hint="eastAsia"/>
        </w:rPr>
        <w:t>校准前应使用丙酮对试块进行彻底清洗，通过显微镜（1</w:t>
      </w:r>
      <w:r>
        <w:t>0</w:t>
      </w:r>
      <w:r>
        <w:rPr>
          <w:rFonts w:hint="eastAsia"/>
        </w:rPr>
        <w:t>倍～3</w:t>
      </w:r>
      <w:r>
        <w:t>0</w:t>
      </w:r>
      <w:r>
        <w:rPr>
          <w:rFonts w:hint="eastAsia"/>
        </w:rPr>
        <w:t>倍）下对比试块裂纹白光及黑光下形态是否一致，确认裂纹无阻塞等影响校准结果的因素，</w:t>
      </w:r>
      <w:bookmarkStart w:id="46" w:name="_Hlk516141735"/>
      <w:r>
        <w:rPr>
          <w:rFonts w:hint="eastAsia"/>
        </w:rPr>
        <w:t>如发现裂纹阻塞，应将试块在溶液（丙酮或酒精或者二者1:1混合物）中浸泡，同时也可使用超声波清洗机配合清洗，直至无阻塞后方可进行校准。</w:t>
      </w:r>
    </w:p>
    <w:bookmarkEnd w:id="46"/>
    <w:p>
      <w:pPr>
        <w:pStyle w:val="4"/>
      </w:pPr>
      <w:bookmarkStart w:id="47" w:name="_Toc516556754"/>
      <w:bookmarkStart w:id="48" w:name="_Toc478472386"/>
      <w:r>
        <w:rPr>
          <w:rFonts w:hint="eastAsia"/>
        </w:rPr>
        <w:t>外观</w:t>
      </w:r>
      <w:bookmarkEnd w:id="47"/>
    </w:p>
    <w:p>
      <w:bookmarkStart w:id="49" w:name="_Hlk516141935"/>
      <w:r>
        <w:rPr>
          <w:rFonts w:hint="eastAsia"/>
        </w:rPr>
        <w:t>试块的外观用目力观察，必要时借助5倍放大镜。</w:t>
      </w:r>
    </w:p>
    <w:bookmarkEnd w:id="49"/>
    <w:p>
      <w:pPr>
        <w:pStyle w:val="4"/>
      </w:pPr>
      <w:bookmarkStart w:id="50" w:name="_Toc516556755"/>
      <w:r>
        <w:rPr>
          <w:rFonts w:hint="eastAsia"/>
        </w:rPr>
        <w:t>表面粗糙度</w:t>
      </w:r>
      <w:bookmarkEnd w:id="48"/>
      <w:bookmarkEnd w:id="50"/>
    </w:p>
    <w:p>
      <w:r>
        <w:rPr>
          <w:rFonts w:hint="eastAsia"/>
        </w:rPr>
        <w:t>试块的表面粗糙度用表面粗糙度比较样块进行比较测量，表面粗糙度测量时选择最接近被测表面粗糙度值的样块标称值作为测量结果</w:t>
      </w:r>
      <w:bookmarkStart w:id="51" w:name="_Hlk498463358"/>
      <w:r>
        <w:rPr>
          <w:rFonts w:hint="eastAsia"/>
        </w:rPr>
        <w:t>，也可以用表面粗糙度测量仪进行测量。</w:t>
      </w:r>
      <w:bookmarkEnd w:id="51"/>
    </w:p>
    <w:p>
      <w:r>
        <w:rPr>
          <w:rFonts w:hint="eastAsia"/>
        </w:rPr>
        <w:t>使用粗糙度仪测量时，试块表面粗糙度每区按照图7所示方位进行测量。</w:t>
      </w:r>
    </w:p>
    <w:p>
      <w:pPr>
        <w:spacing w:line="240" w:lineRule="auto"/>
        <w:jc w:val="center"/>
      </w:pPr>
      <w:r>
        <w:drawing>
          <wp:inline distT="0" distB="0" distL="0" distR="0">
            <wp:extent cx="2201545" cy="1168400"/>
            <wp:effectExtent l="0" t="0" r="8255" b="0"/>
            <wp:docPr id="33"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图片 33"/>
                    <pic:cNvPicPr>
                      <a:picLocks noChangeAspect="1"/>
                    </pic:cNvPicPr>
                  </pic:nvPicPr>
                  <pic:blipFill>
                    <a:blip r:embed="rId27"/>
                    <a:srcRect b="5609"/>
                    <a:stretch>
                      <a:fillRect/>
                    </a:stretch>
                  </pic:blipFill>
                  <pic:spPr>
                    <a:xfrm>
                      <a:off x="0" y="0"/>
                      <a:ext cx="2239887" cy="1188711"/>
                    </a:xfrm>
                    <a:prstGeom prst="rect">
                      <a:avLst/>
                    </a:prstGeom>
                    <a:ln>
                      <a:noFill/>
                    </a:ln>
                  </pic:spPr>
                </pic:pic>
              </a:graphicData>
            </a:graphic>
          </wp:inline>
        </w:drawing>
      </w:r>
    </w:p>
    <w:p>
      <w:pPr>
        <w:pStyle w:val="49"/>
      </w:pPr>
      <w:r>
        <w:rPr>
          <w:rFonts w:hint="eastAsia"/>
        </w:rPr>
        <w:t>图</w:t>
      </w:r>
      <w:r>
        <w:t xml:space="preserve">7  </w:t>
      </w:r>
      <w:r>
        <w:rPr>
          <w:rFonts w:hint="eastAsia"/>
        </w:rPr>
        <w:t>粗糙度测量方位示意图</w:t>
      </w:r>
    </w:p>
    <w:p>
      <w:pPr>
        <w:pStyle w:val="4"/>
      </w:pPr>
      <w:bookmarkStart w:id="52" w:name="_Toc516556756"/>
      <w:bookmarkStart w:id="53" w:name="_Toc478472387"/>
      <w:r>
        <w:rPr>
          <w:rFonts w:hint="eastAsia"/>
        </w:rPr>
        <w:t>镀层厚度</w:t>
      </w:r>
      <w:bookmarkEnd w:id="52"/>
      <w:bookmarkEnd w:id="53"/>
    </w:p>
    <w:p>
      <w:r>
        <w:rPr>
          <w:rFonts w:hint="eastAsia"/>
        </w:rPr>
        <w:t>使用镀层厚度测量仪器测量镀层厚度。</w:t>
      </w:r>
    </w:p>
    <w:p>
      <w:r>
        <w:rPr>
          <w:rFonts w:hint="eastAsia"/>
        </w:rPr>
        <w:t>试块表面镀层厚度至少均布5个位置测量，测量位置参照图</w:t>
      </w:r>
      <w:r>
        <w:t>8</w:t>
      </w:r>
      <w:r>
        <w:rPr>
          <w:rFonts w:hint="eastAsia"/>
        </w:rPr>
        <w:t>。</w:t>
      </w:r>
    </w:p>
    <w:p>
      <w:pPr>
        <w:spacing w:line="240" w:lineRule="auto"/>
        <w:jc w:val="center"/>
      </w:pPr>
      <w:r>
        <w:drawing>
          <wp:inline distT="0" distB="0" distL="0" distR="0">
            <wp:extent cx="4077970" cy="2066925"/>
            <wp:effectExtent l="0" t="0" r="0" b="9525"/>
            <wp:docPr id="37"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图片 37"/>
                    <pic:cNvPicPr>
                      <a:picLocks noChangeAspect="1"/>
                    </pic:cNvPicPr>
                  </pic:nvPicPr>
                  <pic:blipFill>
                    <a:blip r:embed="rId28"/>
                    <a:stretch>
                      <a:fillRect/>
                    </a:stretch>
                  </pic:blipFill>
                  <pic:spPr>
                    <a:xfrm>
                      <a:off x="0" y="0"/>
                      <a:ext cx="4113167" cy="2085166"/>
                    </a:xfrm>
                    <a:prstGeom prst="rect">
                      <a:avLst/>
                    </a:prstGeom>
                  </pic:spPr>
                </pic:pic>
              </a:graphicData>
            </a:graphic>
          </wp:inline>
        </w:drawing>
      </w:r>
    </w:p>
    <w:p>
      <w:pPr>
        <w:ind w:firstLine="420"/>
        <w:jc w:val="center"/>
        <w:rPr>
          <w:rFonts w:cstheme="majorBidi"/>
          <w:sz w:val="21"/>
          <w:szCs w:val="21"/>
        </w:rPr>
      </w:pPr>
      <w:r>
        <w:rPr>
          <w:rFonts w:hint="eastAsia" w:cstheme="majorBidi"/>
          <w:sz w:val="21"/>
          <w:szCs w:val="21"/>
        </w:rPr>
        <w:t>图8</w:t>
      </w:r>
      <w:r>
        <w:rPr>
          <w:rFonts w:cstheme="majorBidi"/>
          <w:sz w:val="21"/>
          <w:szCs w:val="21"/>
        </w:rPr>
        <w:t xml:space="preserve"> </w:t>
      </w:r>
      <w:r>
        <w:rPr>
          <w:rFonts w:hint="eastAsia" w:cstheme="majorBidi"/>
          <w:sz w:val="21"/>
          <w:szCs w:val="21"/>
        </w:rPr>
        <w:t>镀层测量位置示意图</w:t>
      </w:r>
    </w:p>
    <w:p>
      <w:pPr>
        <w:pStyle w:val="4"/>
      </w:pPr>
      <w:bookmarkStart w:id="54" w:name="_Toc516556757"/>
      <w:r>
        <w:rPr>
          <w:rFonts w:hint="eastAsia"/>
        </w:rPr>
        <w:t>缺陷</w:t>
      </w:r>
      <w:bookmarkEnd w:id="54"/>
    </w:p>
    <w:p>
      <w:pPr>
        <w:pStyle w:val="5"/>
        <w:ind w:hanging="5954"/>
      </w:pPr>
      <w:bookmarkStart w:id="55" w:name="_Hlk516142508"/>
      <w:r>
        <w:rPr>
          <w:rFonts w:hint="eastAsia"/>
        </w:rPr>
        <w:t>条形裂纹宽度</w:t>
      </w:r>
      <w:bookmarkEnd w:id="55"/>
      <w:r>
        <w:rPr>
          <w:rFonts w:hint="eastAsia"/>
        </w:rPr>
        <w:t>（适用于机标C型和国标</w:t>
      </w:r>
      <w:r>
        <w:t>1</w:t>
      </w:r>
      <w:r>
        <w:rPr>
          <w:rFonts w:hint="eastAsia"/>
        </w:rPr>
        <w:t>型）</w:t>
      </w:r>
    </w:p>
    <w:p>
      <w:bookmarkStart w:id="56" w:name="_Hlk516142515"/>
      <w:r>
        <w:rPr>
          <w:rFonts w:hint="eastAsia"/>
        </w:rPr>
        <w:t>可用金相显微镜在试块上选取均布5个位置的裂纹进行测量，选取位置参照图8。测量每条裂纹宽度，取裂纹宽度的平均值作为校准结果，计算裂纹宽度与镀层厚度的比值。</w:t>
      </w:r>
    </w:p>
    <w:bookmarkEnd w:id="56"/>
    <w:p>
      <w:pPr>
        <w:pStyle w:val="5"/>
        <w:ind w:hanging="5954"/>
      </w:pPr>
      <w:bookmarkStart w:id="57" w:name="_Hlk516147176"/>
      <w:r>
        <w:rPr>
          <w:rFonts w:hint="eastAsia"/>
        </w:rPr>
        <w:t>裂纹区域长径</w:t>
      </w:r>
      <w:r>
        <w:t>/</w:t>
      </w:r>
      <w:r>
        <w:rPr>
          <w:rFonts w:hint="eastAsia"/>
        </w:rPr>
        <w:t>最大直径</w:t>
      </w:r>
      <w:bookmarkEnd w:id="57"/>
      <w:r>
        <w:rPr>
          <w:rFonts w:hint="eastAsia"/>
        </w:rPr>
        <w:t>（适用于国标2型和机标B型）</w:t>
      </w:r>
    </w:p>
    <w:p>
      <w:r>
        <w:rPr>
          <w:rFonts w:hint="eastAsia"/>
        </w:rPr>
        <w:t>可采用工具显微镜测量，测量时调整仪器，裂纹区外边缘清晰地出现在仪器视场内，按仪器操作方法进行测量，测量时在缺陷区域外边缘上近似均匀分布选取不少于10条裂纹进行，测量每条裂纹的最外端点的坐标；如果裂纹总数量少于1</w:t>
      </w:r>
      <w:r>
        <w:t>0</w:t>
      </w:r>
      <w:r>
        <w:rPr>
          <w:rFonts w:hint="eastAsia"/>
        </w:rPr>
        <w:t>条时，则测量所有裂纹的最外端点的坐标。</w:t>
      </w:r>
    </w:p>
    <w:p>
      <w:r>
        <w:rPr>
          <w:rFonts w:hint="eastAsia"/>
        </w:rPr>
        <w:t>按标准G</w:t>
      </w:r>
      <w:r>
        <w:t>B/T7325-2004</w:t>
      </w:r>
      <w:r>
        <w:rPr>
          <w:rFonts w:hint="eastAsia"/>
        </w:rPr>
        <w:t>附录D中的最小二乘法拟合圆方法对缺陷区域外轮廓圆的圆心坐标进行拟合确定，按照公式1和公式2计算最小二乘圆心坐标（a，b）。按公式3计算出每个测量点相对应圆心的径向距离</w:t>
      </w:r>
      <w:r>
        <w:rPr>
          <w:rFonts w:hint="eastAsia"/>
          <w:i/>
        </w:rPr>
        <w:t>r</w:t>
      </w:r>
      <w:r>
        <w:rPr>
          <w:rFonts w:hint="eastAsia"/>
          <w:i/>
          <w:vertAlign w:val="subscript"/>
        </w:rPr>
        <w:t>i</w:t>
      </w:r>
      <w:r>
        <w:rPr>
          <w:rFonts w:hint="eastAsia"/>
        </w:rPr>
        <w:t>，其中最大值的2倍作为裂纹区域长径/最大直径的校准结果。</w:t>
      </w:r>
    </w:p>
    <w:p>
      <w:pPr>
        <w:spacing w:line="540" w:lineRule="auto"/>
        <w:ind w:firstLine="0" w:firstLineChars="0"/>
        <w:jc w:val="right"/>
      </w:pPr>
      <m:oMath>
        <m:r>
          <m:rPr>
            <m:sty m:val="p"/>
          </m:rPr>
          <w:rPr>
            <w:rFonts w:hint="eastAsia" w:ascii="Cambria Math" w:hAnsi="Cambria Math"/>
          </w:rPr>
          <m:t>a=</m:t>
        </m:r>
        <m:f>
          <m:fPr>
            <m:ctrlPr>
              <w:rPr>
                <w:rFonts w:ascii="Cambria Math" w:hAnsi="Cambria Math"/>
              </w:rPr>
            </m:ctrlPr>
          </m:fPr>
          <m:num>
            <m:r>
              <w:rPr>
                <w:rFonts w:ascii="Cambria Math" w:hAnsi="Cambria Math"/>
              </w:rPr>
              <m:t>1</m:t>
            </m:r>
            <m:ctrlPr>
              <w:rPr>
                <w:rFonts w:ascii="Cambria Math" w:hAnsi="Cambria Math"/>
              </w:rPr>
            </m:ctrlPr>
          </m:num>
          <m:den>
            <m:r>
              <w:rPr>
                <w:rFonts w:ascii="Cambria Math" w:hAnsi="Cambria Math"/>
              </w:rPr>
              <m:t>n</m:t>
            </m:r>
            <m:ctrlPr>
              <w:rPr>
                <w:rFonts w:ascii="Cambria Math" w:hAnsi="Cambria Math"/>
              </w:rPr>
            </m:ctrlPr>
          </m:den>
        </m:f>
        <m:nary>
          <m:naryPr>
            <m:chr m:val="∑"/>
            <m:limLoc m:val="undOvr"/>
            <m:ctrlPr>
              <w:rPr>
                <w:rFonts w:ascii="Cambria Math" w:hAnsi="Cambria Math"/>
                <w:i/>
              </w:rPr>
            </m:ctrlPr>
          </m:naryPr>
          <m:sub>
            <m:r>
              <w:rPr>
                <w:rFonts w:ascii="Cambria Math" w:hAnsi="Cambria Math"/>
              </w:rPr>
              <m:t>i=1</m:t>
            </m:r>
            <m:ctrlPr>
              <w:rPr>
                <w:rFonts w:ascii="Cambria Math" w:hAnsi="Cambria Math"/>
                <w:i/>
              </w:rPr>
            </m:ctrlPr>
          </m:sub>
          <m:sup>
            <m:r>
              <w:rPr>
                <w:rFonts w:ascii="Cambria Math" w:hAnsi="Cambria Math"/>
              </w:rPr>
              <m:t>n</m:t>
            </m:r>
            <m:ctrlPr>
              <w:rPr>
                <w:rFonts w:ascii="Cambria Math" w:hAnsi="Cambria Math"/>
                <w:i/>
              </w:rPr>
            </m:ctrlPr>
          </m:sup>
          <m:e>
            <m:sSub>
              <m:sSubPr>
                <m:ctrlPr>
                  <w:rPr>
                    <w:rFonts w:ascii="Cambria Math" w:hAnsi="Cambria Math"/>
                    <w:i/>
                  </w:rPr>
                </m:ctrlPr>
              </m:sSubPr>
              <m:e>
                <m:r>
                  <w:rPr>
                    <w:rFonts w:ascii="Cambria Math" w:hAnsi="Cambria Math"/>
                  </w:rPr>
                  <m:t>x</m:t>
                </m:r>
                <m:ctrlPr>
                  <w:rPr>
                    <w:rFonts w:ascii="Cambria Math" w:hAnsi="Cambria Math"/>
                    <w:i/>
                  </w:rPr>
                </m:ctrlPr>
              </m:e>
              <m:sub>
                <m:r>
                  <w:rPr>
                    <w:rFonts w:ascii="Cambria Math" w:hAnsi="Cambria Math"/>
                  </w:rPr>
                  <m:t>i</m:t>
                </m:r>
                <m:ctrlPr>
                  <w:rPr>
                    <w:rFonts w:ascii="Cambria Math" w:hAnsi="Cambria Math"/>
                    <w:i/>
                  </w:rPr>
                </m:ctrlPr>
              </m:sub>
            </m:sSub>
            <m:ctrlPr>
              <w:rPr>
                <w:rFonts w:ascii="Cambria Math" w:hAnsi="Cambria Math"/>
                <w:i/>
              </w:rPr>
            </m:ctrlPr>
          </m:e>
        </m:nary>
      </m:oMath>
      <w:r>
        <w:rPr>
          <w:rFonts w:hint="eastAsia"/>
        </w:rPr>
        <w:t xml:space="preserve">     </w:t>
      </w:r>
      <w:r>
        <w:t xml:space="preserve"> </w:t>
      </w:r>
      <w:r>
        <w:rPr>
          <w:rFonts w:hint="eastAsia"/>
        </w:rPr>
        <w:t xml:space="preserve">  </w:t>
      </w:r>
      <w:r>
        <w:t xml:space="preserve">                </w:t>
      </w:r>
      <w:r>
        <w:rPr>
          <w:rFonts w:hint="eastAsia"/>
        </w:rPr>
        <w:t xml:space="preserve">        (1)</w:t>
      </w:r>
    </w:p>
    <w:p>
      <w:pPr>
        <w:wordWrap w:val="0"/>
        <w:spacing w:line="540" w:lineRule="auto"/>
        <w:ind w:firstLine="0" w:firstLineChars="0"/>
        <w:jc w:val="right"/>
      </w:pPr>
      <m:oMath>
        <m:r>
          <m:rPr>
            <m:sty m:val="p"/>
          </m:rPr>
          <w:rPr>
            <w:rFonts w:hint="eastAsia" w:ascii="Cambria Math" w:hAnsi="Cambria Math"/>
          </w:rPr>
          <m:t>b=</m:t>
        </m:r>
        <m:f>
          <m:fPr>
            <m:ctrlPr>
              <w:rPr>
                <w:rFonts w:ascii="Cambria Math" w:hAnsi="Cambria Math"/>
              </w:rPr>
            </m:ctrlPr>
          </m:fPr>
          <m:num>
            <m:r>
              <w:rPr>
                <w:rFonts w:ascii="Cambria Math" w:hAnsi="Cambria Math"/>
              </w:rPr>
              <m:t>1</m:t>
            </m:r>
            <m:ctrlPr>
              <w:rPr>
                <w:rFonts w:ascii="Cambria Math" w:hAnsi="Cambria Math"/>
              </w:rPr>
            </m:ctrlPr>
          </m:num>
          <m:den>
            <m:r>
              <w:rPr>
                <w:rFonts w:ascii="Cambria Math" w:hAnsi="Cambria Math"/>
              </w:rPr>
              <m:t>n</m:t>
            </m:r>
            <m:ctrlPr>
              <w:rPr>
                <w:rFonts w:ascii="Cambria Math" w:hAnsi="Cambria Math"/>
              </w:rPr>
            </m:ctrlPr>
          </m:den>
        </m:f>
        <m:nary>
          <m:naryPr>
            <m:chr m:val="∑"/>
            <m:grow m:val="1"/>
            <m:limLoc m:val="undOvr"/>
            <m:ctrlPr>
              <w:rPr>
                <w:rFonts w:ascii="Cambria Math" w:hAnsi="Cambria Math"/>
                <w:i/>
              </w:rPr>
            </m:ctrlPr>
          </m:naryPr>
          <m:sub>
            <m:r>
              <w:rPr>
                <w:rFonts w:ascii="Cambria Math" w:hAnsi="Cambria Math"/>
              </w:rPr>
              <m:t>i=1</m:t>
            </m:r>
            <m:ctrlPr>
              <w:rPr>
                <w:rFonts w:ascii="Cambria Math" w:hAnsi="Cambria Math"/>
                <w:i/>
              </w:rPr>
            </m:ctrlPr>
          </m:sub>
          <m:sup>
            <m:r>
              <w:rPr>
                <w:rFonts w:ascii="Cambria Math" w:hAnsi="Cambria Math"/>
              </w:rPr>
              <m:t>n</m:t>
            </m:r>
            <m:ctrlPr>
              <w:rPr>
                <w:rFonts w:ascii="Cambria Math" w:hAnsi="Cambria Math"/>
                <w:i/>
              </w:rPr>
            </m:ctrlPr>
          </m:sup>
          <m:e>
            <m:sSub>
              <m:sSubPr>
                <m:ctrlPr>
                  <w:rPr>
                    <w:rFonts w:ascii="Cambria Math" w:hAnsi="Cambria Math"/>
                    <w:i/>
                  </w:rPr>
                </m:ctrlPr>
              </m:sSubPr>
              <m:e>
                <m:r>
                  <w:rPr>
                    <w:rFonts w:hint="eastAsia" w:ascii="Cambria Math" w:hAnsi="Cambria Math"/>
                  </w:rPr>
                  <m:t>y</m:t>
                </m:r>
                <m:ctrlPr>
                  <w:rPr>
                    <w:rFonts w:ascii="Cambria Math" w:hAnsi="Cambria Math"/>
                    <w:i/>
                  </w:rPr>
                </m:ctrlPr>
              </m:e>
              <m:sub>
                <m:r>
                  <w:rPr>
                    <w:rFonts w:ascii="Cambria Math" w:hAnsi="Cambria Math"/>
                  </w:rPr>
                  <m:t>i</m:t>
                </m:r>
                <m:ctrlPr>
                  <w:rPr>
                    <w:rFonts w:ascii="Cambria Math" w:hAnsi="Cambria Math"/>
                    <w:i/>
                  </w:rPr>
                </m:ctrlPr>
              </m:sub>
            </m:sSub>
            <m:ctrlPr>
              <w:rPr>
                <w:rFonts w:ascii="Cambria Math" w:hAnsi="Cambria Math"/>
                <w:i/>
              </w:rPr>
            </m:ctrlPr>
          </m:e>
        </m:nary>
      </m:oMath>
      <w:r>
        <w:rPr>
          <w:rFonts w:hint="eastAsia"/>
        </w:rPr>
        <w:t xml:space="preserve">            </w:t>
      </w:r>
      <w:r>
        <w:t xml:space="preserve">               </w:t>
      </w:r>
      <w:r>
        <w:rPr>
          <w:rFonts w:hint="eastAsia"/>
        </w:rPr>
        <w:t xml:space="preserve">  (2)</w:t>
      </w:r>
    </w:p>
    <w:p>
      <w:pPr>
        <w:wordWrap w:val="0"/>
        <w:jc w:val="right"/>
      </w:pPr>
      <m:oMath>
        <m:sSub>
          <m:sSubPr>
            <m:ctrlPr>
              <w:rPr>
                <w:rFonts w:ascii="Cambria Math" w:hAnsi="Cambria Math"/>
              </w:rPr>
            </m:ctrlPr>
          </m:sSubPr>
          <m:e>
            <m:r>
              <w:rPr>
                <w:rFonts w:ascii="Cambria Math" w:hAnsi="Cambria Math"/>
              </w:rPr>
              <m:t>r</m:t>
            </m:r>
            <m:ctrlPr>
              <w:rPr>
                <w:rFonts w:ascii="Cambria Math" w:hAnsi="Cambria Math"/>
              </w:rPr>
            </m:ctrlPr>
          </m:e>
          <m:sub>
            <m:r>
              <w:rPr>
                <w:rFonts w:ascii="Cambria Math" w:hAnsi="Cambria Math"/>
              </w:rPr>
              <m:t>i</m:t>
            </m:r>
            <m:ctrlPr>
              <w:rPr>
                <w:rFonts w:ascii="Cambria Math" w:hAnsi="Cambria Math"/>
              </w:rPr>
            </m:ctrlPr>
          </m:sub>
        </m:sSub>
        <m:r>
          <m:rPr>
            <m:sty m:val="p"/>
          </m:rPr>
          <w:rPr>
            <w:rFonts w:hint="eastAsia" w:ascii="Cambria Math" w:hAnsi="Cambria Math"/>
          </w:rPr>
          <m:t>=</m:t>
        </m:r>
        <m:rad>
          <m:radPr>
            <m:degHide m:val="1"/>
            <m:ctrlPr>
              <w:rPr>
                <w:rFonts w:ascii="Cambria Math" w:hAnsi="Cambria Math"/>
              </w:rPr>
            </m:ctrlPr>
          </m:radPr>
          <m:deg>
            <m:ctrlPr>
              <w:rPr>
                <w:rFonts w:ascii="Cambria Math" w:hAnsi="Cambria Math"/>
              </w:rPr>
            </m:ctrlPr>
          </m:deg>
          <m:e>
            <m:sSup>
              <m:sSupPr>
                <m:ctrlPr>
                  <w:rPr>
                    <w:rFonts w:ascii="Cambria Math" w:hAnsi="Cambria Math"/>
                  </w:rPr>
                </m:ctrlPr>
              </m:sSupPr>
              <m:e>
                <m:sSub>
                  <m:sSubPr>
                    <m:ctrlPr>
                      <w:rPr>
                        <w:rFonts w:ascii="Cambria Math" w:hAnsi="Cambria Math"/>
                        <w:i/>
                      </w:rPr>
                    </m:ctrlPr>
                  </m:sSubPr>
                  <m:e>
                    <m:r>
                      <w:rPr>
                        <w:rFonts w:ascii="Cambria Math" w:hAnsi="Cambria Math"/>
                      </w:rPr>
                      <m:t>(x</m:t>
                    </m:r>
                    <m:ctrlPr>
                      <w:rPr>
                        <w:rFonts w:ascii="Cambria Math" w:hAnsi="Cambria Math"/>
                        <w:i/>
                      </w:rPr>
                    </m:ctrlPr>
                  </m:e>
                  <m:sub>
                    <m:r>
                      <w:rPr>
                        <w:rFonts w:ascii="Cambria Math" w:hAnsi="Cambria Math"/>
                      </w:rPr>
                      <m:t>i</m:t>
                    </m:r>
                    <m:ctrlPr>
                      <w:rPr>
                        <w:rFonts w:ascii="Cambria Math" w:hAnsi="Cambria Math"/>
                        <w:i/>
                      </w:rPr>
                    </m:ctrlPr>
                  </m:sub>
                </m:sSub>
                <m:r>
                  <m:rPr>
                    <m:sty m:val="p"/>
                  </m:rPr>
                  <w:rPr>
                    <w:rFonts w:ascii="Cambria Math" w:hAnsi="Cambria Math"/>
                  </w:rPr>
                  <m:t>-a)</m:t>
                </m:r>
                <m:ctrlPr>
                  <w:rPr>
                    <w:rFonts w:ascii="Cambria Math" w:hAnsi="Cambria Math"/>
                  </w:rPr>
                </m:ctrlPr>
              </m:e>
              <m:sup>
                <m:r>
                  <m:rPr>
                    <m:sty m:val="p"/>
                  </m:rPr>
                  <w:rPr>
                    <w:rFonts w:ascii="Cambria Math" w:hAnsi="Cambria Math"/>
                  </w:rPr>
                  <m:t>2</m:t>
                </m:r>
                <m:ctrlPr>
                  <w:rPr>
                    <w:rFonts w:ascii="Cambria Math" w:hAnsi="Cambria Math"/>
                  </w:rPr>
                </m:ctrlPr>
              </m:sup>
            </m:sSup>
            <m:r>
              <m:rPr>
                <m:sty m:val="p"/>
              </m:rPr>
              <w:rPr>
                <w:rFonts w:ascii="Cambria Math" w:hAnsi="Cambria Math"/>
              </w:rPr>
              <m:t>+(</m:t>
            </m:r>
            <m:sSub>
              <m:sSubPr>
                <m:ctrlPr>
                  <w:rPr>
                    <w:rFonts w:ascii="Cambria Math" w:hAnsi="Cambria Math"/>
                    <w:i/>
                  </w:rPr>
                </m:ctrlPr>
              </m:sSubPr>
              <m:e>
                <m:r>
                  <w:rPr>
                    <w:rFonts w:hint="eastAsia" w:ascii="Cambria Math" w:hAnsi="Cambria Math"/>
                  </w:rPr>
                  <m:t>y</m:t>
                </m:r>
                <m:ctrlPr>
                  <w:rPr>
                    <w:rFonts w:ascii="Cambria Math" w:hAnsi="Cambria Math"/>
                    <w:i/>
                  </w:rPr>
                </m:ctrlPr>
              </m:e>
              <m:sub>
                <m:r>
                  <w:rPr>
                    <w:rFonts w:ascii="Cambria Math" w:hAnsi="Cambria Math"/>
                  </w:rPr>
                  <m:t>i</m:t>
                </m:r>
                <m:ctrlPr>
                  <w:rPr>
                    <w:rFonts w:ascii="Cambria Math" w:hAnsi="Cambria Math"/>
                    <w:i/>
                  </w:rPr>
                </m:ctrlPr>
              </m:sub>
            </m:sSub>
            <m:r>
              <w:rPr>
                <w:rFonts w:ascii="Cambria Math" w:hAnsi="Cambria Math"/>
              </w:rPr>
              <m:t>-</m:t>
            </m:r>
            <m:sSup>
              <m:sSupPr>
                <m:ctrlPr>
                  <w:rPr>
                    <w:rFonts w:ascii="Cambria Math" w:hAnsi="Cambria Math"/>
                  </w:rPr>
                </m:ctrlPr>
              </m:sSupPr>
              <m:e>
                <m:r>
                  <m:rPr>
                    <m:sty m:val="p"/>
                  </m:rPr>
                  <w:rPr>
                    <w:rFonts w:ascii="Cambria Math" w:hAnsi="Cambria Math"/>
                  </w:rPr>
                  <m:t>b)</m:t>
                </m:r>
                <m:ctrlPr>
                  <w:rPr>
                    <w:rFonts w:ascii="Cambria Math" w:hAnsi="Cambria Math"/>
                  </w:rPr>
                </m:ctrlPr>
              </m:e>
              <m:sup>
                <m:r>
                  <m:rPr>
                    <m:sty m:val="p"/>
                  </m:rPr>
                  <w:rPr>
                    <w:rFonts w:ascii="Cambria Math" w:hAnsi="Cambria Math"/>
                  </w:rPr>
                  <m:t>2</m:t>
                </m:r>
                <m:ctrlPr>
                  <w:rPr>
                    <w:rFonts w:ascii="Cambria Math" w:hAnsi="Cambria Math"/>
                  </w:rPr>
                </m:ctrlPr>
              </m:sup>
            </m:sSup>
            <m:ctrlPr>
              <w:rPr>
                <w:rFonts w:ascii="Cambria Math" w:hAnsi="Cambria Math"/>
              </w:rPr>
            </m:ctrlPr>
          </m:e>
        </m:rad>
      </m:oMath>
      <w:r>
        <w:rPr>
          <w:rFonts w:hint="eastAsia"/>
        </w:rPr>
        <w:t xml:space="preserve">       </w:t>
      </w:r>
      <w:r>
        <w:t xml:space="preserve">            </w:t>
      </w:r>
      <w:r>
        <w:rPr>
          <w:rFonts w:hint="eastAsia"/>
        </w:rPr>
        <w:t xml:space="preserve">    (3)</w:t>
      </w:r>
    </w:p>
    <w:p>
      <w:pPr>
        <w:wordWrap w:val="0"/>
        <w:spacing w:line="240" w:lineRule="auto"/>
        <w:jc w:val="right"/>
      </w:pPr>
      <m:oMath>
        <m:r>
          <w:rPr>
            <w:rFonts w:ascii="Cambria Math" w:hAnsi="Cambria Math"/>
          </w:rPr>
          <m:t>R</m:t>
        </m:r>
        <m:r>
          <m:rPr>
            <m:sty m:val="p"/>
          </m:rPr>
          <w:rPr>
            <w:rFonts w:hint="eastAsia" w:ascii="Cambria Math" w:hAnsi="Cambria Math"/>
          </w:rPr>
          <m:t>=</m:t>
        </m:r>
        <m:f>
          <m:fPr>
            <m:ctrlPr>
              <w:rPr>
                <w:rFonts w:ascii="Cambria Math" w:hAnsi="Cambria Math"/>
              </w:rPr>
            </m:ctrlPr>
          </m:fPr>
          <m:num>
            <m:r>
              <w:rPr>
                <w:rFonts w:ascii="Cambria Math" w:hAnsi="Cambria Math"/>
              </w:rPr>
              <m:t>1</m:t>
            </m:r>
            <m:ctrlPr>
              <w:rPr>
                <w:rFonts w:ascii="Cambria Math" w:hAnsi="Cambria Math"/>
              </w:rPr>
            </m:ctrlPr>
          </m:num>
          <m:den>
            <m:r>
              <w:rPr>
                <w:rFonts w:ascii="Cambria Math" w:hAnsi="Cambria Math"/>
              </w:rPr>
              <m:t>n</m:t>
            </m:r>
            <m:ctrlPr>
              <w:rPr>
                <w:rFonts w:ascii="Cambria Math" w:hAnsi="Cambria Math"/>
              </w:rPr>
            </m:ctrlPr>
          </m:den>
        </m:f>
        <m:nary>
          <m:naryPr>
            <m:chr m:val="∑"/>
            <m:limLoc m:val="undOvr"/>
            <m:ctrlPr>
              <w:rPr>
                <w:rFonts w:ascii="Cambria Math" w:hAnsi="Cambria Math"/>
                <w:i/>
              </w:rPr>
            </m:ctrlPr>
          </m:naryPr>
          <m:sub>
            <m:r>
              <w:rPr>
                <w:rFonts w:ascii="Cambria Math" w:hAnsi="Cambria Math"/>
              </w:rPr>
              <m:t>i=1</m:t>
            </m:r>
            <m:ctrlPr>
              <w:rPr>
                <w:rFonts w:ascii="Cambria Math" w:hAnsi="Cambria Math"/>
                <w:i/>
              </w:rPr>
            </m:ctrlPr>
          </m:sub>
          <m:sup>
            <m:r>
              <w:rPr>
                <w:rFonts w:ascii="Cambria Math" w:hAnsi="Cambria Math"/>
              </w:rPr>
              <m:t>n</m:t>
            </m:r>
            <m:ctrlPr>
              <w:rPr>
                <w:rFonts w:ascii="Cambria Math" w:hAnsi="Cambria Math"/>
                <w:i/>
              </w:rPr>
            </m:ctrlPr>
          </m:sup>
          <m:e>
            <m:sSub>
              <m:sSubPr>
                <m:ctrlPr>
                  <w:rPr>
                    <w:rFonts w:ascii="Cambria Math" w:hAnsi="Cambria Math"/>
                    <w:i/>
                  </w:rPr>
                </m:ctrlPr>
              </m:sSubPr>
              <m:e>
                <m:r>
                  <w:rPr>
                    <w:rFonts w:ascii="Cambria Math" w:hAnsi="Cambria Math"/>
                  </w:rPr>
                  <m:t>r</m:t>
                </m:r>
                <m:ctrlPr>
                  <w:rPr>
                    <w:rFonts w:ascii="Cambria Math" w:hAnsi="Cambria Math"/>
                    <w:i/>
                  </w:rPr>
                </m:ctrlPr>
              </m:e>
              <m:sub>
                <m:r>
                  <w:rPr>
                    <w:rFonts w:ascii="Cambria Math" w:hAnsi="Cambria Math"/>
                  </w:rPr>
                  <m:t>i</m:t>
                </m:r>
                <m:ctrlPr>
                  <w:rPr>
                    <w:rFonts w:ascii="Cambria Math" w:hAnsi="Cambria Math"/>
                    <w:i/>
                  </w:rPr>
                </m:ctrlPr>
              </m:sub>
            </m:sSub>
            <m:ctrlPr>
              <w:rPr>
                <w:rFonts w:ascii="Cambria Math" w:hAnsi="Cambria Math"/>
                <w:i/>
              </w:rPr>
            </m:ctrlPr>
          </m:e>
        </m:nary>
      </m:oMath>
      <w:r>
        <w:rPr>
          <w:rFonts w:hint="eastAsia"/>
        </w:rPr>
        <w:t xml:space="preserve">        </w:t>
      </w:r>
      <w:r>
        <w:t xml:space="preserve">                  </w:t>
      </w:r>
      <w:r>
        <w:rPr>
          <w:rFonts w:hint="eastAsia"/>
        </w:rPr>
        <w:t xml:space="preserve">   (4)</w:t>
      </w:r>
    </w:p>
    <w:p>
      <w:pPr>
        <w:ind w:firstLine="0" w:firstLineChars="0"/>
      </w:pPr>
      <w:r>
        <w:rPr>
          <w:rFonts w:hint="eastAsia"/>
        </w:rPr>
        <w:t>式中：</w:t>
      </w:r>
    </w:p>
    <w:p>
      <w:pPr>
        <w:ind w:firstLine="0" w:firstLineChars="0"/>
        <w:rPr>
          <w:color w:val="000000" w:themeColor="text1"/>
          <w14:textFill>
            <w14:solidFill>
              <w14:schemeClr w14:val="tx1"/>
            </w14:solidFill>
          </w14:textFill>
        </w:rPr>
      </w:pPr>
      <w:r>
        <w:rPr>
          <w:rFonts w:hint="eastAsia"/>
          <w:color w:val="ED7D31" w:themeColor="accent2"/>
          <w14:textFill>
            <w14:solidFill>
              <w14:schemeClr w14:val="accent2"/>
            </w14:solidFill>
          </w14:textFill>
        </w:rPr>
        <w:t xml:space="preserve">     </w:t>
      </w:r>
      <w:r>
        <w:rPr>
          <w:rFonts w:hint="eastAsia"/>
          <w:color w:val="000000" w:themeColor="text1"/>
          <w14:textFill>
            <w14:solidFill>
              <w14:schemeClr w14:val="tx1"/>
            </w14:solidFill>
          </w14:textFill>
        </w:rPr>
        <w:t xml:space="preserve"> a，b——最小二乘圆心坐标；</w:t>
      </w:r>
    </w:p>
    <w:p>
      <w:pPr>
        <w:ind w:firstLine="720" w:firstLineChars="300"/>
        <w:rPr>
          <w:color w:val="000000" w:themeColor="text1"/>
          <w14:textFill>
            <w14:solidFill>
              <w14:schemeClr w14:val="tx1"/>
            </w14:solidFill>
          </w14:textFill>
        </w:rPr>
      </w:pPr>
      <w:r>
        <w:rPr>
          <w:rFonts w:hint="eastAsia"/>
          <w:i/>
          <w:color w:val="000000" w:themeColor="text1"/>
          <w14:textFill>
            <w14:solidFill>
              <w14:schemeClr w14:val="tx1"/>
            </w14:solidFill>
          </w14:textFill>
        </w:rPr>
        <w:t>x</w:t>
      </w:r>
      <w:r>
        <w:rPr>
          <w:rFonts w:hint="eastAsia"/>
          <w:color w:val="000000" w:themeColor="text1"/>
          <w:vertAlign w:val="subscript"/>
          <w14:textFill>
            <w14:solidFill>
              <w14:schemeClr w14:val="tx1"/>
            </w14:solidFill>
          </w14:textFill>
        </w:rPr>
        <w:t>i</w:t>
      </w:r>
      <w:r>
        <w:rPr>
          <w:rFonts w:hint="eastAsia"/>
          <w:color w:val="000000" w:themeColor="text1"/>
          <w14:textFill>
            <w14:solidFill>
              <w14:schemeClr w14:val="tx1"/>
            </w14:solidFill>
          </w14:textFill>
        </w:rPr>
        <w:t>，</w:t>
      </w:r>
      <w:r>
        <w:rPr>
          <w:rFonts w:hint="eastAsia"/>
          <w:i/>
          <w:color w:val="000000" w:themeColor="text1"/>
          <w14:textFill>
            <w14:solidFill>
              <w14:schemeClr w14:val="tx1"/>
            </w14:solidFill>
          </w14:textFill>
        </w:rPr>
        <w:t>y</w:t>
      </w:r>
      <w:r>
        <w:rPr>
          <w:rFonts w:hint="eastAsia"/>
          <w:color w:val="000000" w:themeColor="text1"/>
          <w:vertAlign w:val="subscript"/>
          <w14:textFill>
            <w14:solidFill>
              <w14:schemeClr w14:val="tx1"/>
            </w14:solidFill>
          </w14:textFill>
        </w:rPr>
        <w:t>i</w:t>
      </w:r>
      <w:r>
        <w:rPr>
          <w:rFonts w:hint="eastAsia"/>
          <w:color w:val="000000" w:themeColor="text1"/>
          <w14:textFill>
            <w14:solidFill>
              <w14:schemeClr w14:val="tx1"/>
            </w14:solidFill>
          </w14:textFill>
        </w:rPr>
        <w:t>——第i测量点的</w:t>
      </w:r>
      <w:r>
        <w:rPr>
          <w:rFonts w:hint="eastAsia"/>
          <w:i/>
          <w:color w:val="000000" w:themeColor="text1"/>
          <w14:textFill>
            <w14:solidFill>
              <w14:schemeClr w14:val="tx1"/>
            </w14:solidFill>
          </w14:textFill>
        </w:rPr>
        <w:t>x</w:t>
      </w:r>
      <w:r>
        <w:rPr>
          <w:rFonts w:hint="eastAsia"/>
          <w:color w:val="000000" w:themeColor="text1"/>
          <w14:textFill>
            <w14:solidFill>
              <w14:schemeClr w14:val="tx1"/>
            </w14:solidFill>
          </w14:textFill>
        </w:rPr>
        <w:t>轴和</w:t>
      </w:r>
      <w:r>
        <w:rPr>
          <w:rFonts w:hint="eastAsia"/>
          <w:i/>
          <w:color w:val="000000" w:themeColor="text1"/>
          <w14:textFill>
            <w14:solidFill>
              <w14:schemeClr w14:val="tx1"/>
            </w14:solidFill>
          </w14:textFill>
        </w:rPr>
        <w:t>y</w:t>
      </w:r>
      <w:r>
        <w:rPr>
          <w:rFonts w:hint="eastAsia"/>
          <w:color w:val="000000" w:themeColor="text1"/>
          <w14:textFill>
            <w14:solidFill>
              <w14:schemeClr w14:val="tx1"/>
            </w14:solidFill>
          </w14:textFill>
        </w:rPr>
        <w:t>轴坐标；</w:t>
      </w:r>
    </w:p>
    <w:p>
      <w:pPr>
        <w:ind w:firstLine="0" w:firstLineChars="0"/>
        <w:rPr>
          <w:color w:val="000000" w:themeColor="text1"/>
          <w14:textFill>
            <w14:solidFill>
              <w14:schemeClr w14:val="tx1"/>
            </w14:solidFill>
          </w14:textFill>
        </w:rPr>
      </w:pPr>
      <w:r>
        <w:rPr>
          <w:rFonts w:hint="eastAsia"/>
          <w:color w:val="000000" w:themeColor="text1"/>
          <w14:textFill>
            <w14:solidFill>
              <w14:schemeClr w14:val="tx1"/>
            </w14:solidFill>
          </w14:textFill>
        </w:rPr>
        <w:t xml:space="preserve">     </w:t>
      </w:r>
      <m:oMath>
        <m:r>
          <m:rPr>
            <m:sty m:val="p"/>
          </m:rPr>
          <w:rPr>
            <w:rFonts w:ascii="Cambria Math" w:hAnsi="Cambria Math"/>
            <w:color w:val="000000" w:themeColor="text1"/>
            <w14:textFill>
              <w14:solidFill>
                <w14:schemeClr w14:val="tx1"/>
              </w14:solidFill>
            </w14:textFill>
          </w:rPr>
          <m:t xml:space="preserve">  </m:t>
        </m:r>
        <m:sSub>
          <m:sSubPr>
            <m:ctrlPr>
              <w:rPr>
                <w:rFonts w:ascii="Cambria Math" w:hAnsi="Cambria Math"/>
                <w:color w:val="000000" w:themeColor="text1"/>
                <w14:textFill>
                  <w14:solidFill>
                    <w14:schemeClr w14:val="tx1"/>
                  </w14:solidFill>
                </w14:textFill>
              </w:rPr>
            </m:ctrlPr>
          </m:sSubPr>
          <m:e>
            <m:r>
              <w:rPr>
                <w:rFonts w:ascii="Cambria Math" w:hAnsi="Cambria Math"/>
                <w:color w:val="000000" w:themeColor="text1"/>
                <w14:textFill>
                  <w14:solidFill>
                    <w14:schemeClr w14:val="tx1"/>
                  </w14:solidFill>
                </w14:textFill>
              </w:rPr>
              <m:t>r</m:t>
            </m:r>
            <m:ctrlPr>
              <w:rPr>
                <w:rFonts w:ascii="Cambria Math" w:hAnsi="Cambria Math"/>
                <w:color w:val="000000" w:themeColor="text1"/>
                <w14:textFill>
                  <w14:solidFill>
                    <w14:schemeClr w14:val="tx1"/>
                  </w14:solidFill>
                </w14:textFill>
              </w:rPr>
            </m:ctrlPr>
          </m:e>
          <m:sub>
            <m:r>
              <w:rPr>
                <w:rFonts w:ascii="Cambria Math" w:hAnsi="Cambria Math"/>
                <w:color w:val="000000" w:themeColor="text1"/>
                <w14:textFill>
                  <w14:solidFill>
                    <w14:schemeClr w14:val="tx1"/>
                  </w14:solidFill>
                </w14:textFill>
              </w:rPr>
              <m:t>i</m:t>
            </m:r>
            <m:ctrlPr>
              <w:rPr>
                <w:rFonts w:ascii="Cambria Math" w:hAnsi="Cambria Math"/>
                <w:color w:val="000000" w:themeColor="text1"/>
                <w14:textFill>
                  <w14:solidFill>
                    <w14:schemeClr w14:val="tx1"/>
                  </w14:solidFill>
                </w14:textFill>
              </w:rPr>
            </m:ctrlPr>
          </m:sub>
        </m:sSub>
      </m:oMath>
      <w:r>
        <w:rPr>
          <w:rFonts w:hint="eastAsia"/>
          <w:color w:val="000000" w:themeColor="text1"/>
          <w14:textFill>
            <w14:solidFill>
              <w14:schemeClr w14:val="tx1"/>
            </w14:solidFill>
          </w14:textFill>
        </w:rPr>
        <w:t>——每个测量点相对应圆心的径向距离，mm；</w:t>
      </w:r>
    </w:p>
    <w:p>
      <w:pPr>
        <w:ind w:firstLine="0" w:firstLineChars="0"/>
        <w:rPr>
          <w:color w:val="000000" w:themeColor="text1"/>
          <w14:textFill>
            <w14:solidFill>
              <w14:schemeClr w14:val="tx1"/>
            </w14:solidFill>
          </w14:textFill>
        </w:rPr>
      </w:pPr>
      <w:r>
        <w:rPr>
          <w:rFonts w:hint="eastAsia"/>
          <w:color w:val="000000" w:themeColor="text1"/>
          <w14:textFill>
            <w14:solidFill>
              <w14:schemeClr w14:val="tx1"/>
            </w14:solidFill>
          </w14:textFill>
        </w:rPr>
        <w:t xml:space="preserve">      </w:t>
      </w:r>
      <w:r>
        <w:rPr>
          <w:rFonts w:hint="eastAsia"/>
          <w:i/>
          <w:color w:val="000000" w:themeColor="text1"/>
          <w14:textFill>
            <w14:solidFill>
              <w14:schemeClr w14:val="tx1"/>
            </w14:solidFill>
          </w14:textFill>
        </w:rPr>
        <w:t>R</w:t>
      </w:r>
      <w:r>
        <w:rPr>
          <w:rFonts w:hint="eastAsia"/>
          <w:color w:val="000000" w:themeColor="text1"/>
          <w14:textFill>
            <w14:solidFill>
              <w14:schemeClr w14:val="tx1"/>
            </w14:solidFill>
          </w14:textFill>
        </w:rPr>
        <w:t>——最小二乘法对缺陷区域外轮廓圆拟合出圆的半径，mm；</w:t>
      </w:r>
    </w:p>
    <w:p>
      <w:pPr>
        <w:ind w:firstLine="0" w:firstLineChars="0"/>
        <w:rPr>
          <w:color w:val="000000" w:themeColor="text1"/>
          <w14:textFill>
            <w14:solidFill>
              <w14:schemeClr w14:val="tx1"/>
            </w14:solidFill>
          </w14:textFill>
        </w:rPr>
      </w:pPr>
      <w:r>
        <w:rPr>
          <w:rFonts w:hint="eastAsia"/>
          <w:color w:val="000000" w:themeColor="text1"/>
          <w14:textFill>
            <w14:solidFill>
              <w14:schemeClr w14:val="tx1"/>
            </w14:solidFill>
          </w14:textFill>
        </w:rPr>
        <w:t xml:space="preserve">      n——测量点数。</w:t>
      </w:r>
    </w:p>
    <w:p>
      <w:pPr>
        <w:pStyle w:val="5"/>
        <w:ind w:hanging="5954"/>
      </w:pPr>
      <w:bookmarkStart w:id="58" w:name="_Hlk516148292"/>
      <w:bookmarkStart w:id="59" w:name="_Toc478472391"/>
      <w:r>
        <w:rPr>
          <w:rFonts w:hint="eastAsia"/>
        </w:rPr>
        <w:t>杂散型裂纹宽度</w:t>
      </w:r>
      <w:bookmarkEnd w:id="58"/>
      <w:r>
        <w:rPr>
          <w:rFonts w:hint="eastAsia"/>
        </w:rPr>
        <w:t>（适用于机标A型试块）</w:t>
      </w:r>
      <w:bookmarkEnd w:id="59"/>
    </w:p>
    <w:p>
      <w:r>
        <w:rPr>
          <w:rFonts w:hint="eastAsia"/>
        </w:rPr>
        <w:t>应用金相法测量试块上的裂纹宽度，在黑光条件下先使用荧光渗透剂确定试块缺陷分布及位置，在白光条件下，显微放大至5</w:t>
      </w:r>
      <w:r>
        <w:t>00</w:t>
      </w:r>
      <w:r>
        <w:rPr>
          <w:rFonts w:hint="eastAsia"/>
        </w:rPr>
        <w:t>倍，测量裂纹宽度。</w:t>
      </w:r>
    </w:p>
    <w:p>
      <w:pPr>
        <w:pStyle w:val="2"/>
      </w:pPr>
      <w:bookmarkStart w:id="60" w:name="_Toc478472394"/>
      <w:bookmarkStart w:id="61" w:name="_Toc516556758"/>
      <w:r>
        <w:rPr>
          <w:rFonts w:hint="eastAsia"/>
        </w:rPr>
        <w:t>校准结果表达</w:t>
      </w:r>
      <w:bookmarkEnd w:id="60"/>
      <w:bookmarkEnd w:id="61"/>
    </w:p>
    <w:p>
      <w:r>
        <w:rPr>
          <w:rFonts w:hint="eastAsia"/>
        </w:rPr>
        <w:t>经过校准的渗透检验参考试块出具校准证书，校准证书内页信息及格式见附录。</w:t>
      </w:r>
    </w:p>
    <w:p>
      <w:pPr>
        <w:pStyle w:val="2"/>
      </w:pPr>
      <w:bookmarkStart w:id="62" w:name="_Toc478472395"/>
      <w:bookmarkStart w:id="63" w:name="_Toc516556759"/>
      <w:r>
        <w:rPr>
          <w:rFonts w:hint="eastAsia"/>
        </w:rPr>
        <w:t>复校时间间隔</w:t>
      </w:r>
      <w:bookmarkEnd w:id="62"/>
      <w:bookmarkEnd w:id="63"/>
    </w:p>
    <w:p>
      <w:pPr>
        <w:pStyle w:val="3"/>
        <w:ind w:firstLine="480"/>
      </w:pPr>
      <w:r>
        <w:rPr>
          <w:rFonts w:hint="eastAsia"/>
        </w:rPr>
        <w:t>由于复校时间间隔的长短是由试块的使用频率、保养情况、使用者以及试块本身质量等因素所决定，送校单位可根据实际使用情况自主决定复校时间间隔，一般不超过1年。</w:t>
      </w:r>
    </w:p>
    <w:p>
      <w:pPr>
        <w:ind w:firstLine="0" w:firstLineChars="0"/>
        <w:sectPr>
          <w:footerReference r:id="rId15" w:type="default"/>
          <w:footerReference r:id="rId16" w:type="even"/>
          <w:pgSz w:w="11906" w:h="16838"/>
          <w:pgMar w:top="1588" w:right="1134" w:bottom="1361" w:left="1418" w:header="1134" w:footer="567" w:gutter="0"/>
          <w:pgNumType w:start="1"/>
          <w:cols w:space="425" w:num="1"/>
          <w:docGrid w:type="lines" w:linePitch="326" w:charSpace="0"/>
        </w:sectPr>
      </w:pPr>
    </w:p>
    <w:p>
      <w:pPr>
        <w:pStyle w:val="58"/>
      </w:pPr>
      <w:r>
        <w:t xml:space="preserve"> </w:t>
      </w:r>
      <w:r>
        <w:rPr>
          <w:rFonts w:hint="eastAsia"/>
        </w:rPr>
        <w:t xml:space="preserve"> </w:t>
      </w:r>
      <w:bookmarkStart w:id="64" w:name="_Toc516149930"/>
      <w:bookmarkStart w:id="65" w:name="_Toc516556760"/>
      <w:bookmarkStart w:id="66" w:name="_Toc478472396"/>
      <w:r>
        <w:rPr>
          <w:rFonts w:hint="eastAsia"/>
          <w:color w:val="FFFFFF" w:themeColor="background1"/>
          <w14:textFill>
            <w14:solidFill>
              <w14:schemeClr w14:val="bg1"/>
            </w14:solidFill>
          </w14:textFill>
        </w:rPr>
        <w:t>渗透检验参考试块裂纹宽度校准结果的测量不确定度评定</w:t>
      </w:r>
      <w:bookmarkEnd w:id="64"/>
      <w:bookmarkEnd w:id="65"/>
      <w:bookmarkEnd w:id="66"/>
    </w:p>
    <w:p>
      <w:pPr>
        <w:pStyle w:val="59"/>
        <w:spacing w:before="312" w:beforeLines="100" w:after="312" w:afterLines="100"/>
        <w:rPr>
          <w:highlight w:val="yellow"/>
        </w:rPr>
      </w:pPr>
      <w:r>
        <w:rPr>
          <w:rFonts w:hint="eastAsia"/>
        </w:rPr>
        <w:t>渗透检验参考试块裂纹宽度校准结果的测量不确定度评定</w:t>
      </w:r>
    </w:p>
    <w:p>
      <w:pPr>
        <w:pStyle w:val="3"/>
        <w:numPr>
          <w:ilvl w:val="1"/>
          <w:numId w:val="2"/>
        </w:numPr>
        <w:ind w:left="426" w:firstLineChars="0"/>
      </w:pPr>
      <w:r>
        <w:rPr>
          <w:rFonts w:hint="eastAsia"/>
        </w:rPr>
        <w:t>测量方法</w:t>
      </w:r>
    </w:p>
    <w:p>
      <w:pPr>
        <w:rPr>
          <w:color w:val="000000" w:themeColor="text1"/>
          <w14:textFill>
            <w14:solidFill>
              <w14:schemeClr w14:val="tx1"/>
            </w14:solidFill>
          </w14:textFill>
        </w:rPr>
      </w:pPr>
      <w:r>
        <w:rPr>
          <w:rFonts w:hint="eastAsia"/>
          <w:color w:val="000000" w:themeColor="text1"/>
          <w14:textFill>
            <w14:solidFill>
              <w14:schemeClr w14:val="tx1"/>
            </w14:solidFill>
          </w14:textFill>
        </w:rPr>
        <w:t>在试块上选取均布5个位置的裂纹，使用金相显微镜对5条裂纹宽度进行测量，</w:t>
      </w:r>
      <w:r>
        <w:rPr>
          <w:color w:val="000000" w:themeColor="text1"/>
          <w14:textFill>
            <w14:solidFill>
              <w14:schemeClr w14:val="tx1"/>
            </w14:solidFill>
          </w14:textFill>
        </w:rPr>
        <w:t>以测量结果的平均值作为裂纹宽度的测量结果。测量方法属于直接测量法。</w:t>
      </w:r>
    </w:p>
    <w:p>
      <w:pPr>
        <w:pStyle w:val="3"/>
        <w:numPr>
          <w:ilvl w:val="1"/>
          <w:numId w:val="2"/>
        </w:numPr>
        <w:ind w:left="426" w:firstLineChars="0"/>
      </w:pPr>
      <w:r>
        <w:rPr>
          <w:rFonts w:hint="eastAsia"/>
        </w:rPr>
        <w:t>测量模型</w:t>
      </w:r>
    </w:p>
    <w:p>
      <w:pPr>
        <w:spacing w:line="360" w:lineRule="auto"/>
        <w:ind w:firstLine="0" w:firstLineChars="0"/>
        <w:jc w:val="center"/>
      </w:pPr>
      <m:oMathPara>
        <m:oMath>
          <m:r>
            <w:rPr>
              <w:rFonts w:ascii="Cambria Math" w:hAnsi="Cambria Math"/>
            </w:rPr>
            <m:t>L=</m:t>
          </m:r>
          <m:f>
            <m:fPr>
              <m:ctrlPr>
                <w:rPr>
                  <w:rFonts w:ascii="Cambria Math" w:hAnsi="Cambria Math"/>
                  <w:i/>
                </w:rPr>
              </m:ctrlPr>
            </m:fPr>
            <m:num>
              <m:r>
                <w:rPr>
                  <w:rFonts w:ascii="Cambria Math" w:hAnsi="Cambria Math"/>
                </w:rPr>
                <m:t>1</m:t>
              </m:r>
              <m:ctrlPr>
                <w:rPr>
                  <w:rFonts w:ascii="Cambria Math" w:hAnsi="Cambria Math"/>
                  <w:i/>
                </w:rPr>
              </m:ctrlPr>
            </m:num>
            <m:den>
              <m:r>
                <w:rPr>
                  <w:rFonts w:ascii="Cambria Math" w:hAnsi="Cambria Math"/>
                </w:rPr>
                <m:t>5</m:t>
              </m:r>
              <m:ctrlPr>
                <w:rPr>
                  <w:rFonts w:ascii="Cambria Math" w:hAnsi="Cambria Math"/>
                  <w:i/>
                </w:rPr>
              </m:ctrlPr>
            </m:den>
          </m:f>
          <m:nary>
            <m:naryPr>
              <m:chr m:val="∑"/>
              <m:limLoc m:val="subSup"/>
              <m:ctrlPr>
                <w:rPr>
                  <w:rFonts w:ascii="Cambria Math" w:hAnsi="Cambria Math"/>
                  <w:i/>
                </w:rPr>
              </m:ctrlPr>
            </m:naryPr>
            <m:sub>
              <m:r>
                <w:rPr>
                  <w:rFonts w:ascii="Cambria Math" w:hAnsi="Cambria Math"/>
                </w:rPr>
                <m:t>i=1</m:t>
              </m:r>
              <m:ctrlPr>
                <w:rPr>
                  <w:rFonts w:ascii="Cambria Math" w:hAnsi="Cambria Math"/>
                  <w:i/>
                </w:rPr>
              </m:ctrlPr>
            </m:sub>
            <m:sup>
              <m:r>
                <w:rPr>
                  <w:rFonts w:ascii="Cambria Math" w:hAnsi="Cambria Math"/>
                </w:rPr>
                <m:t>5</m:t>
              </m:r>
              <m:ctrlPr>
                <w:rPr>
                  <w:rFonts w:ascii="Cambria Math" w:hAnsi="Cambria Math"/>
                  <w:i/>
                </w:rPr>
              </m:ctrlPr>
            </m:sup>
            <m:e>
              <m:sSub>
                <m:sSubPr>
                  <m:ctrlPr>
                    <w:rPr>
                      <w:rFonts w:ascii="Cambria Math" w:hAnsi="Cambria Math"/>
                      <w:i/>
                    </w:rPr>
                  </m:ctrlPr>
                </m:sSubPr>
                <m:e>
                  <m:r>
                    <w:rPr>
                      <w:rFonts w:ascii="Cambria Math" w:hAnsi="Cambria Math"/>
                    </w:rPr>
                    <m:t>L</m:t>
                  </m:r>
                  <m:ctrlPr>
                    <w:rPr>
                      <w:rFonts w:ascii="Cambria Math" w:hAnsi="Cambria Math"/>
                      <w:i/>
                    </w:rPr>
                  </m:ctrlPr>
                </m:e>
                <m:sub>
                  <m:r>
                    <w:rPr>
                      <w:rFonts w:ascii="Cambria Math" w:hAnsi="Cambria Math"/>
                    </w:rPr>
                    <m:t>i</m:t>
                  </m:r>
                  <m:ctrlPr>
                    <w:rPr>
                      <w:rFonts w:ascii="Cambria Math" w:hAnsi="Cambria Math"/>
                      <w:i/>
                    </w:rPr>
                  </m:ctrlPr>
                </m:sub>
              </m:sSub>
              <m:ctrlPr>
                <w:rPr>
                  <w:rFonts w:ascii="Cambria Math" w:hAnsi="Cambria Math"/>
                  <w:i/>
                </w:rPr>
              </m:ctrlPr>
            </m:e>
          </m:nary>
        </m:oMath>
      </m:oMathPara>
    </w:p>
    <w:p>
      <w:r>
        <w:rPr>
          <w:rFonts w:hint="eastAsia"/>
        </w:rPr>
        <w:t>式中：</w:t>
      </w:r>
    </w:p>
    <w:p>
      <w:pPr>
        <w:rPr>
          <w:rFonts w:cs="Times New Roman"/>
        </w:rPr>
      </w:pPr>
      <w:r>
        <w:rPr>
          <w:rFonts w:hint="eastAsia"/>
          <w:i/>
        </w:rPr>
        <w:t>L</w:t>
      </w:r>
      <w:r>
        <w:rPr>
          <w:rFonts w:hint="eastAsia"/>
        </w:rPr>
        <w:t>——裂纹宽度，m</w:t>
      </w:r>
      <w:r>
        <w:rPr>
          <w:rFonts w:cs="Times New Roman"/>
        </w:rPr>
        <w:t>m</w:t>
      </w:r>
      <w:r>
        <w:rPr>
          <w:rFonts w:hint="eastAsia" w:cs="Times New Roman"/>
        </w:rPr>
        <w:t>；</w:t>
      </w:r>
    </w:p>
    <w:p>
      <w:pPr>
        <w:rPr>
          <w:rFonts w:cs="Times New Roman"/>
        </w:rPr>
      </w:pPr>
      <m:oMath>
        <m:sSub>
          <m:sSubPr>
            <m:ctrlPr>
              <w:rPr>
                <w:rFonts w:ascii="Cambria Math" w:hAnsi="Cambria Math"/>
              </w:rPr>
            </m:ctrlPr>
          </m:sSubPr>
          <m:e>
            <m:r>
              <w:rPr>
                <w:rFonts w:ascii="Cambria Math" w:hAnsi="Cambria Math"/>
              </w:rPr>
              <m:t>L</m:t>
            </m:r>
            <m:ctrlPr>
              <w:rPr>
                <w:rFonts w:ascii="Cambria Math" w:hAnsi="Cambria Math"/>
              </w:rPr>
            </m:ctrlPr>
          </m:e>
          <m:sub>
            <m:r>
              <w:rPr>
                <w:rFonts w:ascii="Cambria Math" w:hAnsi="Cambria Math"/>
              </w:rPr>
              <m:t>i</m:t>
            </m:r>
            <m:ctrlPr>
              <w:rPr>
                <w:rFonts w:ascii="Cambria Math" w:hAnsi="Cambria Math"/>
              </w:rPr>
            </m:ctrlPr>
          </m:sub>
        </m:sSub>
      </m:oMath>
      <w:r>
        <w:rPr>
          <w:rFonts w:hint="eastAsia"/>
        </w:rPr>
        <w:t>——裂纹宽度的仪器测量值，m</w:t>
      </w:r>
      <w:r>
        <w:rPr>
          <w:rFonts w:cs="Times New Roman"/>
        </w:rPr>
        <w:t>m；</w:t>
      </w:r>
    </w:p>
    <w:p>
      <w:pPr>
        <w:pStyle w:val="3"/>
        <w:numPr>
          <w:ilvl w:val="1"/>
          <w:numId w:val="2"/>
        </w:numPr>
        <w:ind w:left="426" w:firstLineChars="0"/>
      </w:pPr>
      <w:r>
        <w:rPr>
          <w:rFonts w:hint="eastAsia"/>
        </w:rPr>
        <w:t>测量不确定度来源分析</w:t>
      </w:r>
    </w:p>
    <w:p>
      <w:r>
        <w:rPr>
          <w:rFonts w:hint="eastAsia"/>
        </w:rPr>
        <w:t>根据测量方法可知，每个裂纹宽度测量结果的不确定度来源主要有由金相显微镜测微尺最大允许误差引入的不确定度分量和测量重复性引入的不确定度分量。</w:t>
      </w:r>
    </w:p>
    <w:p>
      <w:pPr>
        <w:pStyle w:val="3"/>
        <w:numPr>
          <w:ilvl w:val="1"/>
          <w:numId w:val="2"/>
        </w:numPr>
        <w:ind w:left="426" w:firstLineChars="0"/>
      </w:pPr>
      <w:r>
        <w:rPr>
          <w:rFonts w:hint="eastAsia"/>
        </w:rPr>
        <w:t>不确定度传播率</w:t>
      </w:r>
    </w:p>
    <w:p>
      <w:r>
        <w:rPr>
          <w:rFonts w:hint="eastAsia"/>
        </w:rPr>
        <w:t>根据测量模型可得合成标准不确定度</w:t>
      </w:r>
      <m:oMath>
        <m:sSub>
          <m:sSubPr>
            <m:ctrlPr>
              <w:rPr>
                <w:rFonts w:ascii="Cambria Math" w:hAnsi="Cambria Math"/>
                <w:i/>
              </w:rPr>
            </m:ctrlPr>
          </m:sSubPr>
          <m:e>
            <m:r>
              <w:rPr>
                <w:rFonts w:ascii="Cambria Math" w:hAnsi="Cambria Math"/>
              </w:rPr>
              <m:t>u</m:t>
            </m:r>
            <m:ctrlPr>
              <w:rPr>
                <w:rFonts w:ascii="Cambria Math" w:hAnsi="Cambria Math"/>
                <w:i/>
              </w:rPr>
            </m:ctrlPr>
          </m:e>
          <m:sub>
            <m:r>
              <w:rPr>
                <w:rFonts w:ascii="Cambria Math" w:hAnsi="Cambria Math"/>
              </w:rPr>
              <m:t>c</m:t>
            </m:r>
            <m:ctrlPr>
              <w:rPr>
                <w:rFonts w:ascii="Cambria Math" w:hAnsi="Cambria Math"/>
                <w:i/>
              </w:rPr>
            </m:ctrlPr>
          </m:sub>
        </m:sSub>
      </m:oMath>
      <w:r>
        <w:rPr>
          <w:rFonts w:hint="eastAsia"/>
        </w:rPr>
        <w:t>的传播率表达式为：</w:t>
      </w:r>
    </w:p>
    <w:p>
      <w:pPr>
        <w:spacing w:line="240" w:lineRule="auto"/>
        <w:ind w:firstLine="0" w:firstLineChars="0"/>
        <w:jc w:val="right"/>
      </w:pPr>
      <m:oMathPara>
        <m:oMath>
          <m:sSub>
            <m:sSubPr>
              <m:ctrlPr>
                <w:rPr>
                  <w:rFonts w:ascii="Cambria Math" w:hAnsi="Cambria Math"/>
                  <w:i/>
                </w:rPr>
              </m:ctrlPr>
            </m:sSubPr>
            <m:e>
              <m:r>
                <w:rPr>
                  <w:rFonts w:ascii="Cambria Math" w:hAnsi="Cambria Math"/>
                </w:rPr>
                <m:t>u</m:t>
              </m:r>
              <m:ctrlPr>
                <w:rPr>
                  <w:rFonts w:ascii="Cambria Math" w:hAnsi="Cambria Math"/>
                  <w:i/>
                </w:rPr>
              </m:ctrlPr>
            </m:e>
            <m:sub>
              <m:r>
                <w:rPr>
                  <w:rFonts w:ascii="Cambria Math" w:hAnsi="Cambria Math"/>
                </w:rPr>
                <m:t>c</m:t>
              </m:r>
              <m:ctrlPr>
                <w:rPr>
                  <w:rFonts w:ascii="Cambria Math" w:hAnsi="Cambria Math"/>
                  <w:i/>
                </w:rPr>
              </m:ctrlPr>
            </m:sub>
          </m:sSub>
          <m:r>
            <w:rPr>
              <w:rFonts w:ascii="Cambria Math" w:hAnsi="Cambria Math"/>
            </w:rPr>
            <m:t>=</m:t>
          </m:r>
          <m:f>
            <m:fPr>
              <m:ctrlPr>
                <w:rPr>
                  <w:rFonts w:ascii="Cambria Math" w:hAnsi="Cambria Math"/>
                  <w:i/>
                </w:rPr>
              </m:ctrlPr>
            </m:fPr>
            <m:num>
              <m:r>
                <w:rPr>
                  <w:rFonts w:ascii="Cambria Math" w:hAnsi="Cambria Math"/>
                </w:rPr>
                <m:t>1</m:t>
              </m:r>
              <m:ctrlPr>
                <w:rPr>
                  <w:rFonts w:ascii="Cambria Math" w:hAnsi="Cambria Math"/>
                  <w:i/>
                </w:rPr>
              </m:ctrlPr>
            </m:num>
            <m:den>
              <m:r>
                <w:rPr>
                  <w:rFonts w:ascii="Cambria Math" w:hAnsi="Cambria Math"/>
                </w:rPr>
                <m:t>5</m:t>
              </m:r>
              <m:ctrlPr>
                <w:rPr>
                  <w:rFonts w:ascii="Cambria Math" w:hAnsi="Cambria Math"/>
                  <w:i/>
                </w:rPr>
              </m:ctrlPr>
            </m:den>
          </m:f>
          <m:rad>
            <m:radPr>
              <m:degHide m:val="1"/>
              <m:ctrlPr>
                <w:rPr>
                  <w:rFonts w:ascii="Cambria Math" w:hAnsi="Cambria Math"/>
                  <w:i/>
                </w:rPr>
              </m:ctrlPr>
            </m:radPr>
            <m:deg>
              <m:ctrlPr>
                <w:rPr>
                  <w:rFonts w:ascii="Cambria Math" w:hAnsi="Cambria Math"/>
                  <w:i/>
                </w:rPr>
              </m:ctrlPr>
            </m:deg>
            <m:e>
              <m:nary>
                <m:naryPr>
                  <m:chr m:val="∑"/>
                  <m:limLoc m:val="undOvr"/>
                  <m:ctrlPr>
                    <w:rPr>
                      <w:rFonts w:ascii="Cambria Math" w:hAnsi="Cambria Math"/>
                      <w:i/>
                    </w:rPr>
                  </m:ctrlPr>
                </m:naryPr>
                <m:sub>
                  <m:r>
                    <w:rPr>
                      <w:rFonts w:ascii="Cambria Math" w:hAnsi="Cambria Math"/>
                    </w:rPr>
                    <m:t>i=1</m:t>
                  </m:r>
                  <m:ctrlPr>
                    <w:rPr>
                      <w:rFonts w:ascii="Cambria Math" w:hAnsi="Cambria Math"/>
                      <w:i/>
                    </w:rPr>
                  </m:ctrlPr>
                </m:sub>
                <m:sup>
                  <m:r>
                    <w:rPr>
                      <w:rFonts w:ascii="Cambria Math" w:hAnsi="Cambria Math"/>
                    </w:rPr>
                    <m:t>5</m:t>
                  </m:r>
                  <m:ctrlPr>
                    <w:rPr>
                      <w:rFonts w:ascii="Cambria Math" w:hAnsi="Cambria Math"/>
                      <w:i/>
                    </w:rPr>
                  </m:ctrlPr>
                </m:sup>
                <m:e>
                  <m:sSup>
                    <m:sSupPr>
                      <m:ctrlPr>
                        <w:rPr>
                          <w:rFonts w:ascii="Cambria Math" w:hAnsi="Cambria Math"/>
                          <w:i/>
                        </w:rPr>
                      </m:ctrlPr>
                    </m:sSupPr>
                    <m:e>
                      <m:r>
                        <w:rPr>
                          <w:rFonts w:ascii="Cambria Math" w:hAnsi="Cambria Math"/>
                        </w:rPr>
                        <m:t>u</m:t>
                      </m:r>
                      <m:ctrlPr>
                        <w:rPr>
                          <w:rFonts w:ascii="Cambria Math" w:hAnsi="Cambria Math"/>
                          <w:i/>
                        </w:rPr>
                      </m:ctrlPr>
                    </m:e>
                    <m:sup>
                      <m:r>
                        <w:rPr>
                          <w:rFonts w:ascii="Cambria Math" w:hAnsi="Cambria Math"/>
                        </w:rPr>
                        <m:t>2</m:t>
                      </m:r>
                      <m:ctrlPr>
                        <w:rPr>
                          <w:rFonts w:ascii="Cambria Math" w:hAnsi="Cambria Math"/>
                          <w:i/>
                        </w:rPr>
                      </m:ctrlPr>
                    </m:sup>
                  </m:sSup>
                  <m:d>
                    <m:dPr>
                      <m:ctrlPr>
                        <w:rPr>
                          <w:rFonts w:ascii="Cambria Math" w:hAnsi="Cambria Math"/>
                          <w:i/>
                        </w:rPr>
                      </m:ctrlPr>
                    </m:dPr>
                    <m:e>
                      <m:sSub>
                        <m:sSubPr>
                          <m:ctrlPr>
                            <w:rPr>
                              <w:rFonts w:ascii="Cambria Math" w:hAnsi="Cambria Math"/>
                              <w:i/>
                            </w:rPr>
                          </m:ctrlPr>
                        </m:sSubPr>
                        <m:e>
                          <m:r>
                            <w:rPr>
                              <w:rFonts w:ascii="Cambria Math" w:hAnsi="Cambria Math"/>
                            </w:rPr>
                            <m:t>L</m:t>
                          </m:r>
                          <m:ctrlPr>
                            <w:rPr>
                              <w:rFonts w:ascii="Cambria Math" w:hAnsi="Cambria Math"/>
                              <w:i/>
                            </w:rPr>
                          </m:ctrlPr>
                        </m:e>
                        <m:sub>
                          <m:r>
                            <w:rPr>
                              <w:rFonts w:ascii="Cambria Math" w:hAnsi="Cambria Math"/>
                            </w:rPr>
                            <m:t>i</m:t>
                          </m:r>
                          <m:ctrlPr>
                            <w:rPr>
                              <w:rFonts w:ascii="Cambria Math" w:hAnsi="Cambria Math"/>
                              <w:i/>
                            </w:rPr>
                          </m:ctrlPr>
                        </m:sub>
                      </m:sSub>
                      <m:ctrlPr>
                        <w:rPr>
                          <w:rFonts w:ascii="Cambria Math" w:hAnsi="Cambria Math"/>
                          <w:i/>
                        </w:rPr>
                      </m:ctrlPr>
                    </m:e>
                  </m:d>
                  <m:ctrlPr>
                    <w:rPr>
                      <w:rFonts w:ascii="Cambria Math" w:hAnsi="Cambria Math"/>
                      <w:i/>
                    </w:rPr>
                  </m:ctrlPr>
                </m:e>
              </m:nary>
              <m:ctrlPr>
                <w:rPr>
                  <w:rFonts w:ascii="Cambria Math" w:hAnsi="Cambria Math"/>
                  <w:i/>
                </w:rPr>
              </m:ctrlPr>
            </m:e>
          </m:rad>
        </m:oMath>
      </m:oMathPara>
    </w:p>
    <w:p>
      <w:pPr>
        <w:ind w:firstLine="0" w:firstLineChars="0"/>
        <w:rPr>
          <w:rFonts w:cs="Times New Roman"/>
        </w:rPr>
      </w:pPr>
      <w:r>
        <w:rPr>
          <w:rFonts w:hint="eastAsia"/>
        </w:rPr>
        <w:t>式中：</w:t>
      </w:r>
      <m:oMath>
        <m:sSub>
          <m:sSubPr>
            <m:ctrlPr>
              <w:rPr>
                <w:rFonts w:ascii="Cambria Math" w:hAnsi="Cambria Math"/>
                <w:i/>
              </w:rPr>
            </m:ctrlPr>
          </m:sSubPr>
          <m:e>
            <m:r>
              <w:rPr>
                <w:rFonts w:ascii="Cambria Math" w:hAnsi="Cambria Math"/>
              </w:rPr>
              <m:t>u</m:t>
            </m:r>
            <m:ctrlPr>
              <w:rPr>
                <w:rFonts w:ascii="Cambria Math" w:hAnsi="Cambria Math"/>
                <w:i/>
              </w:rPr>
            </m:ctrlPr>
          </m:e>
          <m:sub>
            <m:r>
              <w:rPr>
                <w:rFonts w:ascii="Cambria Math" w:hAnsi="Cambria Math"/>
              </w:rPr>
              <m:t>c</m:t>
            </m:r>
            <m:ctrlPr>
              <w:rPr>
                <w:rFonts w:ascii="Cambria Math" w:hAnsi="Cambria Math"/>
                <w:i/>
              </w:rPr>
            </m:ctrlPr>
          </m:sub>
        </m:sSub>
      </m:oMath>
      <w:r>
        <w:rPr>
          <w:rFonts w:hint="eastAsia"/>
        </w:rPr>
        <w:t>——合成标准不确定度，</w:t>
      </w:r>
      <w:r>
        <w:rPr>
          <w:rFonts w:cs="Times New Roman"/>
        </w:rPr>
        <w:t>mm</w:t>
      </w:r>
      <w:r>
        <w:rPr>
          <w:rFonts w:hint="eastAsia" w:cs="Times New Roman"/>
        </w:rPr>
        <w:t>；</w:t>
      </w:r>
    </w:p>
    <w:p>
      <w:pPr>
        <w:ind w:left="780" w:leftChars="325" w:firstLine="0" w:firstLineChars="0"/>
        <w:rPr>
          <w:rFonts w:cs="Times New Roman"/>
        </w:rPr>
      </w:pPr>
      <m:oMath>
        <m:r>
          <w:rPr>
            <w:rFonts w:ascii="Cambria Math" w:hAnsi="Cambria Math"/>
          </w:rPr>
          <m:t>u</m:t>
        </m:r>
        <m:d>
          <m:dPr>
            <m:ctrlPr>
              <w:rPr>
                <w:rFonts w:ascii="Cambria Math" w:hAnsi="Cambria Math"/>
                <w:i/>
              </w:rPr>
            </m:ctrlPr>
          </m:dPr>
          <m:e>
            <m:sSub>
              <m:sSubPr>
                <m:ctrlPr>
                  <w:rPr>
                    <w:rFonts w:ascii="Cambria Math" w:hAnsi="Cambria Math"/>
                    <w:i/>
                  </w:rPr>
                </m:ctrlPr>
              </m:sSubPr>
              <m:e>
                <m:r>
                  <w:rPr>
                    <w:rFonts w:ascii="Cambria Math" w:hAnsi="Cambria Math"/>
                  </w:rPr>
                  <m:t>L</m:t>
                </m:r>
                <m:ctrlPr>
                  <w:rPr>
                    <w:rFonts w:ascii="Cambria Math" w:hAnsi="Cambria Math"/>
                    <w:i/>
                  </w:rPr>
                </m:ctrlPr>
              </m:e>
              <m:sub>
                <m:r>
                  <w:rPr>
                    <w:rFonts w:ascii="Cambria Math" w:hAnsi="Cambria Math"/>
                  </w:rPr>
                  <m:t>i</m:t>
                </m:r>
                <m:ctrlPr>
                  <w:rPr>
                    <w:rFonts w:ascii="Cambria Math" w:hAnsi="Cambria Math"/>
                    <w:i/>
                  </w:rPr>
                </m:ctrlPr>
              </m:sub>
            </m:sSub>
            <m:ctrlPr>
              <w:rPr>
                <w:rFonts w:ascii="Cambria Math" w:hAnsi="Cambria Math"/>
                <w:i/>
              </w:rPr>
            </m:ctrlPr>
          </m:e>
        </m:d>
      </m:oMath>
      <w:r>
        <w:rPr>
          <w:rFonts w:hint="eastAsia"/>
        </w:rPr>
        <w:t>——第</w:t>
      </w:r>
      <w:r>
        <w:rPr>
          <w:rFonts w:hint="eastAsia"/>
          <w:i/>
        </w:rPr>
        <w:t>i</w:t>
      </w:r>
      <w:r>
        <w:rPr>
          <w:rFonts w:hint="eastAsia"/>
        </w:rPr>
        <w:t>个裂纹宽度测量结果的标准不确定度分量，</w:t>
      </w:r>
      <w:r>
        <w:rPr>
          <w:rFonts w:cs="Times New Roman"/>
        </w:rPr>
        <w:t>mm</w:t>
      </w:r>
      <w:r>
        <w:rPr>
          <w:rFonts w:hint="eastAsia" w:cs="Times New Roman"/>
        </w:rPr>
        <w:t>；</w:t>
      </w:r>
    </w:p>
    <w:p>
      <w:r>
        <w:rPr>
          <w:rFonts w:hint="eastAsia"/>
        </w:rPr>
        <w:t>根据不确定度来源分析，每个裂纹宽度测量结果的标准不确定度分量</w:t>
      </w:r>
      <m:oMath>
        <m:r>
          <w:rPr>
            <w:rFonts w:ascii="Cambria Math" w:hAnsi="Cambria Math"/>
          </w:rPr>
          <m:t>u</m:t>
        </m:r>
        <m:d>
          <m:dPr>
            <m:ctrlPr>
              <w:rPr>
                <w:rFonts w:ascii="Cambria Math" w:hAnsi="Cambria Math"/>
                <w:i/>
              </w:rPr>
            </m:ctrlPr>
          </m:dPr>
          <m:e>
            <m:sSub>
              <m:sSubPr>
                <m:ctrlPr>
                  <w:rPr>
                    <w:rFonts w:ascii="Cambria Math" w:hAnsi="Cambria Math"/>
                    <w:i/>
                  </w:rPr>
                </m:ctrlPr>
              </m:sSubPr>
              <m:e>
                <m:r>
                  <w:rPr>
                    <w:rFonts w:ascii="Cambria Math" w:hAnsi="Cambria Math"/>
                  </w:rPr>
                  <m:t>L</m:t>
                </m:r>
                <m:ctrlPr>
                  <w:rPr>
                    <w:rFonts w:ascii="Cambria Math" w:hAnsi="Cambria Math"/>
                    <w:i/>
                  </w:rPr>
                </m:ctrlPr>
              </m:e>
              <m:sub>
                <m:r>
                  <w:rPr>
                    <w:rFonts w:ascii="Cambria Math" w:hAnsi="Cambria Math"/>
                  </w:rPr>
                  <m:t>i</m:t>
                </m:r>
                <m:ctrlPr>
                  <w:rPr>
                    <w:rFonts w:ascii="Cambria Math" w:hAnsi="Cambria Math"/>
                    <w:i/>
                  </w:rPr>
                </m:ctrlPr>
              </m:sub>
            </m:sSub>
            <m:ctrlPr>
              <w:rPr>
                <w:rFonts w:ascii="Cambria Math" w:hAnsi="Cambria Math"/>
                <w:i/>
              </w:rPr>
            </m:ctrlPr>
          </m:e>
        </m:d>
      </m:oMath>
      <w:r>
        <w:rPr>
          <w:rFonts w:hint="eastAsia"/>
        </w:rPr>
        <w:t>来源主要有测量重复性引入的不确定度分量</w:t>
      </w:r>
      <m:oMath>
        <m:sSub>
          <m:sSubPr>
            <m:ctrlPr>
              <w:rPr>
                <w:rFonts w:ascii="Cambria Math" w:hAnsi="Cambria Math"/>
              </w:rPr>
            </m:ctrlPr>
          </m:sSubPr>
          <m:e>
            <m:r>
              <w:rPr>
                <w:rFonts w:ascii="Cambria Math" w:hAnsi="Cambria Math"/>
              </w:rPr>
              <m:t>u</m:t>
            </m:r>
            <m:ctrlPr>
              <w:rPr>
                <w:rFonts w:ascii="Cambria Math" w:hAnsi="Cambria Math"/>
              </w:rPr>
            </m:ctrlPr>
          </m:e>
          <m:sub>
            <m:r>
              <w:rPr>
                <w:rFonts w:ascii="Cambria Math" w:hAnsi="Cambria Math"/>
              </w:rPr>
              <m:t>A</m:t>
            </m:r>
            <m:ctrlPr>
              <w:rPr>
                <w:rFonts w:ascii="Cambria Math" w:hAnsi="Cambria Math"/>
              </w:rPr>
            </m:ctrlPr>
          </m:sub>
        </m:sSub>
      </m:oMath>
      <w:r>
        <w:rPr>
          <w:rFonts w:hint="eastAsia"/>
        </w:rPr>
        <w:t>和金相显微镜测微尺最大允许误差引入的不确定度分量</w:t>
      </w:r>
      <m:oMath>
        <m:sSub>
          <m:sSubPr>
            <m:ctrlPr>
              <w:rPr>
                <w:rFonts w:ascii="Cambria Math" w:hAnsi="Cambria Math"/>
              </w:rPr>
            </m:ctrlPr>
          </m:sSubPr>
          <m:e>
            <m:r>
              <w:rPr>
                <w:rFonts w:ascii="Cambria Math" w:hAnsi="Cambria Math"/>
              </w:rPr>
              <m:t>u</m:t>
            </m:r>
            <m:ctrlPr>
              <w:rPr>
                <w:rFonts w:ascii="Cambria Math" w:hAnsi="Cambria Math"/>
              </w:rPr>
            </m:ctrlPr>
          </m:e>
          <m:sub>
            <m:r>
              <w:rPr>
                <w:rFonts w:ascii="Cambria Math" w:hAnsi="Cambria Math"/>
              </w:rPr>
              <m:t>B</m:t>
            </m:r>
            <m:ctrlPr>
              <w:rPr>
                <w:rFonts w:ascii="Cambria Math" w:hAnsi="Cambria Math"/>
              </w:rPr>
            </m:ctrlPr>
          </m:sub>
        </m:sSub>
      </m:oMath>
      <w:r>
        <w:rPr>
          <w:rFonts w:hint="eastAsia"/>
        </w:rPr>
        <w:t>，即</w:t>
      </w:r>
      <m:oMath>
        <m:sSup>
          <m:sSupPr>
            <m:ctrlPr>
              <w:rPr>
                <w:rFonts w:ascii="Cambria Math" w:hAnsi="Cambria Math"/>
                <w:i/>
              </w:rPr>
            </m:ctrlPr>
          </m:sSupPr>
          <m:e>
            <m:r>
              <w:rPr>
                <w:rFonts w:ascii="Cambria Math" w:hAnsi="Cambria Math"/>
              </w:rPr>
              <m:t>u</m:t>
            </m:r>
            <m:ctrlPr>
              <w:rPr>
                <w:rFonts w:ascii="Cambria Math" w:hAnsi="Cambria Math"/>
                <w:i/>
              </w:rPr>
            </m:ctrlPr>
          </m:e>
          <m:sup>
            <m:r>
              <w:rPr>
                <w:rFonts w:ascii="Cambria Math" w:hAnsi="Cambria Math"/>
              </w:rPr>
              <m:t>2</m:t>
            </m:r>
            <m:ctrlPr>
              <w:rPr>
                <w:rFonts w:ascii="Cambria Math" w:hAnsi="Cambria Math"/>
                <w:i/>
              </w:rPr>
            </m:ctrlPr>
          </m:sup>
        </m:sSup>
        <m:d>
          <m:dPr>
            <m:ctrlPr>
              <w:rPr>
                <w:rFonts w:ascii="Cambria Math" w:hAnsi="Cambria Math"/>
                <w:i/>
              </w:rPr>
            </m:ctrlPr>
          </m:dPr>
          <m:e>
            <m:sSub>
              <m:sSubPr>
                <m:ctrlPr>
                  <w:rPr>
                    <w:rFonts w:ascii="Cambria Math" w:hAnsi="Cambria Math"/>
                    <w:i/>
                  </w:rPr>
                </m:ctrlPr>
              </m:sSubPr>
              <m:e>
                <m:r>
                  <w:rPr>
                    <w:rFonts w:ascii="Cambria Math" w:hAnsi="Cambria Math"/>
                  </w:rPr>
                  <m:t>L</m:t>
                </m:r>
                <m:ctrlPr>
                  <w:rPr>
                    <w:rFonts w:ascii="Cambria Math" w:hAnsi="Cambria Math"/>
                    <w:i/>
                  </w:rPr>
                </m:ctrlPr>
              </m:e>
              <m:sub>
                <m:r>
                  <w:rPr>
                    <w:rFonts w:ascii="Cambria Math" w:hAnsi="Cambria Math"/>
                  </w:rPr>
                  <m:t>i</m:t>
                </m:r>
                <m:ctrlPr>
                  <w:rPr>
                    <w:rFonts w:ascii="Cambria Math" w:hAnsi="Cambria Math"/>
                    <w:i/>
                  </w:rPr>
                </m:ctrlPr>
              </m:sub>
            </m:sSub>
            <m:ctrlPr>
              <w:rPr>
                <w:rFonts w:ascii="Cambria Math" w:hAnsi="Cambria Math"/>
                <w:i/>
              </w:rPr>
            </m:ctrlPr>
          </m:e>
        </m:d>
        <m:r>
          <w:rPr>
            <w:rFonts w:hint="eastAsia" w:ascii="Cambria Math" w:hAnsi="Cambria Math"/>
          </w:rPr>
          <m:t>=</m:t>
        </m:r>
        <m:sSubSup>
          <m:sSubSupPr>
            <m:ctrlPr>
              <w:rPr>
                <w:rFonts w:ascii="Cambria Math" w:hAnsi="Cambria Math"/>
                <w:i/>
              </w:rPr>
            </m:ctrlPr>
          </m:sSubSupPr>
          <m:e>
            <m:r>
              <w:rPr>
                <w:rFonts w:hint="eastAsia" w:ascii="Cambria Math" w:hAnsi="Cambria Math"/>
              </w:rPr>
              <m:t>u</m:t>
            </m:r>
            <m:ctrlPr>
              <w:rPr>
                <w:rFonts w:ascii="Cambria Math" w:hAnsi="Cambria Math"/>
                <w:i/>
              </w:rPr>
            </m:ctrlPr>
          </m:e>
          <m:sub>
            <m:r>
              <w:rPr>
                <w:rFonts w:ascii="Cambria Math" w:hAnsi="Cambria Math"/>
              </w:rPr>
              <m:t>A</m:t>
            </m:r>
            <m:ctrlPr>
              <w:rPr>
                <w:rFonts w:ascii="Cambria Math" w:hAnsi="Cambria Math"/>
                <w:i/>
              </w:rPr>
            </m:ctrlPr>
          </m:sub>
          <m:sup>
            <m:r>
              <w:rPr>
                <w:rFonts w:ascii="Cambria Math" w:hAnsi="Cambria Math"/>
              </w:rPr>
              <m:t>2</m:t>
            </m:r>
            <m:ctrlPr>
              <w:rPr>
                <w:rFonts w:ascii="Cambria Math" w:hAnsi="Cambria Math"/>
                <w:i/>
              </w:rPr>
            </m:ctrlPr>
          </m:sup>
        </m:sSubSup>
        <m:r>
          <w:rPr>
            <w:rFonts w:ascii="Cambria Math" w:hAnsi="Cambria Math"/>
          </w:rPr>
          <m:t>+</m:t>
        </m:r>
        <m:sSubSup>
          <m:sSubSupPr>
            <m:ctrlPr>
              <w:rPr>
                <w:rFonts w:ascii="Cambria Math" w:hAnsi="Cambria Math"/>
                <w:i/>
              </w:rPr>
            </m:ctrlPr>
          </m:sSubSupPr>
          <m:e>
            <m:r>
              <w:rPr>
                <w:rFonts w:hint="eastAsia" w:ascii="Cambria Math" w:hAnsi="Cambria Math"/>
              </w:rPr>
              <m:t>u</m:t>
            </m:r>
            <m:ctrlPr>
              <w:rPr>
                <w:rFonts w:ascii="Cambria Math" w:hAnsi="Cambria Math"/>
                <w:i/>
              </w:rPr>
            </m:ctrlPr>
          </m:e>
          <m:sub>
            <m:r>
              <w:rPr>
                <w:rFonts w:ascii="Cambria Math" w:hAnsi="Cambria Math"/>
              </w:rPr>
              <m:t>B</m:t>
            </m:r>
            <m:ctrlPr>
              <w:rPr>
                <w:rFonts w:ascii="Cambria Math" w:hAnsi="Cambria Math"/>
                <w:i/>
              </w:rPr>
            </m:ctrlPr>
          </m:sub>
          <m:sup>
            <m:r>
              <w:rPr>
                <w:rFonts w:ascii="Cambria Math" w:hAnsi="Cambria Math"/>
              </w:rPr>
              <m:t>2</m:t>
            </m:r>
            <m:ctrlPr>
              <w:rPr>
                <w:rFonts w:ascii="Cambria Math" w:hAnsi="Cambria Math"/>
                <w:i/>
              </w:rPr>
            </m:ctrlPr>
          </m:sup>
        </m:sSubSup>
      </m:oMath>
      <w:r>
        <w:rPr>
          <w:rFonts w:hint="eastAsia"/>
        </w:rPr>
        <w:t>。因此合成标准不确定度</w:t>
      </w:r>
      <m:oMath>
        <m:sSub>
          <m:sSubPr>
            <m:ctrlPr>
              <w:rPr>
                <w:rFonts w:ascii="Cambria Math" w:hAnsi="Cambria Math"/>
                <w:i/>
              </w:rPr>
            </m:ctrlPr>
          </m:sSubPr>
          <m:e>
            <m:r>
              <w:rPr>
                <w:rFonts w:ascii="Cambria Math" w:hAnsi="Cambria Math"/>
              </w:rPr>
              <m:t>u</m:t>
            </m:r>
            <m:ctrlPr>
              <w:rPr>
                <w:rFonts w:ascii="Cambria Math" w:hAnsi="Cambria Math"/>
                <w:i/>
              </w:rPr>
            </m:ctrlPr>
          </m:e>
          <m:sub>
            <m:r>
              <w:rPr>
                <w:rFonts w:ascii="Cambria Math" w:hAnsi="Cambria Math"/>
              </w:rPr>
              <m:t>c</m:t>
            </m:r>
            <m:ctrlPr>
              <w:rPr>
                <w:rFonts w:ascii="Cambria Math" w:hAnsi="Cambria Math"/>
                <w:i/>
              </w:rPr>
            </m:ctrlPr>
          </m:sub>
        </m:sSub>
      </m:oMath>
      <w:r>
        <w:rPr>
          <w:rFonts w:hint="eastAsia"/>
        </w:rPr>
        <w:t>的传播率表达式可转化为：</w:t>
      </w:r>
    </w:p>
    <w:p>
      <w:pPr>
        <w:spacing w:line="240" w:lineRule="auto"/>
        <w:ind w:firstLine="0" w:firstLineChars="0"/>
        <w:jc w:val="right"/>
      </w:pPr>
      <m:oMathPara>
        <m:oMath>
          <m:sSub>
            <m:sSubPr>
              <m:ctrlPr>
                <w:rPr>
                  <w:rFonts w:ascii="Cambria Math" w:hAnsi="Cambria Math"/>
                  <w:i/>
                </w:rPr>
              </m:ctrlPr>
            </m:sSubPr>
            <m:e>
              <m:r>
                <w:rPr>
                  <w:rFonts w:ascii="Cambria Math" w:hAnsi="Cambria Math"/>
                </w:rPr>
                <m:t>u</m:t>
              </m:r>
              <m:ctrlPr>
                <w:rPr>
                  <w:rFonts w:ascii="Cambria Math" w:hAnsi="Cambria Math"/>
                  <w:i/>
                </w:rPr>
              </m:ctrlPr>
            </m:e>
            <m:sub>
              <m:r>
                <w:rPr>
                  <w:rFonts w:ascii="Cambria Math" w:hAnsi="Cambria Math"/>
                </w:rPr>
                <m:t>c</m:t>
              </m:r>
              <m:ctrlPr>
                <w:rPr>
                  <w:rFonts w:ascii="Cambria Math" w:hAnsi="Cambria Math"/>
                  <w:i/>
                </w:rPr>
              </m:ctrlPr>
            </m:sub>
          </m:sSub>
          <m:r>
            <w:rPr>
              <w:rFonts w:ascii="Cambria Math" w:hAnsi="Cambria Math"/>
            </w:rPr>
            <m:t>=</m:t>
          </m:r>
          <m:f>
            <m:fPr>
              <m:ctrlPr>
                <w:rPr>
                  <w:rFonts w:ascii="Cambria Math" w:hAnsi="Cambria Math"/>
                  <w:i/>
                </w:rPr>
              </m:ctrlPr>
            </m:fPr>
            <m:num>
              <m:r>
                <w:rPr>
                  <w:rFonts w:ascii="Cambria Math" w:hAnsi="Cambria Math"/>
                </w:rPr>
                <m:t>1</m:t>
              </m:r>
              <m:ctrlPr>
                <w:rPr>
                  <w:rFonts w:ascii="Cambria Math" w:hAnsi="Cambria Math"/>
                  <w:i/>
                </w:rPr>
              </m:ctrlPr>
            </m:num>
            <m:den>
              <m:rad>
                <m:radPr>
                  <m:degHide m:val="1"/>
                  <m:ctrlPr>
                    <w:rPr>
                      <w:rFonts w:ascii="Cambria Math" w:hAnsi="Cambria Math"/>
                      <w:i/>
                    </w:rPr>
                  </m:ctrlPr>
                </m:radPr>
                <m:deg>
                  <m:ctrlPr>
                    <w:rPr>
                      <w:rFonts w:ascii="Cambria Math" w:hAnsi="Cambria Math"/>
                      <w:i/>
                    </w:rPr>
                  </m:ctrlPr>
                </m:deg>
                <m:e>
                  <m:r>
                    <w:rPr>
                      <w:rFonts w:ascii="Cambria Math" w:hAnsi="Cambria Math"/>
                    </w:rPr>
                    <m:t>5</m:t>
                  </m:r>
                  <m:ctrlPr>
                    <w:rPr>
                      <w:rFonts w:ascii="Cambria Math" w:hAnsi="Cambria Math"/>
                      <w:i/>
                    </w:rPr>
                  </m:ctrlPr>
                </m:e>
              </m:rad>
              <m:ctrlPr>
                <w:rPr>
                  <w:rFonts w:ascii="Cambria Math" w:hAnsi="Cambria Math"/>
                  <w:i/>
                </w:rPr>
              </m:ctrlPr>
            </m:den>
          </m:f>
          <m:rad>
            <m:radPr>
              <m:degHide m:val="1"/>
              <m:ctrlPr>
                <w:rPr>
                  <w:rFonts w:ascii="Cambria Math" w:hAnsi="Cambria Math"/>
                  <w:i/>
                </w:rPr>
              </m:ctrlPr>
            </m:radPr>
            <m:deg>
              <m:ctrlPr>
                <w:rPr>
                  <w:rFonts w:ascii="Cambria Math" w:hAnsi="Cambria Math"/>
                  <w:i/>
                </w:rPr>
              </m:ctrlPr>
            </m:deg>
            <m:e>
              <m:sSubSup>
                <m:sSubSupPr>
                  <m:ctrlPr>
                    <w:rPr>
                      <w:rFonts w:ascii="Cambria Math" w:hAnsi="Cambria Math"/>
                      <w:i/>
                    </w:rPr>
                  </m:ctrlPr>
                </m:sSubSupPr>
                <m:e>
                  <m:r>
                    <w:rPr>
                      <w:rFonts w:hint="eastAsia" w:ascii="Cambria Math" w:hAnsi="Cambria Math"/>
                    </w:rPr>
                    <m:t>u</m:t>
                  </m:r>
                  <m:ctrlPr>
                    <w:rPr>
                      <w:rFonts w:ascii="Cambria Math" w:hAnsi="Cambria Math"/>
                      <w:i/>
                    </w:rPr>
                  </m:ctrlPr>
                </m:e>
                <m:sub>
                  <m:r>
                    <w:rPr>
                      <w:rFonts w:ascii="Cambria Math" w:hAnsi="Cambria Math"/>
                    </w:rPr>
                    <m:t>A</m:t>
                  </m:r>
                  <m:ctrlPr>
                    <w:rPr>
                      <w:rFonts w:ascii="Cambria Math" w:hAnsi="Cambria Math"/>
                      <w:i/>
                    </w:rPr>
                  </m:ctrlPr>
                </m:sub>
                <m:sup>
                  <m:r>
                    <w:rPr>
                      <w:rFonts w:ascii="Cambria Math" w:hAnsi="Cambria Math"/>
                    </w:rPr>
                    <m:t>2</m:t>
                  </m:r>
                  <m:ctrlPr>
                    <w:rPr>
                      <w:rFonts w:ascii="Cambria Math" w:hAnsi="Cambria Math"/>
                      <w:i/>
                    </w:rPr>
                  </m:ctrlPr>
                </m:sup>
              </m:sSubSup>
              <m:r>
                <w:rPr>
                  <w:rFonts w:ascii="Cambria Math" w:hAnsi="Cambria Math"/>
                </w:rPr>
                <m:t>+</m:t>
              </m:r>
              <m:sSubSup>
                <m:sSubSupPr>
                  <m:ctrlPr>
                    <w:rPr>
                      <w:rFonts w:ascii="Cambria Math" w:hAnsi="Cambria Math"/>
                      <w:i/>
                    </w:rPr>
                  </m:ctrlPr>
                </m:sSubSupPr>
                <m:e>
                  <m:r>
                    <w:rPr>
                      <w:rFonts w:hint="eastAsia" w:ascii="Cambria Math" w:hAnsi="Cambria Math"/>
                    </w:rPr>
                    <m:t>u</m:t>
                  </m:r>
                  <m:ctrlPr>
                    <w:rPr>
                      <w:rFonts w:ascii="Cambria Math" w:hAnsi="Cambria Math"/>
                      <w:i/>
                    </w:rPr>
                  </m:ctrlPr>
                </m:e>
                <m:sub>
                  <m:r>
                    <w:rPr>
                      <w:rFonts w:ascii="Cambria Math" w:hAnsi="Cambria Math"/>
                    </w:rPr>
                    <m:t>B</m:t>
                  </m:r>
                  <m:ctrlPr>
                    <w:rPr>
                      <w:rFonts w:ascii="Cambria Math" w:hAnsi="Cambria Math"/>
                      <w:i/>
                    </w:rPr>
                  </m:ctrlPr>
                </m:sub>
                <m:sup>
                  <m:r>
                    <w:rPr>
                      <w:rFonts w:ascii="Cambria Math" w:hAnsi="Cambria Math"/>
                    </w:rPr>
                    <m:t>2</m:t>
                  </m:r>
                  <m:ctrlPr>
                    <w:rPr>
                      <w:rFonts w:ascii="Cambria Math" w:hAnsi="Cambria Math"/>
                      <w:i/>
                    </w:rPr>
                  </m:ctrlPr>
                </m:sup>
              </m:sSubSup>
              <m:ctrlPr>
                <w:rPr>
                  <w:rFonts w:ascii="Cambria Math" w:hAnsi="Cambria Math"/>
                  <w:i/>
                </w:rPr>
              </m:ctrlPr>
            </m:e>
          </m:rad>
        </m:oMath>
      </m:oMathPara>
    </w:p>
    <w:p>
      <w:pPr>
        <w:pStyle w:val="3"/>
        <w:numPr>
          <w:ilvl w:val="1"/>
          <w:numId w:val="2"/>
        </w:numPr>
        <w:ind w:left="426" w:firstLineChars="0"/>
      </w:pPr>
      <w:r>
        <w:rPr>
          <w:rFonts w:hint="eastAsia"/>
        </w:rPr>
        <w:t>标准不确定度评定</w:t>
      </w:r>
    </w:p>
    <w:p>
      <w:pPr>
        <w:pStyle w:val="3"/>
        <w:numPr>
          <w:ilvl w:val="2"/>
          <w:numId w:val="2"/>
        </w:numPr>
        <w:ind w:left="426" w:firstLineChars="0"/>
      </w:pPr>
      <w:r>
        <w:rPr>
          <w:rFonts w:hint="eastAsia"/>
        </w:rPr>
        <w:t>由测量重复性引入的不确定度分量</w:t>
      </w:r>
      <m:oMath>
        <m:sSub>
          <m:sSubPr>
            <m:ctrlPr>
              <w:rPr>
                <w:rFonts w:ascii="Cambria Math" w:hAnsi="Cambria Math"/>
                <w:i/>
              </w:rPr>
            </m:ctrlPr>
          </m:sSubPr>
          <m:e>
            <m:r>
              <w:rPr>
                <w:rFonts w:ascii="Cambria Math" w:hAnsi="Cambria Math"/>
              </w:rPr>
              <m:t>u</m:t>
            </m:r>
            <m:ctrlPr>
              <w:rPr>
                <w:rFonts w:ascii="Cambria Math" w:hAnsi="Cambria Math"/>
                <w:i/>
              </w:rPr>
            </m:ctrlPr>
          </m:e>
          <m:sub>
            <m:r>
              <w:rPr>
                <w:rFonts w:ascii="Cambria Math" w:hAnsi="Cambria Math"/>
              </w:rPr>
              <m:t>A</m:t>
            </m:r>
            <m:ctrlPr>
              <w:rPr>
                <w:rFonts w:ascii="Cambria Math" w:hAnsi="Cambria Math"/>
                <w:i/>
              </w:rPr>
            </m:ctrlPr>
          </m:sub>
        </m:sSub>
      </m:oMath>
    </w:p>
    <w:p>
      <w:r>
        <w:rPr>
          <w:rFonts w:hint="eastAsia"/>
        </w:rPr>
        <w:t>在重复测量条件下，对裂纹宽度进行10次重复测量。得到结果见下表A.1。则测量重复性引入的不确定度分量为：</w:t>
      </w:r>
    </w:p>
    <w:p>
      <w:pPr>
        <w:pStyle w:val="53"/>
      </w:pPr>
      <w:r>
        <w:rPr>
          <w:rFonts w:hint="eastAsia"/>
        </w:rPr>
        <w:t>表</w:t>
      </w:r>
      <w:r>
        <w:t>A</w:t>
      </w:r>
      <w:r>
        <w:rPr>
          <w:rFonts w:hint="eastAsia"/>
        </w:rPr>
        <w:t>.1 测量不确定度来源及说明</w:t>
      </w:r>
    </w:p>
    <w:p>
      <w:pPr>
        <w:pStyle w:val="53"/>
        <w:ind w:right="420"/>
        <w:jc w:val="right"/>
        <w:rPr>
          <w:rFonts w:ascii="Cambria Math" w:hAnsi="Cambria Math"/>
          <w:oMath/>
        </w:rPr>
      </w:pPr>
      <m:oMathPara>
        <m:oMathParaPr>
          <m:jc m:val="right"/>
        </m:oMathParaPr>
        <m:oMath>
          <m:r>
            <m:rPr>
              <m:sty m:val="p"/>
            </m:rPr>
            <w:rPr>
              <w:rFonts w:ascii="Cambria Math" w:hAnsi="Cambria Math"/>
            </w:rPr>
            <m:t>μ</m:t>
          </m:r>
          <m:r>
            <m:rPr>
              <m:sty m:val="p"/>
            </m:rPr>
            <w:rPr>
              <w:rFonts w:hint="eastAsia" w:ascii="Cambria Math" w:hAnsi="Cambria Math"/>
            </w:rPr>
            <m:t>m</m:t>
          </m:r>
        </m:oMath>
      </m:oMathPara>
    </w:p>
    <w:tbl>
      <w:tblPr>
        <w:tblStyle w:val="15"/>
        <w:tblW w:w="8859"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429"/>
        <w:gridCol w:w="4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4429" w:type="dxa"/>
            <w:shd w:val="clear" w:color="auto" w:fill="auto"/>
            <w:vAlign w:val="center"/>
          </w:tcPr>
          <w:p>
            <w:pPr>
              <w:spacing w:line="240" w:lineRule="auto"/>
              <w:ind w:firstLine="0" w:firstLineChars="0"/>
              <w:jc w:val="center"/>
              <w:rPr>
                <w:i/>
              </w:rPr>
            </w:pPr>
            <w:r>
              <w:rPr>
                <w:rFonts w:hint="eastAsia"/>
                <w:i/>
              </w:rPr>
              <w:t>L</w:t>
            </w:r>
            <w:r>
              <w:rPr>
                <w:rFonts w:hint="eastAsia"/>
                <w:i/>
                <w:vertAlign w:val="subscript"/>
              </w:rPr>
              <w:t>1</w:t>
            </w:r>
          </w:p>
        </w:tc>
        <w:tc>
          <w:tcPr>
            <w:tcW w:w="4430" w:type="dxa"/>
            <w:shd w:val="clear" w:color="auto" w:fill="auto"/>
            <w:vAlign w:val="center"/>
          </w:tcPr>
          <w:p>
            <w:pPr>
              <w:spacing w:line="240" w:lineRule="auto"/>
              <w:ind w:firstLine="0" w:firstLineChars="0"/>
              <w:jc w:val="center"/>
              <w:rPr>
                <w:rFonts w:cs="Times New Roman"/>
                <w:color w:val="000000"/>
                <w:szCs w:val="28"/>
              </w:rPr>
            </w:pPr>
            <w:r>
              <w:rPr>
                <w:rFonts w:hint="eastAsia" w:cs="Times New Roman"/>
                <w:color w:val="000000"/>
                <w:szCs w:val="28"/>
              </w:rPr>
              <w:t>4.573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4429" w:type="dxa"/>
            <w:shd w:val="clear" w:color="auto" w:fill="auto"/>
            <w:vAlign w:val="center"/>
          </w:tcPr>
          <w:p>
            <w:pPr>
              <w:spacing w:line="240" w:lineRule="auto"/>
              <w:ind w:firstLine="0" w:firstLineChars="0"/>
              <w:jc w:val="center"/>
              <w:rPr>
                <w:i/>
              </w:rPr>
            </w:pPr>
            <w:r>
              <w:rPr>
                <w:rFonts w:hint="eastAsia"/>
                <w:i/>
              </w:rPr>
              <w:t>L</w:t>
            </w:r>
            <w:r>
              <w:rPr>
                <w:i/>
                <w:vertAlign w:val="subscript"/>
              </w:rPr>
              <w:t>2</w:t>
            </w:r>
          </w:p>
        </w:tc>
        <w:tc>
          <w:tcPr>
            <w:tcW w:w="4430" w:type="dxa"/>
            <w:shd w:val="clear" w:color="auto" w:fill="auto"/>
            <w:vAlign w:val="center"/>
          </w:tcPr>
          <w:p>
            <w:pPr>
              <w:spacing w:line="240" w:lineRule="auto"/>
              <w:ind w:firstLine="0" w:firstLineChars="0"/>
              <w:jc w:val="center"/>
              <w:rPr>
                <w:rFonts w:cs="Times New Roman"/>
                <w:color w:val="000000"/>
                <w:szCs w:val="28"/>
              </w:rPr>
            </w:pPr>
            <w:r>
              <w:rPr>
                <w:rFonts w:hint="eastAsia" w:cs="Times New Roman"/>
                <w:color w:val="000000"/>
                <w:szCs w:val="28"/>
              </w:rPr>
              <w:t>4.586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4429" w:type="dxa"/>
            <w:shd w:val="clear" w:color="auto" w:fill="auto"/>
            <w:vAlign w:val="center"/>
          </w:tcPr>
          <w:p>
            <w:pPr>
              <w:spacing w:line="240" w:lineRule="auto"/>
              <w:ind w:firstLine="0" w:firstLineChars="0"/>
              <w:jc w:val="center"/>
              <w:rPr>
                <w:i/>
              </w:rPr>
            </w:pPr>
            <w:r>
              <w:rPr>
                <w:rFonts w:hint="eastAsia"/>
                <w:i/>
              </w:rPr>
              <w:t>L</w:t>
            </w:r>
            <w:r>
              <w:rPr>
                <w:i/>
                <w:vertAlign w:val="subscript"/>
              </w:rPr>
              <w:t>3</w:t>
            </w:r>
          </w:p>
        </w:tc>
        <w:tc>
          <w:tcPr>
            <w:tcW w:w="4430" w:type="dxa"/>
            <w:shd w:val="clear" w:color="auto" w:fill="auto"/>
            <w:vAlign w:val="center"/>
          </w:tcPr>
          <w:p>
            <w:pPr>
              <w:spacing w:line="240" w:lineRule="auto"/>
              <w:ind w:firstLine="0" w:firstLineChars="0"/>
              <w:jc w:val="center"/>
              <w:rPr>
                <w:rFonts w:cs="Times New Roman"/>
                <w:color w:val="000000"/>
                <w:szCs w:val="28"/>
              </w:rPr>
            </w:pPr>
            <w:r>
              <w:rPr>
                <w:rFonts w:hint="eastAsia" w:cs="Times New Roman"/>
                <w:color w:val="000000"/>
                <w:szCs w:val="28"/>
              </w:rPr>
              <w:t>4.552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4429" w:type="dxa"/>
            <w:shd w:val="clear" w:color="auto" w:fill="auto"/>
            <w:vAlign w:val="center"/>
          </w:tcPr>
          <w:p>
            <w:pPr>
              <w:spacing w:line="240" w:lineRule="auto"/>
              <w:ind w:firstLine="0" w:firstLineChars="0"/>
              <w:jc w:val="center"/>
              <w:rPr>
                <w:i/>
              </w:rPr>
            </w:pPr>
            <w:r>
              <w:rPr>
                <w:rFonts w:hint="eastAsia"/>
                <w:i/>
              </w:rPr>
              <w:t>L</w:t>
            </w:r>
            <w:r>
              <w:rPr>
                <w:i/>
                <w:vertAlign w:val="subscript"/>
              </w:rPr>
              <w:t>4</w:t>
            </w:r>
          </w:p>
        </w:tc>
        <w:tc>
          <w:tcPr>
            <w:tcW w:w="4430" w:type="dxa"/>
            <w:shd w:val="clear" w:color="auto" w:fill="auto"/>
            <w:vAlign w:val="center"/>
          </w:tcPr>
          <w:p>
            <w:pPr>
              <w:spacing w:line="240" w:lineRule="auto"/>
              <w:ind w:firstLine="0" w:firstLineChars="0"/>
              <w:jc w:val="center"/>
              <w:rPr>
                <w:rFonts w:cs="Times New Roman"/>
                <w:color w:val="000000"/>
                <w:szCs w:val="28"/>
              </w:rPr>
            </w:pPr>
            <w:r>
              <w:rPr>
                <w:rFonts w:hint="eastAsia" w:cs="Times New Roman"/>
                <w:color w:val="000000"/>
                <w:szCs w:val="28"/>
              </w:rPr>
              <w:t>4.568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4429" w:type="dxa"/>
            <w:shd w:val="clear" w:color="auto" w:fill="auto"/>
            <w:vAlign w:val="center"/>
          </w:tcPr>
          <w:p>
            <w:pPr>
              <w:spacing w:line="240" w:lineRule="auto"/>
              <w:ind w:firstLine="0" w:firstLineChars="0"/>
              <w:jc w:val="center"/>
              <w:rPr>
                <w:i/>
              </w:rPr>
            </w:pPr>
            <w:r>
              <w:rPr>
                <w:rFonts w:hint="eastAsia"/>
                <w:i/>
              </w:rPr>
              <w:t>L</w:t>
            </w:r>
            <w:r>
              <w:rPr>
                <w:i/>
                <w:vertAlign w:val="subscript"/>
              </w:rPr>
              <w:t>5</w:t>
            </w:r>
          </w:p>
        </w:tc>
        <w:tc>
          <w:tcPr>
            <w:tcW w:w="4430" w:type="dxa"/>
            <w:shd w:val="clear" w:color="auto" w:fill="auto"/>
            <w:vAlign w:val="center"/>
          </w:tcPr>
          <w:p>
            <w:pPr>
              <w:spacing w:line="240" w:lineRule="auto"/>
              <w:ind w:firstLine="0" w:firstLineChars="0"/>
              <w:jc w:val="center"/>
              <w:rPr>
                <w:rFonts w:cs="Times New Roman"/>
                <w:color w:val="000000"/>
                <w:szCs w:val="28"/>
              </w:rPr>
            </w:pPr>
            <w:r>
              <w:rPr>
                <w:rFonts w:hint="eastAsia" w:cs="Times New Roman"/>
                <w:color w:val="000000"/>
                <w:szCs w:val="28"/>
              </w:rPr>
              <w:t>4.586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4429" w:type="dxa"/>
            <w:shd w:val="clear" w:color="auto" w:fill="auto"/>
            <w:vAlign w:val="center"/>
          </w:tcPr>
          <w:p>
            <w:pPr>
              <w:spacing w:line="240" w:lineRule="auto"/>
              <w:ind w:firstLine="0" w:firstLineChars="0"/>
              <w:jc w:val="center"/>
              <w:rPr>
                <w:i/>
              </w:rPr>
            </w:pPr>
            <w:r>
              <w:rPr>
                <w:rFonts w:hint="eastAsia"/>
                <w:i/>
              </w:rPr>
              <w:t>L</w:t>
            </w:r>
            <w:r>
              <w:rPr>
                <w:i/>
                <w:vertAlign w:val="subscript"/>
              </w:rPr>
              <w:t>6</w:t>
            </w:r>
          </w:p>
        </w:tc>
        <w:tc>
          <w:tcPr>
            <w:tcW w:w="4430" w:type="dxa"/>
            <w:shd w:val="clear" w:color="auto" w:fill="auto"/>
            <w:vAlign w:val="center"/>
          </w:tcPr>
          <w:p>
            <w:pPr>
              <w:spacing w:line="240" w:lineRule="auto"/>
              <w:ind w:firstLine="0" w:firstLineChars="0"/>
              <w:jc w:val="center"/>
              <w:rPr>
                <w:rFonts w:cs="Times New Roman"/>
                <w:color w:val="000000"/>
                <w:szCs w:val="28"/>
              </w:rPr>
            </w:pPr>
            <w:r>
              <w:rPr>
                <w:rFonts w:hint="eastAsia" w:cs="Times New Roman"/>
                <w:color w:val="000000"/>
                <w:szCs w:val="28"/>
              </w:rPr>
              <w:t>4.623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4429" w:type="dxa"/>
            <w:shd w:val="clear" w:color="auto" w:fill="auto"/>
            <w:vAlign w:val="center"/>
          </w:tcPr>
          <w:p>
            <w:pPr>
              <w:spacing w:line="240" w:lineRule="auto"/>
              <w:ind w:firstLine="0" w:firstLineChars="0"/>
              <w:jc w:val="center"/>
              <w:rPr>
                <w:i/>
              </w:rPr>
            </w:pPr>
            <w:r>
              <w:rPr>
                <w:rFonts w:hint="eastAsia"/>
                <w:i/>
              </w:rPr>
              <w:t>L</w:t>
            </w:r>
            <w:r>
              <w:rPr>
                <w:i/>
                <w:vertAlign w:val="subscript"/>
              </w:rPr>
              <w:t>7</w:t>
            </w:r>
          </w:p>
        </w:tc>
        <w:tc>
          <w:tcPr>
            <w:tcW w:w="4430" w:type="dxa"/>
            <w:shd w:val="clear" w:color="auto" w:fill="auto"/>
            <w:vAlign w:val="center"/>
          </w:tcPr>
          <w:p>
            <w:pPr>
              <w:spacing w:line="240" w:lineRule="auto"/>
              <w:ind w:firstLine="0" w:firstLineChars="0"/>
              <w:jc w:val="center"/>
              <w:rPr>
                <w:rFonts w:cs="Times New Roman"/>
                <w:color w:val="000000"/>
                <w:szCs w:val="28"/>
              </w:rPr>
            </w:pPr>
            <w:r>
              <w:rPr>
                <w:rFonts w:hint="eastAsia" w:cs="Times New Roman"/>
                <w:color w:val="000000"/>
                <w:szCs w:val="28"/>
              </w:rPr>
              <w:t>4.608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4429" w:type="dxa"/>
            <w:shd w:val="clear" w:color="auto" w:fill="auto"/>
            <w:vAlign w:val="center"/>
          </w:tcPr>
          <w:p>
            <w:pPr>
              <w:spacing w:line="240" w:lineRule="auto"/>
              <w:ind w:firstLine="0" w:firstLineChars="0"/>
              <w:jc w:val="center"/>
              <w:rPr>
                <w:i/>
              </w:rPr>
            </w:pPr>
            <w:r>
              <w:rPr>
                <w:rFonts w:hint="eastAsia"/>
                <w:i/>
              </w:rPr>
              <w:t>L</w:t>
            </w:r>
            <w:r>
              <w:rPr>
                <w:i/>
                <w:vertAlign w:val="subscript"/>
              </w:rPr>
              <w:t>8</w:t>
            </w:r>
          </w:p>
        </w:tc>
        <w:tc>
          <w:tcPr>
            <w:tcW w:w="4430" w:type="dxa"/>
            <w:shd w:val="clear" w:color="auto" w:fill="auto"/>
            <w:vAlign w:val="center"/>
          </w:tcPr>
          <w:p>
            <w:pPr>
              <w:spacing w:line="240" w:lineRule="auto"/>
              <w:ind w:firstLine="0" w:firstLineChars="0"/>
              <w:jc w:val="center"/>
              <w:rPr>
                <w:rFonts w:cs="Times New Roman"/>
                <w:color w:val="000000"/>
                <w:szCs w:val="28"/>
              </w:rPr>
            </w:pPr>
            <w:r>
              <w:rPr>
                <w:rFonts w:hint="eastAsia" w:cs="Times New Roman"/>
                <w:color w:val="000000"/>
                <w:szCs w:val="28"/>
              </w:rPr>
              <w:t>4.598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4429" w:type="dxa"/>
            <w:shd w:val="clear" w:color="auto" w:fill="auto"/>
            <w:vAlign w:val="center"/>
          </w:tcPr>
          <w:p>
            <w:pPr>
              <w:spacing w:line="240" w:lineRule="auto"/>
              <w:ind w:firstLine="0" w:firstLineChars="0"/>
              <w:jc w:val="center"/>
              <w:rPr>
                <w:i/>
              </w:rPr>
            </w:pPr>
            <w:r>
              <w:rPr>
                <w:rFonts w:hint="eastAsia"/>
                <w:i/>
              </w:rPr>
              <w:t>L</w:t>
            </w:r>
            <w:r>
              <w:rPr>
                <w:i/>
                <w:vertAlign w:val="subscript"/>
              </w:rPr>
              <w:t>9</w:t>
            </w:r>
          </w:p>
        </w:tc>
        <w:tc>
          <w:tcPr>
            <w:tcW w:w="4430" w:type="dxa"/>
            <w:shd w:val="clear" w:color="auto" w:fill="auto"/>
            <w:vAlign w:val="center"/>
          </w:tcPr>
          <w:p>
            <w:pPr>
              <w:spacing w:line="240" w:lineRule="auto"/>
              <w:ind w:firstLine="0" w:firstLineChars="0"/>
              <w:jc w:val="center"/>
              <w:rPr>
                <w:rFonts w:cs="Times New Roman"/>
                <w:color w:val="000000"/>
                <w:szCs w:val="28"/>
              </w:rPr>
            </w:pPr>
            <w:r>
              <w:rPr>
                <w:rFonts w:hint="eastAsia" w:cs="Times New Roman"/>
                <w:color w:val="000000"/>
                <w:szCs w:val="28"/>
              </w:rPr>
              <w:t>4.604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4429" w:type="dxa"/>
            <w:shd w:val="clear" w:color="auto" w:fill="auto"/>
            <w:vAlign w:val="center"/>
          </w:tcPr>
          <w:p>
            <w:pPr>
              <w:spacing w:line="240" w:lineRule="auto"/>
              <w:ind w:firstLine="0" w:firstLineChars="0"/>
              <w:jc w:val="center"/>
              <w:rPr>
                <w:i/>
              </w:rPr>
            </w:pPr>
            <w:r>
              <w:rPr>
                <w:rFonts w:hint="eastAsia"/>
                <w:i/>
              </w:rPr>
              <w:t>L</w:t>
            </w:r>
            <w:r>
              <w:rPr>
                <w:i/>
                <w:vertAlign w:val="subscript"/>
              </w:rPr>
              <w:t>10</w:t>
            </w:r>
          </w:p>
        </w:tc>
        <w:tc>
          <w:tcPr>
            <w:tcW w:w="4430" w:type="dxa"/>
            <w:shd w:val="clear" w:color="auto" w:fill="auto"/>
            <w:vAlign w:val="center"/>
          </w:tcPr>
          <w:p>
            <w:pPr>
              <w:spacing w:line="240" w:lineRule="auto"/>
              <w:ind w:firstLine="0" w:firstLineChars="0"/>
              <w:jc w:val="center"/>
              <w:rPr>
                <w:rFonts w:cs="Times New Roman"/>
                <w:color w:val="000000"/>
                <w:szCs w:val="28"/>
              </w:rPr>
            </w:pPr>
            <w:r>
              <w:rPr>
                <w:rFonts w:hint="eastAsia" w:cs="Times New Roman"/>
                <w:color w:val="000000"/>
                <w:szCs w:val="28"/>
              </w:rPr>
              <w:t>4.608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4429" w:type="dxa"/>
            <w:shd w:val="clear" w:color="auto" w:fill="auto"/>
            <w:vAlign w:val="center"/>
          </w:tcPr>
          <w:p>
            <w:pPr>
              <w:spacing w:line="240" w:lineRule="auto"/>
              <w:jc w:val="center"/>
            </w:pPr>
            <m:oMathPara>
              <m:oMath>
                <m:acc>
                  <m:accPr>
                    <m:chr m:val="̅"/>
                    <m:ctrlPr>
                      <w:rPr>
                        <w:rFonts w:ascii="Cambria Math" w:hAnsi="Cambria Math"/>
                      </w:rPr>
                    </m:ctrlPr>
                  </m:accPr>
                  <m:e>
                    <m:r>
                      <w:rPr>
                        <w:rFonts w:ascii="Cambria Math" w:hAnsi="Cambria Math"/>
                      </w:rPr>
                      <m:t>L</m:t>
                    </m:r>
                    <m:ctrlPr>
                      <w:rPr>
                        <w:rFonts w:ascii="Cambria Math" w:hAnsi="Cambria Math"/>
                      </w:rPr>
                    </m:ctrlPr>
                  </m:e>
                </m:acc>
              </m:oMath>
            </m:oMathPara>
          </w:p>
        </w:tc>
        <w:tc>
          <w:tcPr>
            <w:tcW w:w="4430" w:type="dxa"/>
            <w:shd w:val="clear" w:color="auto" w:fill="auto"/>
            <w:vAlign w:val="center"/>
          </w:tcPr>
          <w:p>
            <w:pPr>
              <w:spacing w:line="240" w:lineRule="auto"/>
              <w:ind w:firstLine="0" w:firstLineChars="0"/>
              <w:jc w:val="center"/>
            </w:pPr>
            <w:r>
              <w:rPr>
                <w:rFonts w:hint="eastAsia"/>
              </w:rPr>
              <w:t>4.591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4429" w:type="dxa"/>
            <w:shd w:val="clear" w:color="auto" w:fill="auto"/>
            <w:vAlign w:val="center"/>
          </w:tcPr>
          <w:p>
            <w:pPr>
              <w:spacing w:line="240" w:lineRule="auto"/>
              <w:ind w:firstLine="0" w:firstLineChars="0"/>
              <w:jc w:val="center"/>
              <w:rPr>
                <w:rFonts w:cs="Times New Roman" w:eastAsiaTheme="minorEastAsia"/>
                <w:i/>
              </w:rPr>
            </w:pPr>
            <w:r>
              <w:rPr>
                <w:rFonts w:hint="eastAsia" w:cs="Times New Roman" w:eastAsiaTheme="minorEastAsia"/>
                <w:i/>
              </w:rPr>
              <w:t>S</w:t>
            </w:r>
          </w:p>
        </w:tc>
        <w:tc>
          <w:tcPr>
            <w:tcW w:w="4430" w:type="dxa"/>
            <w:shd w:val="clear" w:color="auto" w:fill="auto"/>
            <w:vAlign w:val="center"/>
          </w:tcPr>
          <w:p>
            <w:pPr>
              <w:spacing w:line="240" w:lineRule="auto"/>
              <w:ind w:firstLine="0" w:firstLineChars="0"/>
              <w:jc w:val="center"/>
            </w:pPr>
            <w:r>
              <w:rPr>
                <w:rFonts w:hint="eastAsia"/>
              </w:rPr>
              <w:t>0. 0217</w:t>
            </w:r>
          </w:p>
        </w:tc>
      </w:tr>
    </w:tbl>
    <w:p>
      <w:pPr>
        <w:spacing w:before="156" w:beforeLines="50" w:line="240" w:lineRule="auto"/>
        <w:ind w:firstLine="0" w:firstLineChars="0"/>
        <w:jc w:val="center"/>
        <w:rPr>
          <w:rFonts w:cs="Times New Roman"/>
        </w:rPr>
      </w:pPr>
      <m:oMath>
        <m:sSub>
          <m:sSubPr>
            <m:ctrlPr>
              <w:rPr>
                <w:rFonts w:ascii="Cambria Math" w:hAnsi="Cambria Math"/>
                <w:i/>
              </w:rPr>
            </m:ctrlPr>
          </m:sSubPr>
          <m:e>
            <m:r>
              <w:rPr>
                <w:rFonts w:ascii="Cambria Math" w:hAnsi="Cambria Math"/>
              </w:rPr>
              <m:t>u</m:t>
            </m:r>
            <m:ctrlPr>
              <w:rPr>
                <w:rFonts w:ascii="Cambria Math" w:hAnsi="Cambria Math"/>
                <w:i/>
              </w:rPr>
            </m:ctrlPr>
          </m:e>
          <m:sub>
            <m:r>
              <w:rPr>
                <w:rFonts w:ascii="Cambria Math" w:hAnsi="Cambria Math"/>
              </w:rPr>
              <m:t>A</m:t>
            </m:r>
            <m:ctrlPr>
              <w:rPr>
                <w:rFonts w:ascii="Cambria Math" w:hAnsi="Cambria Math"/>
                <w:i/>
              </w:rPr>
            </m:ctrlPr>
          </m:sub>
        </m:sSub>
        <m:r>
          <w:rPr>
            <w:rFonts w:ascii="Cambria Math" w:hAnsi="Cambria Math"/>
          </w:rPr>
          <m:t>=s=</m:t>
        </m:r>
      </m:oMath>
      <w:r>
        <w:rPr>
          <w:rFonts w:hint="eastAsia"/>
        </w:rPr>
        <w:t>0.022</w:t>
      </w:r>
      <w:r>
        <w:rPr>
          <w:rFonts w:cs="Times New Roman"/>
        </w:rPr>
        <w:t>μm</w:t>
      </w:r>
    </w:p>
    <w:p>
      <w:pPr>
        <w:numPr>
          <w:ilvl w:val="2"/>
          <w:numId w:val="2"/>
        </w:numPr>
        <w:ind w:firstLineChars="0"/>
        <w:rPr>
          <w:rFonts w:cs="Times New Roman"/>
        </w:rPr>
      </w:pPr>
      <w:r>
        <w:rPr>
          <w:rFonts w:hint="eastAsia" w:cs="Times New Roman"/>
        </w:rPr>
        <w:t>由金相显微镜测微尺最大允许误差引入的标准不确定度分量</w:t>
      </w:r>
      <m:oMath>
        <m:sSub>
          <m:sSubPr>
            <m:ctrlPr>
              <w:rPr>
                <w:rFonts w:ascii="Cambria Math" w:hAnsi="Cambria Math" w:cs="Times New Roman"/>
              </w:rPr>
            </m:ctrlPr>
          </m:sSubPr>
          <m:e>
            <m:r>
              <w:rPr>
                <w:rFonts w:ascii="Cambria Math" w:hAnsi="Cambria Math" w:cs="Times New Roman"/>
              </w:rPr>
              <m:t>u</m:t>
            </m:r>
            <m:ctrlPr>
              <w:rPr>
                <w:rFonts w:ascii="Cambria Math" w:hAnsi="Cambria Math" w:cs="Times New Roman"/>
              </w:rPr>
            </m:ctrlPr>
          </m:e>
          <m:sub>
            <m:r>
              <w:rPr>
                <w:rFonts w:ascii="Cambria Math" w:hAnsi="Cambria Math" w:cs="Times New Roman"/>
              </w:rPr>
              <m:t>B</m:t>
            </m:r>
            <m:ctrlPr>
              <w:rPr>
                <w:rFonts w:ascii="Cambria Math" w:hAnsi="Cambria Math" w:cs="Times New Roman"/>
              </w:rPr>
            </m:ctrlPr>
          </m:sub>
        </m:sSub>
      </m:oMath>
    </w:p>
    <w:p>
      <w:pPr>
        <w:rPr>
          <w:rFonts w:cs="Times New Roman"/>
        </w:rPr>
      </w:pPr>
      <w:r>
        <w:rPr>
          <w:rFonts w:hint="eastAsia"/>
        </w:rPr>
        <w:t>经检定合格的金相显微镜测微尺最大允许误差为</w:t>
      </w:r>
      <m:oMath>
        <m:r>
          <m:rPr>
            <m:sty m:val="p"/>
          </m:rPr>
          <w:rPr>
            <w:rFonts w:ascii="Cambria Math" w:hAnsi="Cambria Math"/>
          </w:rPr>
          <m:t>±5%</m:t>
        </m:r>
      </m:oMath>
      <w:r>
        <w:rPr>
          <w:rFonts w:hint="eastAsia" w:cs="Times New Roman"/>
        </w:rPr>
        <w:t>，置信区间半宽则为</w:t>
      </w:r>
      <w:r>
        <w:rPr>
          <w:rFonts w:hint="eastAsia" w:cs="Times New Roman"/>
          <w:i/>
        </w:rPr>
        <w:t>a=</w:t>
      </w:r>
      <w:r>
        <w:rPr>
          <w:rFonts w:hint="eastAsia" w:cs="Times New Roman"/>
        </w:rPr>
        <w:t>4.591</w:t>
      </w:r>
      <m:oMath>
        <m:r>
          <m:rPr>
            <m:sty m:val="p"/>
          </m:rPr>
          <w:rPr>
            <w:rFonts w:ascii="Cambria Math" w:hAnsi="Cambria Math" w:cs="Times New Roman"/>
          </w:rPr>
          <m:t>×</m:t>
        </m:r>
      </m:oMath>
      <w:r>
        <w:rPr>
          <w:rFonts w:hint="eastAsia" w:cs="Times New Roman"/>
        </w:rPr>
        <w:t>5%=0.2296</w:t>
      </w:r>
      <w:r>
        <w:rPr>
          <w:rFonts w:cs="Times New Roman"/>
        </w:rPr>
        <w:t>μm</w:t>
      </w:r>
      <w:r>
        <w:rPr>
          <w:rFonts w:hint="eastAsia" w:cs="Times New Roman"/>
        </w:rPr>
        <w:t>，在区间内均匀分布，</w:t>
      </w:r>
      <w:r>
        <w:rPr>
          <w:rFonts w:hint="eastAsia" w:cs="Times New Roman"/>
          <w:i/>
        </w:rPr>
        <w:t>k</w:t>
      </w:r>
      <w:r>
        <w:rPr>
          <w:rFonts w:hint="eastAsia" w:cs="Times New Roman"/>
        </w:rPr>
        <w:t>=</w:t>
      </w:r>
      <m:oMath>
        <m:rad>
          <m:radPr>
            <m:degHide m:val="1"/>
            <m:ctrlPr>
              <w:rPr>
                <w:rFonts w:ascii="Cambria Math" w:hAnsi="Cambria Math" w:cs="Times New Roman"/>
              </w:rPr>
            </m:ctrlPr>
          </m:radPr>
          <m:deg>
            <m:ctrlPr>
              <w:rPr>
                <w:rFonts w:ascii="Cambria Math" w:hAnsi="Cambria Math" w:cs="Times New Roman"/>
              </w:rPr>
            </m:ctrlPr>
          </m:deg>
          <m:e>
            <m:r>
              <m:rPr>
                <m:sty m:val="p"/>
              </m:rPr>
              <w:rPr>
                <w:rFonts w:ascii="Cambria Math" w:hAnsi="Cambria Math" w:cs="Times New Roman"/>
              </w:rPr>
              <m:t>3</m:t>
            </m:r>
            <m:ctrlPr>
              <w:rPr>
                <w:rFonts w:ascii="Cambria Math" w:hAnsi="Cambria Math" w:cs="Times New Roman"/>
              </w:rPr>
            </m:ctrlPr>
          </m:e>
        </m:rad>
      </m:oMath>
      <w:r>
        <w:rPr>
          <w:rFonts w:hint="eastAsia" w:cs="Times New Roman"/>
        </w:rPr>
        <w:t>。则由金相显微镜最大允许误差引入的不确定度分量为：</w:t>
      </w:r>
    </w:p>
    <w:p>
      <w:pPr>
        <w:spacing w:line="240" w:lineRule="auto"/>
        <w:ind w:firstLine="0" w:firstLineChars="0"/>
        <w:rPr>
          <w:rFonts w:cs="Times New Roman"/>
        </w:rPr>
      </w:pPr>
      <m:oMathPara>
        <m:oMath>
          <m:sSub>
            <m:sSubPr>
              <m:ctrlPr>
                <w:rPr>
                  <w:rFonts w:ascii="Cambria Math" w:hAnsi="Cambria Math"/>
                  <w:i/>
                </w:rPr>
              </m:ctrlPr>
            </m:sSubPr>
            <m:e>
              <m:r>
                <w:rPr>
                  <w:rFonts w:ascii="Cambria Math" w:hAnsi="Cambria Math"/>
                </w:rPr>
                <m:t>u</m:t>
              </m:r>
              <m:ctrlPr>
                <w:rPr>
                  <w:rFonts w:ascii="Cambria Math" w:hAnsi="Cambria Math"/>
                  <w:i/>
                </w:rPr>
              </m:ctrlPr>
            </m:e>
            <m:sub>
              <m:r>
                <w:rPr>
                  <w:rFonts w:ascii="Cambria Math" w:hAnsi="Cambria Math"/>
                </w:rPr>
                <m:t>B</m:t>
              </m:r>
              <m:ctrlPr>
                <w:rPr>
                  <w:rFonts w:ascii="Cambria Math" w:hAnsi="Cambria Math"/>
                  <w:i/>
                </w:rPr>
              </m:ctrlPr>
            </m:sub>
          </m:sSub>
          <m:r>
            <w:rPr>
              <w:rFonts w:hint="eastAsia" w:ascii="Cambria Math" w:hAnsi="Cambria Math"/>
            </w:rPr>
            <m:t>=</m:t>
          </m:r>
          <m:f>
            <m:fPr>
              <m:ctrlPr>
                <w:rPr>
                  <w:rFonts w:ascii="Cambria Math" w:hAnsi="Cambria Math"/>
                  <w:i/>
                </w:rPr>
              </m:ctrlPr>
            </m:fPr>
            <m:num>
              <m:r>
                <w:rPr>
                  <w:rFonts w:ascii="Cambria Math" w:hAnsi="Cambria Math"/>
                </w:rPr>
                <m:t>a</m:t>
              </m:r>
              <m:ctrlPr>
                <w:rPr>
                  <w:rFonts w:ascii="Cambria Math" w:hAnsi="Cambria Math"/>
                  <w:i/>
                </w:rPr>
              </m:ctrlPr>
            </m:num>
            <m:den>
              <m:rad>
                <m:radPr>
                  <m:degHide m:val="1"/>
                  <m:ctrlPr>
                    <w:rPr>
                      <w:rFonts w:ascii="Cambria Math" w:hAnsi="Cambria Math"/>
                      <w:i/>
                    </w:rPr>
                  </m:ctrlPr>
                </m:radPr>
                <m:deg>
                  <m:ctrlPr>
                    <w:rPr>
                      <w:rFonts w:ascii="Cambria Math" w:hAnsi="Cambria Math"/>
                      <w:i/>
                    </w:rPr>
                  </m:ctrlPr>
                </m:deg>
                <m:e>
                  <m:r>
                    <w:rPr>
                      <w:rFonts w:ascii="Cambria Math" w:hAnsi="Cambria Math"/>
                    </w:rPr>
                    <m:t>3</m:t>
                  </m:r>
                  <m:ctrlPr>
                    <w:rPr>
                      <w:rFonts w:ascii="Cambria Math" w:hAnsi="Cambria Math"/>
                      <w:i/>
                    </w:rPr>
                  </m:ctrlPr>
                </m:e>
              </m:rad>
              <m:ctrlPr>
                <w:rPr>
                  <w:rFonts w:ascii="Cambria Math" w:hAnsi="Cambria Math"/>
                  <w:i/>
                </w:rPr>
              </m:ctrlPr>
            </m:den>
          </m:f>
          <m:r>
            <m:rPr>
              <m:sty m:val="p"/>
            </m:rPr>
            <w:rPr>
              <w:rFonts w:ascii="Cambria Math" w:hAnsi="Cambria Math" w:cs="Times New Roman"/>
            </w:rPr>
            <m:t>=</m:t>
          </m:r>
          <m:f>
            <m:fPr>
              <m:ctrlPr>
                <w:rPr>
                  <w:rFonts w:ascii="Cambria Math" w:hAnsi="Cambria Math" w:cs="Times New Roman"/>
                </w:rPr>
              </m:ctrlPr>
            </m:fPr>
            <m:num>
              <m:r>
                <w:rPr>
                  <w:rFonts w:ascii="Cambria Math" w:hAnsi="Cambria Math" w:cs="Times New Roman"/>
                </w:rPr>
                <m:t>0.2296</m:t>
              </m:r>
              <m:ctrlPr>
                <w:rPr>
                  <w:rFonts w:ascii="Cambria Math" w:hAnsi="Cambria Math" w:cs="Times New Roman"/>
                </w:rPr>
              </m:ctrlPr>
            </m:num>
            <m:den>
              <m:rad>
                <m:radPr>
                  <m:degHide m:val="1"/>
                  <m:ctrlPr>
                    <w:rPr>
                      <w:rFonts w:ascii="Cambria Math" w:hAnsi="Cambria Math" w:cs="Times New Roman"/>
                      <w:i/>
                    </w:rPr>
                  </m:ctrlPr>
                </m:radPr>
                <m:deg>
                  <m:ctrlPr>
                    <w:rPr>
                      <w:rFonts w:ascii="Cambria Math" w:hAnsi="Cambria Math" w:cs="Times New Roman"/>
                      <w:i/>
                    </w:rPr>
                  </m:ctrlPr>
                </m:deg>
                <m:e>
                  <m:r>
                    <w:rPr>
                      <w:rFonts w:ascii="Cambria Math" w:hAnsi="Cambria Math" w:cs="Times New Roman"/>
                    </w:rPr>
                    <m:t>3</m:t>
                  </m:r>
                  <m:ctrlPr>
                    <w:rPr>
                      <w:rFonts w:ascii="Cambria Math" w:hAnsi="Cambria Math" w:cs="Times New Roman"/>
                      <w:i/>
                    </w:rPr>
                  </m:ctrlPr>
                </m:e>
              </m:rad>
              <m:ctrlPr>
                <w:rPr>
                  <w:rFonts w:ascii="Cambria Math" w:hAnsi="Cambria Math" w:cs="Times New Roman"/>
                </w:rPr>
              </m:ctrlPr>
            </m:den>
          </m:f>
          <m:r>
            <w:rPr>
              <w:rFonts w:ascii="Cambria Math" w:hAnsi="Cambria Math" w:cs="Times New Roman"/>
            </w:rPr>
            <m:t>=0.13</m:t>
          </m:r>
          <m:r>
            <m:rPr>
              <m:sty m:val="p"/>
            </m:rPr>
            <w:rPr>
              <w:rFonts w:ascii="Cambria Math" w:hAnsi="Cambria Math" w:cs="Times New Roman"/>
            </w:rPr>
            <m:t>μm</m:t>
          </m:r>
        </m:oMath>
      </m:oMathPara>
    </w:p>
    <w:p>
      <w:pPr>
        <w:pStyle w:val="3"/>
        <w:numPr>
          <w:ilvl w:val="1"/>
          <w:numId w:val="2"/>
        </w:numPr>
        <w:ind w:left="426" w:firstLineChars="0"/>
      </w:pPr>
      <w:r>
        <w:rPr>
          <w:rFonts w:hint="eastAsia"/>
        </w:rPr>
        <w:t>合成标准不确定度</w:t>
      </w:r>
    </w:p>
    <w:p>
      <w:r>
        <w:rPr>
          <w:rFonts w:hint="eastAsia"/>
        </w:rPr>
        <w:t>标准不确定度分量汇总表见表</w:t>
      </w:r>
      <w:r>
        <w:t>A</w:t>
      </w:r>
      <w:r>
        <w:rPr>
          <w:rFonts w:hint="eastAsia"/>
        </w:rPr>
        <w:t>.2。</w:t>
      </w:r>
    </w:p>
    <w:p>
      <w:pPr>
        <w:pStyle w:val="53"/>
      </w:pPr>
      <w:r>
        <w:rPr>
          <w:rFonts w:hint="eastAsia"/>
        </w:rPr>
        <w:t>表</w:t>
      </w:r>
      <w:r>
        <w:t>A</w:t>
      </w:r>
      <w:r>
        <w:rPr>
          <w:rFonts w:hint="eastAsia"/>
        </w:rPr>
        <w:t>.2</w:t>
      </w:r>
      <w:r>
        <w:t xml:space="preserve">  </w:t>
      </w:r>
      <w:r>
        <w:rPr>
          <w:rFonts w:hint="eastAsia"/>
        </w:rPr>
        <w:t>标准不确定度分量汇总表</w:t>
      </w:r>
    </w:p>
    <w:tbl>
      <w:tblPr>
        <w:tblStyle w:val="16"/>
        <w:tblW w:w="847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1956"/>
        <w:gridCol w:w="1984"/>
        <w:gridCol w:w="1701"/>
        <w:gridCol w:w="21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04" w:type="dxa"/>
            <w:vAlign w:val="center"/>
          </w:tcPr>
          <w:p>
            <w:pPr>
              <w:pStyle w:val="54"/>
              <w:spacing w:line="400" w:lineRule="exact"/>
              <w:ind w:left="-120" w:leftChars="-50" w:right="-120" w:rightChars="-50"/>
            </w:pPr>
            <w:r>
              <w:rPr>
                <w:rFonts w:hint="eastAsia"/>
              </w:rPr>
              <w:t>序号</w:t>
            </w:r>
          </w:p>
        </w:tc>
        <w:tc>
          <w:tcPr>
            <w:tcW w:w="1956" w:type="dxa"/>
            <w:vAlign w:val="center"/>
          </w:tcPr>
          <w:p>
            <w:pPr>
              <w:pStyle w:val="54"/>
              <w:spacing w:line="400" w:lineRule="exact"/>
              <w:ind w:left="-120" w:leftChars="-50" w:right="-120" w:rightChars="-50"/>
            </w:pPr>
            <w:r>
              <w:rPr>
                <w:rFonts w:hint="eastAsia"/>
              </w:rPr>
              <w:t>标准不确定度分量</w:t>
            </w:r>
          </w:p>
          <w:p>
            <w:pPr>
              <w:pStyle w:val="54"/>
              <w:spacing w:line="400" w:lineRule="exact"/>
              <w:ind w:left="-120" w:leftChars="-50" w:right="-120" w:rightChars="-50"/>
            </w:pPr>
            <m:oMathPara>
              <m:oMath>
                <m:sSub>
                  <m:sSubPr>
                    <m:ctrlPr>
                      <w:rPr>
                        <w:rFonts w:ascii="Cambria Math" w:hAnsi="Cambria Math"/>
                        <w:i/>
                      </w:rPr>
                    </m:ctrlPr>
                  </m:sSubPr>
                  <m:e>
                    <m:r>
                      <w:rPr>
                        <w:rFonts w:ascii="Cambria Math" w:hAnsi="Cambria Math"/>
                      </w:rPr>
                      <m:t>u</m:t>
                    </m:r>
                    <m:ctrlPr>
                      <w:rPr>
                        <w:rFonts w:ascii="Cambria Math" w:hAnsi="Cambria Math"/>
                        <w:i/>
                      </w:rPr>
                    </m:ctrlPr>
                  </m:e>
                  <m:sub>
                    <m:r>
                      <w:rPr>
                        <w:rFonts w:ascii="Cambria Math" w:hAnsi="Cambria Math"/>
                      </w:rPr>
                      <m:t>i</m:t>
                    </m:r>
                    <m:ctrlPr>
                      <w:rPr>
                        <w:rFonts w:ascii="Cambria Math" w:hAnsi="Cambria Math"/>
                        <w:i/>
                      </w:rPr>
                    </m:ctrlPr>
                  </m:sub>
                </m:sSub>
              </m:oMath>
            </m:oMathPara>
          </w:p>
        </w:tc>
        <w:tc>
          <w:tcPr>
            <w:tcW w:w="1984" w:type="dxa"/>
            <w:vAlign w:val="center"/>
          </w:tcPr>
          <w:p>
            <w:pPr>
              <w:pStyle w:val="54"/>
              <w:spacing w:line="400" w:lineRule="exact"/>
              <w:ind w:left="-120" w:leftChars="-50" w:right="-120" w:rightChars="-50"/>
            </w:pPr>
            <w:r>
              <w:rPr>
                <w:rFonts w:hint="eastAsia"/>
              </w:rPr>
              <w:t>不确定度来源</w:t>
            </w:r>
          </w:p>
        </w:tc>
        <w:tc>
          <w:tcPr>
            <w:tcW w:w="1701" w:type="dxa"/>
            <w:vAlign w:val="center"/>
          </w:tcPr>
          <w:p>
            <w:pPr>
              <w:pStyle w:val="54"/>
              <w:spacing w:line="400" w:lineRule="exact"/>
              <w:ind w:left="-120" w:leftChars="-50" w:right="-120" w:rightChars="-50"/>
            </w:pPr>
            <w:r>
              <w:rPr>
                <w:rFonts w:hint="eastAsia"/>
              </w:rPr>
              <w:t>标准不确定值</w:t>
            </w:r>
          </w:p>
          <w:p>
            <w:pPr>
              <w:pStyle w:val="54"/>
              <w:spacing w:line="400" w:lineRule="exact"/>
              <w:ind w:left="-120" w:leftChars="-50" w:right="-120" w:rightChars="-50"/>
            </w:pPr>
            <m:oMathPara>
              <m:oMath>
                <m:sSub>
                  <m:sSubPr>
                    <m:ctrlPr>
                      <w:rPr>
                        <w:rFonts w:ascii="Cambria Math" w:hAnsi="Cambria Math"/>
                        <w:i/>
                      </w:rPr>
                    </m:ctrlPr>
                  </m:sSubPr>
                  <m:e>
                    <m:r>
                      <w:rPr>
                        <w:rFonts w:ascii="Cambria Math" w:hAnsi="Cambria Math"/>
                      </w:rPr>
                      <m:t>u</m:t>
                    </m:r>
                    <m:ctrlPr>
                      <w:rPr>
                        <w:rFonts w:ascii="Cambria Math" w:hAnsi="Cambria Math"/>
                        <w:i/>
                      </w:rPr>
                    </m:ctrlPr>
                  </m:e>
                  <m:sub>
                    <m:r>
                      <w:rPr>
                        <w:rFonts w:ascii="Cambria Math" w:hAnsi="Cambria Math"/>
                      </w:rPr>
                      <m:t>i</m:t>
                    </m:r>
                    <m:ctrlPr>
                      <w:rPr>
                        <w:rFonts w:ascii="Cambria Math" w:hAnsi="Cambria Math"/>
                        <w:i/>
                      </w:rPr>
                    </m:ctrlPr>
                  </m:sub>
                </m:sSub>
              </m:oMath>
            </m:oMathPara>
          </w:p>
        </w:tc>
        <w:tc>
          <w:tcPr>
            <w:tcW w:w="2127" w:type="dxa"/>
            <w:vAlign w:val="center"/>
          </w:tcPr>
          <w:p>
            <w:pPr>
              <w:pStyle w:val="54"/>
              <w:spacing w:line="400" w:lineRule="exact"/>
              <w:ind w:left="-120" w:leftChars="-50" w:right="-120" w:rightChars="-50"/>
            </w:pPr>
            <w:r>
              <w:rPr>
                <w:rFonts w:hint="eastAsia"/>
              </w:rPr>
              <w:t>灵敏度系数</w:t>
            </w:r>
          </w:p>
          <w:p>
            <w:pPr>
              <w:pStyle w:val="54"/>
              <w:spacing w:line="400" w:lineRule="exact"/>
              <w:ind w:left="-120" w:leftChars="-50" w:right="-120" w:rightChars="-50"/>
            </w:pPr>
            <m:oMathPara>
              <m:oMath>
                <m:sSub>
                  <m:sSubPr>
                    <m:ctrlPr>
                      <w:rPr>
                        <w:rFonts w:ascii="Cambria Math" w:hAnsi="Cambria Math"/>
                        <w:i/>
                      </w:rPr>
                    </m:ctrlPr>
                  </m:sSubPr>
                  <m:e>
                    <m:r>
                      <w:rPr>
                        <w:rFonts w:hint="eastAsia" w:ascii="Cambria Math" w:hAnsi="Cambria Math"/>
                      </w:rPr>
                      <m:t>c</m:t>
                    </m:r>
                    <m:ctrlPr>
                      <w:rPr>
                        <w:rFonts w:ascii="Cambria Math" w:hAnsi="Cambria Math"/>
                        <w:i/>
                      </w:rPr>
                    </m:ctrlPr>
                  </m:e>
                  <m:sub>
                    <m:r>
                      <w:rPr>
                        <w:rFonts w:ascii="Cambria Math" w:hAnsi="Cambria Math"/>
                      </w:rPr>
                      <m:t>i</m:t>
                    </m:r>
                    <m:ctrlPr>
                      <w:rPr>
                        <w:rFonts w:ascii="Cambria Math" w:hAnsi="Cambria Math"/>
                        <w:i/>
                      </w:rPr>
                    </m:ctrlPr>
                  </m:sub>
                </m:sSub>
              </m:oMath>
            </m:oMathPara>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28" w:hRule="atLeast"/>
          <w:jc w:val="center"/>
        </w:trPr>
        <w:tc>
          <w:tcPr>
            <w:tcW w:w="704" w:type="dxa"/>
            <w:vAlign w:val="center"/>
          </w:tcPr>
          <w:p>
            <w:pPr>
              <w:pStyle w:val="54"/>
              <w:spacing w:line="400" w:lineRule="exact"/>
              <w:ind w:left="-120" w:leftChars="-50" w:right="-120" w:rightChars="-50"/>
              <w:rPr>
                <w:rFonts w:ascii="宋体" w:hAnsi="宋体"/>
              </w:rPr>
            </w:pPr>
            <w:r>
              <w:rPr>
                <w:rFonts w:hint="eastAsia" w:ascii="宋体" w:hAnsi="宋体"/>
              </w:rPr>
              <w:t>1</w:t>
            </w:r>
          </w:p>
        </w:tc>
        <w:tc>
          <w:tcPr>
            <w:tcW w:w="1956" w:type="dxa"/>
            <w:vAlign w:val="center"/>
          </w:tcPr>
          <w:p>
            <w:pPr>
              <w:pStyle w:val="54"/>
              <w:spacing w:line="400" w:lineRule="exact"/>
              <w:ind w:left="-120" w:leftChars="-50" w:right="-120" w:rightChars="-50"/>
            </w:pPr>
            <m:oMathPara>
              <m:oMath>
                <m:sSub>
                  <m:sSubPr>
                    <m:ctrlPr>
                      <w:rPr>
                        <w:rFonts w:ascii="Cambria Math" w:hAnsi="Cambria Math"/>
                        <w:i/>
                      </w:rPr>
                    </m:ctrlPr>
                  </m:sSubPr>
                  <m:e>
                    <m:r>
                      <w:rPr>
                        <w:rFonts w:ascii="Cambria Math" w:hAnsi="Cambria Math"/>
                      </w:rPr>
                      <m:t>u</m:t>
                    </m:r>
                    <m:ctrlPr>
                      <w:rPr>
                        <w:rFonts w:ascii="Cambria Math" w:hAnsi="Cambria Math"/>
                        <w:i/>
                      </w:rPr>
                    </m:ctrlPr>
                  </m:e>
                  <m:sub>
                    <m:r>
                      <w:rPr>
                        <w:rFonts w:ascii="Cambria Math" w:hAnsi="Cambria Math"/>
                      </w:rPr>
                      <m:t>A</m:t>
                    </m:r>
                    <m:ctrlPr>
                      <w:rPr>
                        <w:rFonts w:ascii="Cambria Math" w:hAnsi="Cambria Math"/>
                        <w:i/>
                      </w:rPr>
                    </m:ctrlPr>
                  </m:sub>
                </m:sSub>
              </m:oMath>
            </m:oMathPara>
          </w:p>
        </w:tc>
        <w:tc>
          <w:tcPr>
            <w:tcW w:w="1984" w:type="dxa"/>
            <w:vAlign w:val="center"/>
          </w:tcPr>
          <w:p>
            <w:pPr>
              <w:pStyle w:val="54"/>
              <w:spacing w:line="400" w:lineRule="exact"/>
              <w:ind w:left="-120" w:leftChars="-50" w:right="-120" w:rightChars="-50"/>
            </w:pPr>
            <w:r>
              <w:rPr>
                <w:rFonts w:hint="eastAsia"/>
              </w:rPr>
              <w:t>测量重复性</w:t>
            </w:r>
          </w:p>
        </w:tc>
        <w:tc>
          <w:tcPr>
            <w:tcW w:w="1701" w:type="dxa"/>
            <w:vAlign w:val="center"/>
          </w:tcPr>
          <w:p>
            <w:pPr>
              <w:ind w:left="-120" w:leftChars="-50" w:right="-120" w:rightChars="-50" w:firstLine="0" w:firstLineChars="0"/>
              <w:jc w:val="center"/>
              <w:rPr>
                <w:rFonts w:cs="Times New Roman"/>
                <w:sz w:val="21"/>
                <w:szCs w:val="21"/>
              </w:rPr>
            </w:pPr>
            <w:r>
              <w:rPr>
                <w:rFonts w:hint="eastAsia"/>
                <w:sz w:val="21"/>
                <w:szCs w:val="21"/>
              </w:rPr>
              <w:t>0.022</w:t>
            </w:r>
            <m:oMath>
              <m:r>
                <m:rPr>
                  <m:sty m:val="p"/>
                </m:rPr>
                <w:rPr>
                  <w:rFonts w:ascii="Cambria Math" w:hAnsi="Cambria Math" w:cs="Times New Roman"/>
                  <w:sz w:val="21"/>
                  <w:szCs w:val="21"/>
                </w:rPr>
                <m:t>μm</m:t>
              </m:r>
            </m:oMath>
          </w:p>
        </w:tc>
        <w:tc>
          <w:tcPr>
            <w:tcW w:w="2127" w:type="dxa"/>
            <w:vAlign w:val="center"/>
          </w:tcPr>
          <w:p>
            <w:pPr>
              <w:pStyle w:val="54"/>
              <w:spacing w:line="400" w:lineRule="exact"/>
              <w:ind w:left="-120" w:leftChars="-50" w:right="-120" w:rightChars="-50"/>
            </w:pPr>
            <m:oMathPara>
              <m:oMath>
                <m:r>
                  <m:rPr>
                    <m:sty m:val="p"/>
                  </m:rPr>
                  <w:rPr>
                    <w:rFonts w:ascii="Cambria Math" w:hAnsi="Cambria Math"/>
                  </w:rPr>
                  <m:t>1</m:t>
                </m:r>
              </m:oMath>
            </m:oMathPara>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6" w:hRule="atLeast"/>
          <w:jc w:val="center"/>
        </w:trPr>
        <w:tc>
          <w:tcPr>
            <w:tcW w:w="704" w:type="dxa"/>
            <w:vAlign w:val="center"/>
          </w:tcPr>
          <w:p>
            <w:pPr>
              <w:pStyle w:val="54"/>
              <w:spacing w:line="400" w:lineRule="exact"/>
              <w:ind w:left="-120" w:leftChars="-50" w:right="-120" w:rightChars="-50"/>
              <w:rPr>
                <w:rFonts w:ascii="宋体" w:hAnsi="宋体"/>
              </w:rPr>
            </w:pPr>
            <w:r>
              <w:rPr>
                <w:rFonts w:hint="eastAsia" w:ascii="宋体" w:hAnsi="宋体"/>
              </w:rPr>
              <w:t>2</w:t>
            </w:r>
          </w:p>
        </w:tc>
        <w:tc>
          <w:tcPr>
            <w:tcW w:w="1956" w:type="dxa"/>
            <w:vAlign w:val="center"/>
          </w:tcPr>
          <w:p>
            <w:pPr>
              <w:pStyle w:val="54"/>
              <w:spacing w:line="400" w:lineRule="exact"/>
              <w:ind w:left="-120" w:leftChars="-50" w:right="-120" w:rightChars="-50"/>
            </w:pPr>
            <m:oMathPara>
              <m:oMath>
                <m:sSub>
                  <m:sSubPr>
                    <m:ctrlPr>
                      <w:rPr>
                        <w:rFonts w:ascii="Cambria Math" w:hAnsi="Cambria Math"/>
                        <w:i/>
                      </w:rPr>
                    </m:ctrlPr>
                  </m:sSubPr>
                  <m:e>
                    <m:r>
                      <w:rPr>
                        <w:rFonts w:ascii="Cambria Math" w:hAnsi="Cambria Math"/>
                      </w:rPr>
                      <m:t>u</m:t>
                    </m:r>
                    <m:ctrlPr>
                      <w:rPr>
                        <w:rFonts w:ascii="Cambria Math" w:hAnsi="Cambria Math"/>
                        <w:i/>
                      </w:rPr>
                    </m:ctrlPr>
                  </m:e>
                  <m:sub>
                    <m:r>
                      <w:rPr>
                        <w:rFonts w:ascii="Cambria Math" w:hAnsi="Cambria Math"/>
                      </w:rPr>
                      <m:t xml:space="preserve">B </m:t>
                    </m:r>
                    <m:ctrlPr>
                      <w:rPr>
                        <w:rFonts w:ascii="Cambria Math" w:hAnsi="Cambria Math"/>
                        <w:i/>
                      </w:rPr>
                    </m:ctrlPr>
                  </m:sub>
                </m:sSub>
              </m:oMath>
            </m:oMathPara>
          </w:p>
        </w:tc>
        <w:tc>
          <w:tcPr>
            <w:tcW w:w="1984" w:type="dxa"/>
            <w:vAlign w:val="center"/>
          </w:tcPr>
          <w:p>
            <w:pPr>
              <w:pStyle w:val="54"/>
              <w:spacing w:line="400" w:lineRule="exact"/>
              <w:ind w:left="-120" w:leftChars="-50" w:right="-120" w:rightChars="-50"/>
            </w:pPr>
            <w:r>
              <w:rPr>
                <w:rFonts w:hint="eastAsia" w:cs="Times New Roman"/>
              </w:rPr>
              <w:t>金相显微镜</w:t>
            </w:r>
            <w:r>
              <w:rPr>
                <w:rFonts w:hint="eastAsia"/>
              </w:rPr>
              <w:t>最大允差</w:t>
            </w:r>
          </w:p>
        </w:tc>
        <w:tc>
          <w:tcPr>
            <w:tcW w:w="1701" w:type="dxa"/>
            <w:vAlign w:val="center"/>
          </w:tcPr>
          <w:p>
            <w:pPr>
              <w:pStyle w:val="54"/>
              <w:spacing w:line="400" w:lineRule="exact"/>
              <w:ind w:left="-120" w:leftChars="-50" w:right="-120" w:rightChars="-50"/>
            </w:pPr>
            <w:r>
              <w:rPr>
                <w:rFonts w:hint="eastAsia"/>
              </w:rPr>
              <w:t>0.13</w:t>
            </w:r>
            <m:oMath>
              <m:r>
                <m:rPr>
                  <m:sty m:val="p"/>
                </m:rPr>
                <w:rPr>
                  <w:rFonts w:ascii="Cambria Math" w:hAnsi="Cambria Math" w:cs="Times New Roman"/>
                </w:rPr>
                <m:t>μm</m:t>
              </m:r>
            </m:oMath>
          </w:p>
        </w:tc>
        <w:tc>
          <w:tcPr>
            <w:tcW w:w="2127" w:type="dxa"/>
            <w:vAlign w:val="center"/>
          </w:tcPr>
          <w:p>
            <w:pPr>
              <w:pStyle w:val="54"/>
              <w:spacing w:line="400" w:lineRule="exact"/>
              <w:ind w:left="-120" w:leftChars="-50" w:right="-120" w:rightChars="-50"/>
            </w:pPr>
            <m:oMathPara>
              <m:oMath>
                <m:r>
                  <m:rPr>
                    <m:sty m:val="p"/>
                  </m:rPr>
                  <w:rPr>
                    <w:rFonts w:ascii="Cambria Math" w:hAnsi="Cambria Math"/>
                  </w:rPr>
                  <m:t>1</m:t>
                </m:r>
              </m:oMath>
            </m:oMathPara>
          </w:p>
        </w:tc>
      </w:tr>
    </w:tbl>
    <w:p>
      <w:pPr>
        <w:ind w:firstLineChars="0"/>
      </w:pPr>
      <w:r>
        <w:rPr>
          <w:rFonts w:hint="eastAsia"/>
        </w:rPr>
        <w:t>合成标准不确定度为：</w:t>
      </w:r>
    </w:p>
    <w:p>
      <w:pPr>
        <w:spacing w:line="240" w:lineRule="auto"/>
        <w:ind w:firstLine="0" w:firstLineChars="0"/>
      </w:pPr>
      <m:oMathPara>
        <m:oMath>
          <m:sSub>
            <m:sSubPr>
              <m:ctrlPr>
                <w:rPr>
                  <w:rFonts w:ascii="Cambria Math" w:hAnsi="Cambria Math"/>
                  <w:i/>
                </w:rPr>
              </m:ctrlPr>
            </m:sSubPr>
            <m:e>
              <m:r>
                <w:rPr>
                  <w:rFonts w:ascii="Cambria Math" w:hAnsi="Cambria Math"/>
                </w:rPr>
                <m:t>u</m:t>
              </m:r>
              <m:ctrlPr>
                <w:rPr>
                  <w:rFonts w:ascii="Cambria Math" w:hAnsi="Cambria Math"/>
                  <w:i/>
                </w:rPr>
              </m:ctrlPr>
            </m:e>
            <m:sub>
              <m:r>
                <w:rPr>
                  <w:rFonts w:ascii="Cambria Math" w:hAnsi="Cambria Math"/>
                </w:rPr>
                <m:t>c</m:t>
              </m:r>
              <m:ctrlPr>
                <w:rPr>
                  <w:rFonts w:ascii="Cambria Math" w:hAnsi="Cambria Math"/>
                  <w:i/>
                </w:rPr>
              </m:ctrlPr>
            </m:sub>
          </m:sSub>
          <m:r>
            <w:rPr>
              <w:rFonts w:ascii="Cambria Math" w:hAnsi="Cambria Math"/>
            </w:rPr>
            <m:t>=</m:t>
          </m:r>
          <m:f>
            <m:fPr>
              <m:ctrlPr>
                <w:rPr>
                  <w:rFonts w:ascii="Cambria Math" w:hAnsi="Cambria Math"/>
                  <w:i/>
                </w:rPr>
              </m:ctrlPr>
            </m:fPr>
            <m:num>
              <m:r>
                <w:rPr>
                  <w:rFonts w:ascii="Cambria Math" w:hAnsi="Cambria Math"/>
                </w:rPr>
                <m:t>1</m:t>
              </m:r>
              <m:ctrlPr>
                <w:rPr>
                  <w:rFonts w:ascii="Cambria Math" w:hAnsi="Cambria Math"/>
                  <w:i/>
                </w:rPr>
              </m:ctrlPr>
            </m:num>
            <m:den>
              <m:rad>
                <m:radPr>
                  <m:degHide m:val="1"/>
                  <m:ctrlPr>
                    <w:rPr>
                      <w:rFonts w:ascii="Cambria Math" w:hAnsi="Cambria Math"/>
                      <w:i/>
                    </w:rPr>
                  </m:ctrlPr>
                </m:radPr>
                <m:deg>
                  <m:ctrlPr>
                    <w:rPr>
                      <w:rFonts w:ascii="Cambria Math" w:hAnsi="Cambria Math"/>
                      <w:i/>
                    </w:rPr>
                  </m:ctrlPr>
                </m:deg>
                <m:e>
                  <m:r>
                    <w:rPr>
                      <w:rFonts w:ascii="Cambria Math" w:hAnsi="Cambria Math"/>
                    </w:rPr>
                    <m:t>5</m:t>
                  </m:r>
                  <m:ctrlPr>
                    <w:rPr>
                      <w:rFonts w:ascii="Cambria Math" w:hAnsi="Cambria Math"/>
                      <w:i/>
                    </w:rPr>
                  </m:ctrlPr>
                </m:e>
              </m:rad>
              <m:ctrlPr>
                <w:rPr>
                  <w:rFonts w:ascii="Cambria Math" w:hAnsi="Cambria Math"/>
                  <w:i/>
                </w:rPr>
              </m:ctrlPr>
            </m:den>
          </m:f>
          <m:rad>
            <m:radPr>
              <m:degHide m:val="1"/>
              <m:ctrlPr>
                <w:rPr>
                  <w:rFonts w:ascii="Cambria Math" w:hAnsi="Cambria Math"/>
                  <w:i/>
                </w:rPr>
              </m:ctrlPr>
            </m:radPr>
            <m:deg>
              <m:ctrlPr>
                <w:rPr>
                  <w:rFonts w:ascii="Cambria Math" w:hAnsi="Cambria Math"/>
                  <w:i/>
                </w:rPr>
              </m:ctrlPr>
            </m:deg>
            <m:e>
              <m:sSubSup>
                <m:sSubSupPr>
                  <m:ctrlPr>
                    <w:rPr>
                      <w:rFonts w:ascii="Cambria Math" w:hAnsi="Cambria Math"/>
                      <w:i/>
                    </w:rPr>
                  </m:ctrlPr>
                </m:sSubSupPr>
                <m:e>
                  <m:r>
                    <w:rPr>
                      <w:rFonts w:ascii="Cambria Math" w:hAnsi="Cambria Math"/>
                    </w:rPr>
                    <m:t>u</m:t>
                  </m:r>
                  <m:ctrlPr>
                    <w:rPr>
                      <w:rFonts w:ascii="Cambria Math" w:hAnsi="Cambria Math"/>
                      <w:i/>
                    </w:rPr>
                  </m:ctrlPr>
                </m:e>
                <m:sub>
                  <m:r>
                    <w:rPr>
                      <w:rFonts w:ascii="Cambria Math" w:hAnsi="Cambria Math"/>
                    </w:rPr>
                    <m:t>1</m:t>
                  </m:r>
                  <m:ctrlPr>
                    <w:rPr>
                      <w:rFonts w:ascii="Cambria Math" w:hAnsi="Cambria Math"/>
                      <w:i/>
                    </w:rPr>
                  </m:ctrlPr>
                </m:sub>
                <m:sup>
                  <m:r>
                    <w:rPr>
                      <w:rFonts w:ascii="Cambria Math" w:hAnsi="Cambria Math"/>
                    </w:rPr>
                    <m:t>2</m:t>
                  </m:r>
                  <m:ctrlPr>
                    <w:rPr>
                      <w:rFonts w:ascii="Cambria Math" w:hAnsi="Cambria Math"/>
                      <w:i/>
                    </w:rPr>
                  </m:ctrlPr>
                </m:sup>
              </m:sSubSup>
              <m:r>
                <w:rPr>
                  <w:rFonts w:ascii="Cambria Math" w:hAnsi="Cambria Math"/>
                </w:rPr>
                <m:t>+</m:t>
              </m:r>
              <m:sSubSup>
                <m:sSubSupPr>
                  <m:ctrlPr>
                    <w:rPr>
                      <w:rFonts w:ascii="Cambria Math" w:hAnsi="Cambria Math"/>
                      <w:i/>
                    </w:rPr>
                  </m:ctrlPr>
                </m:sSubSupPr>
                <m:e>
                  <m:r>
                    <w:rPr>
                      <w:rFonts w:ascii="Cambria Math" w:hAnsi="Cambria Math"/>
                    </w:rPr>
                    <m:t>u</m:t>
                  </m:r>
                  <m:ctrlPr>
                    <w:rPr>
                      <w:rFonts w:ascii="Cambria Math" w:hAnsi="Cambria Math"/>
                      <w:i/>
                    </w:rPr>
                  </m:ctrlPr>
                </m:e>
                <m:sub>
                  <m:r>
                    <w:rPr>
                      <w:rFonts w:ascii="Cambria Math" w:hAnsi="Cambria Math"/>
                    </w:rPr>
                    <m:t>2</m:t>
                  </m:r>
                  <m:ctrlPr>
                    <w:rPr>
                      <w:rFonts w:ascii="Cambria Math" w:hAnsi="Cambria Math"/>
                      <w:i/>
                    </w:rPr>
                  </m:ctrlPr>
                </m:sub>
                <m:sup>
                  <m:r>
                    <w:rPr>
                      <w:rFonts w:ascii="Cambria Math" w:hAnsi="Cambria Math"/>
                    </w:rPr>
                    <m:t>2</m:t>
                  </m:r>
                  <m:ctrlPr>
                    <w:rPr>
                      <w:rFonts w:ascii="Cambria Math" w:hAnsi="Cambria Math"/>
                      <w:i/>
                    </w:rPr>
                  </m:ctrlPr>
                </m:sup>
              </m:sSubSup>
              <m:ctrlPr>
                <w:rPr>
                  <w:rFonts w:ascii="Cambria Math" w:hAnsi="Cambria Math"/>
                  <w:i/>
                </w:rPr>
              </m:ctrlPr>
            </m:e>
          </m:rad>
          <m:r>
            <w:rPr>
              <w:rFonts w:hint="eastAsia" w:ascii="Cambria Math" w:hAnsi="Cambria Math"/>
            </w:rPr>
            <m:t>=</m:t>
          </m:r>
          <m:f>
            <m:fPr>
              <m:ctrlPr>
                <w:rPr>
                  <w:rFonts w:ascii="Cambria Math" w:hAnsi="Cambria Math"/>
                  <w:i/>
                </w:rPr>
              </m:ctrlPr>
            </m:fPr>
            <m:num>
              <m:r>
                <w:rPr>
                  <w:rFonts w:ascii="Cambria Math" w:hAnsi="Cambria Math"/>
                </w:rPr>
                <m:t>1</m:t>
              </m:r>
              <m:ctrlPr>
                <w:rPr>
                  <w:rFonts w:ascii="Cambria Math" w:hAnsi="Cambria Math"/>
                  <w:i/>
                </w:rPr>
              </m:ctrlPr>
            </m:num>
            <m:den>
              <m:rad>
                <m:radPr>
                  <m:degHide m:val="1"/>
                  <m:ctrlPr>
                    <w:rPr>
                      <w:rFonts w:ascii="Cambria Math" w:hAnsi="Cambria Math"/>
                      <w:i/>
                    </w:rPr>
                  </m:ctrlPr>
                </m:radPr>
                <m:deg>
                  <m:ctrlPr>
                    <w:rPr>
                      <w:rFonts w:ascii="Cambria Math" w:hAnsi="Cambria Math"/>
                      <w:i/>
                    </w:rPr>
                  </m:ctrlPr>
                </m:deg>
                <m:e>
                  <m:r>
                    <w:rPr>
                      <w:rFonts w:ascii="Cambria Math" w:hAnsi="Cambria Math"/>
                    </w:rPr>
                    <m:t>5</m:t>
                  </m:r>
                  <m:ctrlPr>
                    <w:rPr>
                      <w:rFonts w:ascii="Cambria Math" w:hAnsi="Cambria Math"/>
                      <w:i/>
                    </w:rPr>
                  </m:ctrlPr>
                </m:e>
              </m:rad>
              <m:ctrlPr>
                <w:rPr>
                  <w:rFonts w:ascii="Cambria Math" w:hAnsi="Cambria Math"/>
                  <w:i/>
                </w:rPr>
              </m:ctrlPr>
            </m:den>
          </m:f>
          <m:rad>
            <m:radPr>
              <m:degHide m:val="1"/>
              <m:ctrlPr>
                <w:rPr>
                  <w:rFonts w:ascii="Cambria Math" w:hAnsi="Cambria Math"/>
                </w:rPr>
              </m:ctrlPr>
            </m:radPr>
            <m:deg>
              <m:ctrlPr>
                <w:rPr>
                  <w:rFonts w:ascii="Cambria Math" w:hAnsi="Cambria Math"/>
                </w:rPr>
              </m:ctrlPr>
            </m:deg>
            <m:e>
              <m:sSup>
                <m:sSupPr>
                  <m:ctrlPr>
                    <w:rPr>
                      <w:rFonts w:ascii="Cambria Math" w:hAnsi="Cambria Math"/>
                      <w:i/>
                    </w:rPr>
                  </m:ctrlPr>
                </m:sSupPr>
                <m:e>
                  <m:r>
                    <w:rPr>
                      <w:rFonts w:ascii="Cambria Math" w:hAnsi="Cambria Math"/>
                    </w:rPr>
                    <m:t>0.022</m:t>
                  </m:r>
                  <m:ctrlPr>
                    <w:rPr>
                      <w:rFonts w:ascii="Cambria Math" w:hAnsi="Cambria Math"/>
                      <w:i/>
                    </w:rPr>
                  </m:ctrlPr>
                </m:e>
                <m:sup>
                  <m:r>
                    <w:rPr>
                      <w:rFonts w:ascii="Cambria Math" w:hAnsi="Cambria Math"/>
                    </w:rPr>
                    <m:t>2</m:t>
                  </m:r>
                  <m:ctrlPr>
                    <w:rPr>
                      <w:rFonts w:ascii="Cambria Math" w:hAnsi="Cambria Math"/>
                      <w:i/>
                    </w:rPr>
                  </m:ctrlPr>
                </m:sup>
              </m:sSup>
              <m:r>
                <w:rPr>
                  <w:rFonts w:ascii="Cambria Math" w:hAnsi="Cambria Math"/>
                </w:rPr>
                <m:t>+</m:t>
              </m:r>
              <m:sSup>
                <m:sSupPr>
                  <m:ctrlPr>
                    <w:rPr>
                      <w:rFonts w:ascii="Cambria Math" w:hAnsi="Cambria Math"/>
                      <w:i/>
                    </w:rPr>
                  </m:ctrlPr>
                </m:sSupPr>
                <m:e>
                  <m:r>
                    <w:rPr>
                      <w:rFonts w:ascii="Cambria Math" w:hAnsi="Cambria Math"/>
                    </w:rPr>
                    <m:t>0.13</m:t>
                  </m:r>
                  <m:ctrlPr>
                    <w:rPr>
                      <w:rFonts w:ascii="Cambria Math" w:hAnsi="Cambria Math"/>
                      <w:i/>
                    </w:rPr>
                  </m:ctrlPr>
                </m:e>
                <m:sup>
                  <m:r>
                    <w:rPr>
                      <w:rFonts w:ascii="Cambria Math" w:hAnsi="Cambria Math"/>
                    </w:rPr>
                    <m:t>2</m:t>
                  </m:r>
                  <m:ctrlPr>
                    <w:rPr>
                      <w:rFonts w:ascii="Cambria Math" w:hAnsi="Cambria Math"/>
                      <w:i/>
                    </w:rPr>
                  </m:ctrlPr>
                </m:sup>
              </m:sSup>
              <m:ctrlPr>
                <w:rPr>
                  <w:rFonts w:ascii="Cambria Math" w:hAnsi="Cambria Math"/>
                </w:rPr>
              </m:ctrlPr>
            </m:e>
          </m:rad>
          <m:r>
            <m:rPr>
              <m:sty m:val="p"/>
            </m:rPr>
            <w:rPr>
              <w:rFonts w:ascii="Cambria Math" w:hAnsi="Cambria Math"/>
            </w:rPr>
            <m:t>=0.059</m:t>
          </m:r>
          <m:r>
            <m:rPr>
              <m:sty m:val="p"/>
            </m:rPr>
            <w:rPr>
              <w:rFonts w:ascii="Cambria Math" w:hAnsi="Cambria Math" w:cs="Times New Roman"/>
            </w:rPr>
            <m:t>μ</m:t>
          </m:r>
          <m:r>
            <m:rPr>
              <m:sty m:val="p"/>
            </m:rPr>
            <w:rPr>
              <w:rFonts w:ascii="Cambria Math" w:hAnsi="Cambria Math"/>
            </w:rPr>
            <m:t>m</m:t>
          </m:r>
        </m:oMath>
      </m:oMathPara>
    </w:p>
    <w:p>
      <w:pPr>
        <w:pStyle w:val="3"/>
        <w:numPr>
          <w:ilvl w:val="1"/>
          <w:numId w:val="2"/>
        </w:numPr>
        <w:ind w:left="426" w:firstLineChars="0"/>
      </w:pPr>
      <w:r>
        <w:rPr>
          <w:rFonts w:hint="eastAsia"/>
        </w:rPr>
        <w:t>扩展标准不确定度</w:t>
      </w:r>
    </w:p>
    <w:p>
      <w:r>
        <w:rPr>
          <w:rFonts w:hint="eastAsia"/>
        </w:rPr>
        <w:t>裂纹宽度测量结果近似为正态分布，取</w:t>
      </w:r>
      <w:r>
        <w:rPr>
          <w:rFonts w:hint="eastAsia"/>
          <w:i/>
        </w:rPr>
        <w:t>k=</w:t>
      </w:r>
      <w:r>
        <w:rPr>
          <w:rFonts w:hint="eastAsia"/>
        </w:rPr>
        <w:t>2，扩展不确定度为：</w:t>
      </w:r>
    </w:p>
    <w:p>
      <m:oMathPara>
        <m:oMath>
          <m:r>
            <w:rPr>
              <w:rFonts w:ascii="Cambria Math" w:hAnsi="Cambria Math"/>
            </w:rPr>
            <m:t>U=k</m:t>
          </m:r>
          <m:sSub>
            <m:sSubPr>
              <m:ctrlPr>
                <w:rPr>
                  <w:rFonts w:ascii="Cambria Math" w:hAnsi="Cambria Math"/>
                  <w:i/>
                </w:rPr>
              </m:ctrlPr>
            </m:sSubPr>
            <m:e>
              <m:r>
                <w:rPr>
                  <w:rFonts w:ascii="Cambria Math" w:hAnsi="Cambria Math"/>
                </w:rPr>
                <m:t>u</m:t>
              </m:r>
              <m:ctrlPr>
                <w:rPr>
                  <w:rFonts w:ascii="Cambria Math" w:hAnsi="Cambria Math"/>
                  <w:i/>
                </w:rPr>
              </m:ctrlPr>
            </m:e>
            <m:sub>
              <m:r>
                <w:rPr>
                  <w:rFonts w:ascii="Cambria Math" w:hAnsi="Cambria Math"/>
                </w:rPr>
                <m:t>c</m:t>
              </m:r>
              <m:ctrlPr>
                <w:rPr>
                  <w:rFonts w:ascii="Cambria Math" w:hAnsi="Cambria Math"/>
                  <w:i/>
                </w:rPr>
              </m:ctrlPr>
            </m:sub>
          </m:sSub>
          <m:r>
            <w:rPr>
              <w:rFonts w:ascii="Cambria Math" w:hAnsi="Cambria Math"/>
            </w:rPr>
            <m:t>=2×0.059</m:t>
          </m:r>
          <m:r>
            <m:rPr>
              <m:sty m:val="p"/>
            </m:rPr>
            <w:rPr>
              <w:rFonts w:ascii="Cambria Math" w:hAnsi="Cambria Math" w:cs="Times New Roman"/>
            </w:rPr>
            <m:t>μ</m:t>
          </m:r>
          <m:r>
            <m:rPr>
              <m:sty m:val="p"/>
            </m:rPr>
            <w:rPr>
              <w:rFonts w:ascii="Cambria Math" w:hAnsi="Cambria Math"/>
            </w:rPr>
            <m:t>m=0.12</m:t>
          </m:r>
          <m:r>
            <m:rPr>
              <m:sty m:val="p"/>
            </m:rPr>
            <w:rPr>
              <w:rFonts w:ascii="Cambria Math" w:hAnsi="Cambria Math" w:cs="Times New Roman"/>
            </w:rPr>
            <m:t>μ</m:t>
          </m:r>
          <m:r>
            <m:rPr>
              <m:sty m:val="p"/>
            </m:rPr>
            <w:rPr>
              <w:rFonts w:ascii="Cambria Math" w:hAnsi="Cambria Math"/>
            </w:rPr>
            <m:t>m</m:t>
          </m:r>
        </m:oMath>
      </m:oMathPara>
    </w:p>
    <w:p>
      <w:pPr>
        <w:pStyle w:val="58"/>
      </w:pPr>
      <w:bookmarkStart w:id="67" w:name="_Toc516556761"/>
      <w:bookmarkEnd w:id="67"/>
    </w:p>
    <w:p>
      <w:pPr>
        <w:pStyle w:val="59"/>
        <w:spacing w:after="312" w:afterLines="100"/>
      </w:pPr>
      <w:r>
        <w:rPr>
          <w:rFonts w:hint="eastAsia"/>
        </w:rPr>
        <w:t>渗透检验参考试块裂纹区长直径校准结果的测量不确定度评定</w:t>
      </w:r>
    </w:p>
    <w:p>
      <w:pPr>
        <w:pStyle w:val="3"/>
        <w:numPr>
          <w:ilvl w:val="1"/>
          <w:numId w:val="2"/>
        </w:numPr>
        <w:ind w:left="426" w:firstLineChars="0"/>
      </w:pPr>
      <w:r>
        <w:rPr>
          <w:rFonts w:hint="eastAsia"/>
        </w:rPr>
        <w:t>测量方法</w:t>
      </w:r>
    </w:p>
    <w:p>
      <w:pPr>
        <w:rPr>
          <w:color w:val="000000" w:themeColor="text1"/>
          <w14:textFill>
            <w14:solidFill>
              <w14:schemeClr w14:val="tx1"/>
            </w14:solidFill>
          </w14:textFill>
        </w:rPr>
      </w:pPr>
      <w:r>
        <w:rPr>
          <w:rFonts w:hint="eastAsia"/>
          <w:color w:val="000000" w:themeColor="text1"/>
          <w14:textFill>
            <w14:solidFill>
              <w14:schemeClr w14:val="tx1"/>
            </w14:solidFill>
          </w14:textFill>
        </w:rPr>
        <w:t>使用工具显微镜在被测试块上近似均匀分布选取10条裂纹进行测量，按照7.4.2方法计算试块裂纹区长直径。</w:t>
      </w:r>
    </w:p>
    <w:p>
      <w:pPr>
        <w:pStyle w:val="3"/>
        <w:numPr>
          <w:ilvl w:val="1"/>
          <w:numId w:val="2"/>
        </w:numPr>
        <w:ind w:left="426" w:firstLineChars="0"/>
      </w:pPr>
      <w:r>
        <w:rPr>
          <w:rFonts w:hint="eastAsia"/>
        </w:rPr>
        <w:t>测量不确定度来源分析</w:t>
      </w:r>
    </w:p>
    <w:p>
      <w:r>
        <w:rPr>
          <w:rFonts w:hint="eastAsia"/>
        </w:rPr>
        <w:t>根据测量方法可知，测量结果是通过使用工具显微镜测量10条裂纹最外端点的坐标后，并通过一系列计算最终得到的。因此，测量结果的不确定度来源主要有由于裂纹最外端点坐标测量重复性引入的不确定度分量</w:t>
      </w:r>
      <m:oMath>
        <m:sSub>
          <m:sSubPr>
            <m:ctrlPr>
              <w:rPr>
                <w:rFonts w:ascii="Cambria Math" w:hAnsi="Cambria Math"/>
              </w:rPr>
            </m:ctrlPr>
          </m:sSubPr>
          <m:e>
            <m:r>
              <w:rPr>
                <w:rFonts w:ascii="Cambria Math" w:hAnsi="Cambria Math"/>
              </w:rPr>
              <m:t>u</m:t>
            </m:r>
            <m:ctrlPr>
              <w:rPr>
                <w:rFonts w:ascii="Cambria Math" w:hAnsi="Cambria Math"/>
              </w:rPr>
            </m:ctrlPr>
          </m:e>
          <m:sub>
            <m:r>
              <w:rPr>
                <w:rFonts w:ascii="Cambria Math" w:hAnsi="Cambria Math"/>
              </w:rPr>
              <m:t>A</m:t>
            </m:r>
            <m:ctrlPr>
              <w:rPr>
                <w:rFonts w:ascii="Cambria Math" w:hAnsi="Cambria Math"/>
              </w:rPr>
            </m:ctrlPr>
          </m:sub>
        </m:sSub>
        <m:r>
          <w:rPr>
            <w:rFonts w:ascii="Cambria Math" w:hAnsi="Cambria Math"/>
          </w:rPr>
          <m:t>、</m:t>
        </m:r>
      </m:oMath>
      <w:r>
        <w:rPr>
          <w:rFonts w:hint="eastAsia"/>
        </w:rPr>
        <w:t>工具显微镜示值误差引入的不确定度分量</w:t>
      </w:r>
      <m:oMath>
        <m:sSub>
          <m:sSubPr>
            <m:ctrlPr>
              <w:rPr>
                <w:rFonts w:ascii="Cambria Math" w:hAnsi="Cambria Math"/>
              </w:rPr>
            </m:ctrlPr>
          </m:sSubPr>
          <m:e>
            <m:r>
              <w:rPr>
                <w:rFonts w:ascii="Cambria Math" w:hAnsi="Cambria Math"/>
              </w:rPr>
              <m:t>u</m:t>
            </m:r>
            <m:ctrlPr>
              <w:rPr>
                <w:rFonts w:ascii="Cambria Math" w:hAnsi="Cambria Math"/>
              </w:rPr>
            </m:ctrlPr>
          </m:e>
          <m:sub>
            <m:r>
              <w:rPr>
                <w:rFonts w:ascii="Cambria Math" w:hAnsi="Cambria Math"/>
              </w:rPr>
              <m:t>B</m:t>
            </m:r>
            <m:ctrlPr>
              <w:rPr>
                <w:rFonts w:ascii="Cambria Math" w:hAnsi="Cambria Math"/>
              </w:rPr>
            </m:ctrlPr>
          </m:sub>
        </m:sSub>
      </m:oMath>
      <w:r>
        <w:t>及</w:t>
      </w:r>
      <w:r>
        <w:rPr>
          <w:rFonts w:hint="eastAsia"/>
        </w:rPr>
        <w:t>试块温度与20℃的偏差引入的标准不确定度分量</w:t>
      </w:r>
      <m:oMath>
        <m:sSub>
          <m:sSubPr>
            <m:ctrlPr>
              <w:rPr>
                <w:rFonts w:ascii="Cambria Math" w:hAnsi="Cambria Math"/>
              </w:rPr>
            </m:ctrlPr>
          </m:sSubPr>
          <m:e>
            <m:r>
              <w:rPr>
                <w:rFonts w:ascii="Cambria Math" w:hAnsi="Cambria Math"/>
              </w:rPr>
              <m:t>u</m:t>
            </m:r>
            <m:ctrlPr>
              <w:rPr>
                <w:rFonts w:ascii="Cambria Math" w:hAnsi="Cambria Math"/>
              </w:rPr>
            </m:ctrlPr>
          </m:e>
          <m:sub>
            <m:r>
              <w:rPr>
                <w:rFonts w:ascii="Cambria Math" w:hAnsi="Cambria Math"/>
              </w:rPr>
              <m:t>t</m:t>
            </m:r>
            <m:ctrlPr>
              <w:rPr>
                <w:rFonts w:ascii="Cambria Math" w:hAnsi="Cambria Math"/>
              </w:rPr>
            </m:ctrlPr>
          </m:sub>
        </m:sSub>
      </m:oMath>
      <w:r>
        <w:rPr>
          <w:rFonts w:hint="eastAsia"/>
        </w:rPr>
        <w:t>。</w:t>
      </w:r>
    </w:p>
    <w:p>
      <w:r>
        <w:rPr>
          <w:rFonts w:hint="eastAsia"/>
        </w:rPr>
        <w:t>根据JJF 1064-2010附录C坐标测量机尺寸测量示值误差的测量不确定度评估示例可得合成标准不确定度</w:t>
      </w:r>
      <m:oMath>
        <m:sSub>
          <m:sSubPr>
            <m:ctrlPr>
              <w:rPr>
                <w:rFonts w:ascii="Cambria Math" w:hAnsi="Cambria Math"/>
              </w:rPr>
            </m:ctrlPr>
          </m:sSubPr>
          <m:e>
            <m:r>
              <w:rPr>
                <w:rFonts w:ascii="Cambria Math" w:hAnsi="Cambria Math"/>
              </w:rPr>
              <m:t>u</m:t>
            </m:r>
            <m:ctrlPr>
              <w:rPr>
                <w:rFonts w:ascii="Cambria Math" w:hAnsi="Cambria Math"/>
              </w:rPr>
            </m:ctrlPr>
          </m:e>
          <m:sub>
            <m:r>
              <w:rPr>
                <w:rFonts w:ascii="Cambria Math" w:hAnsi="Cambria Math"/>
              </w:rPr>
              <m:t>c</m:t>
            </m:r>
            <m:ctrlPr>
              <w:rPr>
                <w:rFonts w:ascii="Cambria Math" w:hAnsi="Cambria Math"/>
              </w:rPr>
            </m:ctrlPr>
          </m:sub>
        </m:sSub>
      </m:oMath>
      <w:r>
        <w:rPr>
          <w:rFonts w:hint="eastAsia"/>
        </w:rPr>
        <w:t xml:space="preserve">的传播率表达式为： </w:t>
      </w:r>
    </w:p>
    <w:p>
      <w:pPr>
        <w:spacing w:line="240" w:lineRule="auto"/>
      </w:pPr>
      <m:oMathPara>
        <m:oMath>
          <m:sSub>
            <m:sSubPr>
              <m:ctrlPr>
                <w:rPr>
                  <w:rFonts w:ascii="Cambria Math" w:hAnsi="Cambria Math"/>
                </w:rPr>
              </m:ctrlPr>
            </m:sSubPr>
            <m:e>
              <m:r>
                <w:rPr>
                  <w:rFonts w:ascii="Cambria Math" w:hAnsi="Cambria Math"/>
                </w:rPr>
                <m:t>u</m:t>
              </m:r>
              <m:ctrlPr>
                <w:rPr>
                  <w:rFonts w:ascii="Cambria Math" w:hAnsi="Cambria Math"/>
                </w:rPr>
              </m:ctrlPr>
            </m:e>
            <m:sub>
              <m:r>
                <w:rPr>
                  <w:rFonts w:ascii="Cambria Math" w:hAnsi="Cambria Math"/>
                </w:rPr>
                <m:t>c</m:t>
              </m:r>
              <m:ctrlPr>
                <w:rPr>
                  <w:rFonts w:ascii="Cambria Math" w:hAnsi="Cambria Math"/>
                </w:rPr>
              </m:ctrlPr>
            </m:sub>
          </m:sSub>
          <m:r>
            <w:rPr>
              <w:rFonts w:ascii="Cambria Math" w:hAnsi="Cambria Math"/>
            </w:rPr>
            <m:t>=</m:t>
          </m:r>
          <m:rad>
            <m:radPr>
              <m:degHide m:val="1"/>
              <m:ctrlPr>
                <w:rPr>
                  <w:rFonts w:ascii="Cambria Math" w:hAnsi="Cambria Math"/>
                  <w:i/>
                </w:rPr>
              </m:ctrlPr>
            </m:radPr>
            <m:deg>
              <m:ctrlPr>
                <w:rPr>
                  <w:rFonts w:ascii="Cambria Math" w:hAnsi="Cambria Math"/>
                  <w:i/>
                </w:rPr>
              </m:ctrlPr>
            </m:deg>
            <m:e>
              <m:sSubSup>
                <m:sSubSupPr>
                  <m:ctrlPr>
                    <w:rPr>
                      <w:rFonts w:ascii="Cambria Math" w:hAnsi="Cambria Math"/>
                      <w:i/>
                    </w:rPr>
                  </m:ctrlPr>
                </m:sSubSupPr>
                <m:e>
                  <m:r>
                    <w:rPr>
                      <w:rFonts w:ascii="Cambria Math" w:hAnsi="Cambria Math"/>
                    </w:rPr>
                    <m:t>u</m:t>
                  </m:r>
                  <m:ctrlPr>
                    <w:rPr>
                      <w:rFonts w:ascii="Cambria Math" w:hAnsi="Cambria Math"/>
                      <w:i/>
                    </w:rPr>
                  </m:ctrlPr>
                </m:e>
                <m:sub>
                  <m:r>
                    <w:rPr>
                      <w:rFonts w:ascii="Cambria Math" w:hAnsi="Cambria Math"/>
                    </w:rPr>
                    <m:t>A</m:t>
                  </m:r>
                  <m:ctrlPr>
                    <w:rPr>
                      <w:rFonts w:ascii="Cambria Math" w:hAnsi="Cambria Math"/>
                      <w:i/>
                    </w:rPr>
                  </m:ctrlPr>
                </m:sub>
                <m:sup>
                  <m:r>
                    <w:rPr>
                      <w:rFonts w:ascii="Cambria Math" w:hAnsi="Cambria Math"/>
                    </w:rPr>
                    <m:t>2</m:t>
                  </m:r>
                  <m:ctrlPr>
                    <w:rPr>
                      <w:rFonts w:ascii="Cambria Math" w:hAnsi="Cambria Math"/>
                      <w:i/>
                    </w:rPr>
                  </m:ctrlPr>
                </m:sup>
              </m:sSubSup>
              <m:r>
                <w:rPr>
                  <w:rFonts w:ascii="Cambria Math" w:hAnsi="Cambria Math"/>
                </w:rPr>
                <m:t>+</m:t>
              </m:r>
              <m:sSubSup>
                <m:sSubSupPr>
                  <m:ctrlPr>
                    <w:rPr>
                      <w:rFonts w:ascii="Cambria Math" w:hAnsi="Cambria Math"/>
                      <w:i/>
                    </w:rPr>
                  </m:ctrlPr>
                </m:sSubSupPr>
                <m:e>
                  <m:r>
                    <w:rPr>
                      <w:rFonts w:ascii="Cambria Math" w:hAnsi="Cambria Math"/>
                    </w:rPr>
                    <m:t>u</m:t>
                  </m:r>
                  <m:ctrlPr>
                    <w:rPr>
                      <w:rFonts w:ascii="Cambria Math" w:hAnsi="Cambria Math"/>
                      <w:i/>
                    </w:rPr>
                  </m:ctrlPr>
                </m:e>
                <m:sub>
                  <m:r>
                    <w:rPr>
                      <w:rFonts w:ascii="Cambria Math" w:hAnsi="Cambria Math"/>
                    </w:rPr>
                    <m:t>B</m:t>
                  </m:r>
                  <m:ctrlPr>
                    <w:rPr>
                      <w:rFonts w:ascii="Cambria Math" w:hAnsi="Cambria Math"/>
                      <w:i/>
                    </w:rPr>
                  </m:ctrlPr>
                </m:sub>
                <m:sup>
                  <m:r>
                    <w:rPr>
                      <w:rFonts w:ascii="Cambria Math" w:hAnsi="Cambria Math"/>
                    </w:rPr>
                    <m:t>2</m:t>
                  </m:r>
                  <m:ctrlPr>
                    <w:rPr>
                      <w:rFonts w:ascii="Cambria Math" w:hAnsi="Cambria Math"/>
                      <w:i/>
                    </w:rPr>
                  </m:ctrlPr>
                </m:sup>
              </m:sSubSup>
              <m:r>
                <w:rPr>
                  <w:rFonts w:ascii="Cambria Math" w:hAnsi="Cambria Math"/>
                </w:rPr>
                <m:t>+</m:t>
              </m:r>
              <m:sSup>
                <m:sSupPr>
                  <m:ctrlPr>
                    <w:rPr>
                      <w:rFonts w:ascii="Cambria Math" w:hAnsi="Cambria Math"/>
                      <w:i/>
                    </w:rPr>
                  </m:ctrlPr>
                </m:sSupPr>
                <m:e>
                  <m:r>
                    <w:rPr>
                      <w:rFonts w:ascii="Cambria Math" w:hAnsi="Cambria Math"/>
                    </w:rPr>
                    <m:t>(R×α×</m:t>
                  </m:r>
                  <m:sSub>
                    <m:sSubPr>
                      <m:ctrlPr>
                        <w:rPr>
                          <w:rFonts w:ascii="Cambria Math" w:hAnsi="Cambria Math"/>
                          <w:i/>
                        </w:rPr>
                      </m:ctrlPr>
                    </m:sSubPr>
                    <m:e>
                      <m:r>
                        <w:rPr>
                          <w:rFonts w:ascii="Cambria Math" w:hAnsi="Cambria Math"/>
                        </w:rPr>
                        <m:t>u</m:t>
                      </m:r>
                      <m:ctrlPr>
                        <w:rPr>
                          <w:rFonts w:ascii="Cambria Math" w:hAnsi="Cambria Math"/>
                          <w:i/>
                        </w:rPr>
                      </m:ctrlPr>
                    </m:e>
                    <m:sub>
                      <m:r>
                        <w:rPr>
                          <w:rFonts w:ascii="Cambria Math" w:hAnsi="Cambria Math"/>
                        </w:rPr>
                        <m:t>t</m:t>
                      </m:r>
                      <m:ctrlPr>
                        <w:rPr>
                          <w:rFonts w:ascii="Cambria Math" w:hAnsi="Cambria Math"/>
                          <w:i/>
                        </w:rPr>
                      </m:ctrlPr>
                    </m:sub>
                  </m:sSub>
                  <m:r>
                    <w:rPr>
                      <w:rFonts w:ascii="Cambria Math" w:hAnsi="Cambria Math"/>
                    </w:rPr>
                    <m:t>)</m:t>
                  </m:r>
                  <m:ctrlPr>
                    <w:rPr>
                      <w:rFonts w:ascii="Cambria Math" w:hAnsi="Cambria Math"/>
                      <w:i/>
                    </w:rPr>
                  </m:ctrlPr>
                </m:e>
                <m:sup>
                  <m:r>
                    <w:rPr>
                      <w:rFonts w:ascii="Cambria Math" w:hAnsi="Cambria Math"/>
                    </w:rPr>
                    <m:t>2</m:t>
                  </m:r>
                  <m:ctrlPr>
                    <w:rPr>
                      <w:rFonts w:ascii="Cambria Math" w:hAnsi="Cambria Math"/>
                      <w:i/>
                    </w:rPr>
                  </m:ctrlPr>
                </m:sup>
              </m:sSup>
              <m:ctrlPr>
                <w:rPr>
                  <w:rFonts w:ascii="Cambria Math" w:hAnsi="Cambria Math"/>
                  <w:i/>
                </w:rPr>
              </m:ctrlPr>
            </m:e>
          </m:rad>
        </m:oMath>
      </m:oMathPara>
    </w:p>
    <w:p>
      <w:r>
        <w:rPr>
          <w:rFonts w:hint="eastAsia"/>
        </w:rPr>
        <w:t>式中：</w:t>
      </w:r>
    </w:p>
    <w:p>
      <w:pPr>
        <w:rPr>
          <w:rFonts w:cs="Times New Roman"/>
        </w:rPr>
      </w:pPr>
      <m:oMath>
        <m:sSub>
          <m:sSubPr>
            <m:ctrlPr>
              <w:rPr>
                <w:rFonts w:ascii="Cambria Math" w:hAnsi="Cambria Math"/>
                <w:i/>
              </w:rPr>
            </m:ctrlPr>
          </m:sSubPr>
          <m:e>
            <m:r>
              <w:rPr>
                <w:rFonts w:ascii="Cambria Math" w:hAnsi="Cambria Math"/>
              </w:rPr>
              <m:t>u</m:t>
            </m:r>
            <m:ctrlPr>
              <w:rPr>
                <w:rFonts w:ascii="Cambria Math" w:hAnsi="Cambria Math"/>
                <w:i/>
              </w:rPr>
            </m:ctrlPr>
          </m:e>
          <m:sub>
            <m:r>
              <w:rPr>
                <w:rFonts w:ascii="Cambria Math" w:hAnsi="Cambria Math"/>
              </w:rPr>
              <m:t>c</m:t>
            </m:r>
            <m:ctrlPr>
              <w:rPr>
                <w:rFonts w:ascii="Cambria Math" w:hAnsi="Cambria Math"/>
                <w:i/>
              </w:rPr>
            </m:ctrlPr>
          </m:sub>
        </m:sSub>
      </m:oMath>
      <w:r>
        <w:rPr>
          <w:rFonts w:hint="eastAsia"/>
        </w:rPr>
        <w:t>——合成标准不确定度</w:t>
      </w:r>
      <w:r>
        <w:rPr>
          <w:rFonts w:hint="eastAsia" w:cs="Times New Roman"/>
        </w:rPr>
        <w:t>；</w:t>
      </w:r>
    </w:p>
    <w:p>
      <w:pPr>
        <w:rPr>
          <w:rFonts w:cs="Times New Roman"/>
        </w:rPr>
      </w:pPr>
      <m:oMath>
        <m:sSub>
          <m:sSubPr>
            <m:ctrlPr>
              <w:rPr>
                <w:rFonts w:ascii="Cambria Math" w:hAnsi="Cambria Math"/>
                <w:i/>
              </w:rPr>
            </m:ctrlPr>
          </m:sSubPr>
          <m:e>
            <m:r>
              <w:rPr>
                <w:rFonts w:ascii="Cambria Math" w:hAnsi="Cambria Math"/>
              </w:rPr>
              <m:t>u</m:t>
            </m:r>
            <m:ctrlPr>
              <w:rPr>
                <w:rFonts w:ascii="Cambria Math" w:hAnsi="Cambria Math"/>
                <w:i/>
              </w:rPr>
            </m:ctrlPr>
          </m:e>
          <m:sub>
            <m:r>
              <w:rPr>
                <w:rFonts w:ascii="Cambria Math" w:hAnsi="Cambria Math"/>
              </w:rPr>
              <m:t>A</m:t>
            </m:r>
            <m:ctrlPr>
              <w:rPr>
                <w:rFonts w:ascii="Cambria Math" w:hAnsi="Cambria Math"/>
                <w:i/>
              </w:rPr>
            </m:ctrlPr>
          </m:sub>
        </m:sSub>
      </m:oMath>
      <w:r>
        <w:rPr>
          <w:rFonts w:hint="eastAsia"/>
        </w:rPr>
        <w:t>——测量重复性引入的不确定度分量</w:t>
      </w:r>
      <w:r>
        <w:rPr>
          <w:rFonts w:cs="Times New Roman"/>
        </w:rPr>
        <w:t>；</w:t>
      </w:r>
    </w:p>
    <w:p>
      <m:oMath>
        <m:sSub>
          <m:sSubPr>
            <m:ctrlPr>
              <w:rPr>
                <w:rFonts w:ascii="Cambria Math" w:hAnsi="Cambria Math" w:cs="Times New Roman"/>
                <w:i/>
              </w:rPr>
            </m:ctrlPr>
          </m:sSubPr>
          <m:e>
            <m:r>
              <w:rPr>
                <w:rFonts w:ascii="Cambria Math" w:hAnsi="Cambria Math" w:cs="Times New Roman"/>
              </w:rPr>
              <m:t>u</m:t>
            </m:r>
            <m:ctrlPr>
              <w:rPr>
                <w:rFonts w:ascii="Cambria Math" w:hAnsi="Cambria Math" w:cs="Times New Roman"/>
                <w:i/>
              </w:rPr>
            </m:ctrlPr>
          </m:e>
          <m:sub>
            <m:r>
              <w:rPr>
                <w:rFonts w:ascii="Cambria Math" w:hAnsi="Cambria Math" w:cs="Times New Roman"/>
              </w:rPr>
              <m:t>B</m:t>
            </m:r>
            <m:ctrlPr>
              <w:rPr>
                <w:rFonts w:ascii="Cambria Math" w:hAnsi="Cambria Math" w:cs="Times New Roman"/>
                <w:i/>
              </w:rPr>
            </m:ctrlPr>
          </m:sub>
        </m:sSub>
      </m:oMath>
      <w:r>
        <w:rPr>
          <w:rFonts w:hint="eastAsia" w:cs="Times New Roman"/>
          <w:i/>
        </w:rPr>
        <w:t>——</w:t>
      </w:r>
      <w:r>
        <w:rPr>
          <w:rFonts w:hint="eastAsia"/>
        </w:rPr>
        <w:t>工具显微镜示值误差引入的不确定度分量；</w:t>
      </w:r>
    </w:p>
    <w:p>
      <w:r>
        <w:rPr>
          <w:rFonts w:hint="eastAsia"/>
          <w:i/>
        </w:rPr>
        <w:t>R</w:t>
      </w:r>
      <w:r>
        <w:rPr>
          <w:rFonts w:hint="eastAsia"/>
        </w:rPr>
        <w:t>——最小二乘法对缺陷区域外轮廓圆拟合出圆的半径，mm；</w:t>
      </w:r>
    </w:p>
    <w:p>
      <w:pPr>
        <w:jc w:val="left"/>
      </w:pPr>
      <m:oMath>
        <m:r>
          <m:rPr>
            <m:sty m:val="p"/>
          </m:rPr>
          <w:rPr>
            <w:rFonts w:ascii="Cambria Math" w:hAnsi="Cambria Math"/>
          </w:rPr>
          <m:t>α</m:t>
        </m:r>
      </m:oMath>
      <w:r>
        <w:rPr>
          <w:rFonts w:hint="eastAsia"/>
        </w:rPr>
        <w:t>——试块热膨胀系数，℃</w:t>
      </w:r>
      <w:r>
        <w:rPr>
          <w:rFonts w:hint="eastAsia"/>
          <w:vertAlign w:val="superscript"/>
        </w:rPr>
        <w:t>-1</w:t>
      </w:r>
      <w:r>
        <w:rPr>
          <w:rFonts w:hint="eastAsia"/>
        </w:rPr>
        <w:t>；</w:t>
      </w:r>
    </w:p>
    <w:p>
      <w:pPr>
        <w:jc w:val="left"/>
        <w:rPr>
          <w:rFonts w:ascii="Cambria Math" w:hAnsi="Cambria Math"/>
          <w:oMath/>
        </w:rPr>
      </w:pPr>
      <m:oMath>
        <m:sSub>
          <m:sSubPr>
            <m:ctrlPr>
              <w:rPr>
                <w:rFonts w:ascii="Cambria Math" w:hAnsi="Cambria Math"/>
                <w:i/>
              </w:rPr>
            </m:ctrlPr>
          </m:sSubPr>
          <m:e>
            <m:r>
              <w:rPr>
                <w:rFonts w:ascii="Cambria Math" w:hAnsi="Cambria Math"/>
              </w:rPr>
              <m:t>u</m:t>
            </m:r>
            <m:ctrlPr>
              <w:rPr>
                <w:rFonts w:ascii="Cambria Math" w:hAnsi="Cambria Math"/>
                <w:i/>
              </w:rPr>
            </m:ctrlPr>
          </m:e>
          <m:sub>
            <m:r>
              <w:rPr>
                <w:rFonts w:ascii="Cambria Math" w:hAnsi="Cambria Math"/>
              </w:rPr>
              <m:t>t</m:t>
            </m:r>
            <m:ctrlPr>
              <w:rPr>
                <w:rFonts w:ascii="Cambria Math" w:hAnsi="Cambria Math"/>
                <w:i/>
              </w:rPr>
            </m:ctrlPr>
          </m:sub>
        </m:sSub>
      </m:oMath>
      <w:r>
        <w:rPr>
          <w:rFonts w:hint="eastAsia"/>
        </w:rPr>
        <w:t>——试块温度与20℃的偏差引入的标准不确定度分量</w:t>
      </w:r>
      <m:oMath>
        <m:sSub>
          <m:sSubPr>
            <m:ctrlPr>
              <w:rPr>
                <w:rFonts w:ascii="Cambria Math" w:hAnsi="Cambria Math"/>
              </w:rPr>
            </m:ctrlPr>
          </m:sSubPr>
          <m:e>
            <m:r>
              <w:rPr>
                <w:rFonts w:ascii="Cambria Math" w:hAnsi="Cambria Math"/>
              </w:rPr>
              <m:t>u</m:t>
            </m:r>
            <m:ctrlPr>
              <w:rPr>
                <w:rFonts w:ascii="Cambria Math" w:hAnsi="Cambria Math"/>
              </w:rPr>
            </m:ctrlPr>
          </m:e>
          <m:sub>
            <m:r>
              <w:rPr>
                <w:rFonts w:ascii="Cambria Math" w:hAnsi="Cambria Math"/>
              </w:rPr>
              <m:t>t</m:t>
            </m:r>
            <m:ctrlPr>
              <w:rPr>
                <w:rFonts w:ascii="Cambria Math" w:hAnsi="Cambria Math"/>
              </w:rPr>
            </m:ctrlPr>
          </m:sub>
        </m:sSub>
      </m:oMath>
      <w:r>
        <w:t>。</w:t>
      </w:r>
    </w:p>
    <w:p>
      <w:pPr>
        <w:pStyle w:val="3"/>
        <w:numPr>
          <w:ilvl w:val="1"/>
          <w:numId w:val="2"/>
        </w:numPr>
        <w:ind w:left="426" w:firstLineChars="0"/>
      </w:pPr>
      <w:r>
        <w:rPr>
          <w:rFonts w:hint="eastAsia"/>
        </w:rPr>
        <w:t>标准不确定度评定</w:t>
      </w:r>
    </w:p>
    <w:p>
      <w:pPr>
        <w:pStyle w:val="3"/>
        <w:numPr>
          <w:ilvl w:val="2"/>
          <w:numId w:val="2"/>
        </w:numPr>
        <w:ind w:firstLineChars="0"/>
      </w:pPr>
      <w:r>
        <w:rPr>
          <w:rFonts w:hint="eastAsia"/>
        </w:rPr>
        <w:t>由测量重复性引入的不确定度分量</w:t>
      </w:r>
      <m:oMath>
        <m:sSub>
          <m:sSubPr>
            <m:ctrlPr>
              <w:rPr>
                <w:rFonts w:ascii="Cambria Math" w:hAnsi="Cambria Math"/>
                <w:i/>
              </w:rPr>
            </m:ctrlPr>
          </m:sSubPr>
          <m:e>
            <m:r>
              <w:rPr>
                <w:rFonts w:ascii="Cambria Math" w:hAnsi="Cambria Math"/>
              </w:rPr>
              <m:t>u</m:t>
            </m:r>
            <m:ctrlPr>
              <w:rPr>
                <w:rFonts w:ascii="Cambria Math" w:hAnsi="Cambria Math"/>
                <w:i/>
              </w:rPr>
            </m:ctrlPr>
          </m:e>
          <m:sub>
            <m:r>
              <w:rPr>
                <w:rFonts w:ascii="Cambria Math" w:hAnsi="Cambria Math"/>
              </w:rPr>
              <m:t>A</m:t>
            </m:r>
            <m:ctrlPr>
              <w:rPr>
                <w:rFonts w:ascii="Cambria Math" w:hAnsi="Cambria Math"/>
                <w:i/>
              </w:rPr>
            </m:ctrlPr>
          </m:sub>
        </m:sSub>
      </m:oMath>
    </w:p>
    <w:p>
      <w:r>
        <w:rPr>
          <w:rFonts w:hint="eastAsia"/>
        </w:rPr>
        <w:t>在重复测量条件下，对试块某条裂纹最外端坐标进行10次重复测量。得到结果见下表</w:t>
      </w:r>
      <w:r>
        <w:t>B</w:t>
      </w:r>
      <w:r>
        <w:rPr>
          <w:rFonts w:hint="eastAsia"/>
        </w:rPr>
        <w:t>.1。则测量重复性引入的不确定度分量为：</w:t>
      </w:r>
    </w:p>
    <w:p>
      <w:pPr>
        <w:pStyle w:val="53"/>
      </w:pPr>
      <w:r>
        <w:rPr>
          <w:rFonts w:hint="eastAsia"/>
        </w:rPr>
        <w:t>表B.1 测量不确定度来源及说明</w:t>
      </w:r>
    </w:p>
    <w:p>
      <w:pPr>
        <w:pStyle w:val="53"/>
        <w:ind w:right="315"/>
        <w:jc w:val="right"/>
      </w:pPr>
      <w:r>
        <w:rPr>
          <w:rFonts w:hint="eastAsia"/>
        </w:rPr>
        <w:t>mm</w:t>
      </w:r>
    </w:p>
    <w:tbl>
      <w:tblPr>
        <w:tblStyle w:val="15"/>
        <w:tblW w:w="912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80"/>
        <w:gridCol w:w="2280"/>
        <w:gridCol w:w="2280"/>
        <w:gridCol w:w="22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2280" w:type="dxa"/>
            <w:shd w:val="clear" w:color="auto" w:fill="auto"/>
            <w:vAlign w:val="center"/>
          </w:tcPr>
          <w:p>
            <w:pPr>
              <w:spacing w:line="240" w:lineRule="auto"/>
              <w:ind w:firstLine="0" w:firstLineChars="0"/>
              <w:jc w:val="center"/>
            </w:pPr>
            <w:r>
              <w:t>x</w:t>
            </w:r>
            <w:r>
              <w:rPr>
                <w:vertAlign w:val="subscript"/>
              </w:rPr>
              <w:t>1</w:t>
            </w:r>
          </w:p>
        </w:tc>
        <w:tc>
          <w:tcPr>
            <w:tcW w:w="2280" w:type="dxa"/>
            <w:shd w:val="clear" w:color="auto" w:fill="auto"/>
            <w:vAlign w:val="center"/>
          </w:tcPr>
          <w:p>
            <w:pPr>
              <w:spacing w:line="240" w:lineRule="auto"/>
              <w:ind w:firstLine="0" w:firstLineChars="0"/>
              <w:jc w:val="center"/>
              <w:rPr>
                <w:rFonts w:cs="Times New Roman"/>
                <w:color w:val="000000"/>
                <w:szCs w:val="28"/>
              </w:rPr>
            </w:pPr>
            <w:r>
              <w:rPr>
                <w:rFonts w:cs="Times New Roman"/>
                <w:color w:val="000000"/>
                <w:szCs w:val="28"/>
              </w:rPr>
              <w:t>138.3242</w:t>
            </w:r>
          </w:p>
        </w:tc>
        <w:tc>
          <w:tcPr>
            <w:tcW w:w="2280" w:type="dxa"/>
            <w:shd w:val="clear" w:color="auto" w:fill="auto"/>
            <w:vAlign w:val="center"/>
          </w:tcPr>
          <w:p>
            <w:pPr>
              <w:spacing w:line="240" w:lineRule="auto"/>
              <w:ind w:firstLine="0" w:firstLineChars="0"/>
              <w:jc w:val="center"/>
            </w:pPr>
            <w:r>
              <w:t>y</w:t>
            </w:r>
            <w:r>
              <w:rPr>
                <w:vertAlign w:val="subscript"/>
              </w:rPr>
              <w:t>1</w:t>
            </w:r>
          </w:p>
        </w:tc>
        <w:tc>
          <w:tcPr>
            <w:tcW w:w="2280" w:type="dxa"/>
            <w:shd w:val="clear" w:color="auto" w:fill="auto"/>
            <w:vAlign w:val="center"/>
          </w:tcPr>
          <w:p>
            <w:pPr>
              <w:spacing w:line="240" w:lineRule="auto"/>
              <w:ind w:firstLine="0" w:firstLineChars="0"/>
              <w:jc w:val="center"/>
              <w:rPr>
                <w:rFonts w:cs="Times New Roman"/>
                <w:color w:val="000000"/>
                <w:szCs w:val="28"/>
              </w:rPr>
            </w:pPr>
            <w:r>
              <w:rPr>
                <w:rFonts w:cs="Times New Roman"/>
                <w:color w:val="000000"/>
                <w:szCs w:val="28"/>
              </w:rPr>
              <w:t>94.2485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2280" w:type="dxa"/>
            <w:shd w:val="clear" w:color="auto" w:fill="auto"/>
            <w:vAlign w:val="center"/>
          </w:tcPr>
          <w:p>
            <w:pPr>
              <w:spacing w:line="240" w:lineRule="auto"/>
              <w:ind w:firstLine="0" w:firstLineChars="0"/>
              <w:jc w:val="center"/>
            </w:pPr>
            <w:r>
              <w:t>x</w:t>
            </w:r>
            <w:r>
              <w:rPr>
                <w:vertAlign w:val="subscript"/>
              </w:rPr>
              <w:t>2</w:t>
            </w:r>
          </w:p>
        </w:tc>
        <w:tc>
          <w:tcPr>
            <w:tcW w:w="2280" w:type="dxa"/>
            <w:shd w:val="clear" w:color="auto" w:fill="auto"/>
            <w:vAlign w:val="center"/>
          </w:tcPr>
          <w:p>
            <w:pPr>
              <w:spacing w:line="240" w:lineRule="auto"/>
              <w:ind w:firstLine="0" w:firstLineChars="0"/>
              <w:jc w:val="center"/>
              <w:rPr>
                <w:rFonts w:cs="Times New Roman"/>
                <w:color w:val="000000"/>
                <w:szCs w:val="28"/>
              </w:rPr>
            </w:pPr>
            <w:r>
              <w:rPr>
                <w:rFonts w:cs="Times New Roman"/>
                <w:color w:val="000000"/>
                <w:szCs w:val="28"/>
              </w:rPr>
              <w:t>138.3246</w:t>
            </w:r>
          </w:p>
        </w:tc>
        <w:tc>
          <w:tcPr>
            <w:tcW w:w="2280" w:type="dxa"/>
            <w:shd w:val="clear" w:color="auto" w:fill="auto"/>
            <w:vAlign w:val="center"/>
          </w:tcPr>
          <w:p>
            <w:pPr>
              <w:spacing w:line="240" w:lineRule="auto"/>
              <w:ind w:firstLine="0" w:firstLineChars="0"/>
              <w:jc w:val="center"/>
            </w:pPr>
            <w:r>
              <w:t>y</w:t>
            </w:r>
            <w:r>
              <w:rPr>
                <w:vertAlign w:val="subscript"/>
              </w:rPr>
              <w:t>2</w:t>
            </w:r>
          </w:p>
        </w:tc>
        <w:tc>
          <w:tcPr>
            <w:tcW w:w="2280" w:type="dxa"/>
            <w:shd w:val="clear" w:color="auto" w:fill="auto"/>
            <w:vAlign w:val="center"/>
          </w:tcPr>
          <w:p>
            <w:pPr>
              <w:spacing w:line="240" w:lineRule="auto"/>
              <w:ind w:firstLine="0" w:firstLineChars="0"/>
              <w:jc w:val="center"/>
              <w:rPr>
                <w:rFonts w:cs="Times New Roman"/>
                <w:color w:val="000000"/>
                <w:szCs w:val="28"/>
              </w:rPr>
            </w:pPr>
            <w:r>
              <w:rPr>
                <w:rFonts w:cs="Times New Roman"/>
                <w:color w:val="000000"/>
                <w:szCs w:val="28"/>
              </w:rPr>
              <w:t>94.2488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2280" w:type="dxa"/>
            <w:shd w:val="clear" w:color="auto" w:fill="auto"/>
            <w:vAlign w:val="center"/>
          </w:tcPr>
          <w:p>
            <w:pPr>
              <w:spacing w:line="240" w:lineRule="auto"/>
              <w:ind w:firstLine="0" w:firstLineChars="0"/>
              <w:jc w:val="center"/>
            </w:pPr>
            <w:r>
              <w:t>x</w:t>
            </w:r>
            <w:r>
              <w:rPr>
                <w:vertAlign w:val="subscript"/>
              </w:rPr>
              <w:t>3</w:t>
            </w:r>
          </w:p>
        </w:tc>
        <w:tc>
          <w:tcPr>
            <w:tcW w:w="2280" w:type="dxa"/>
            <w:shd w:val="clear" w:color="auto" w:fill="auto"/>
            <w:vAlign w:val="center"/>
          </w:tcPr>
          <w:p>
            <w:pPr>
              <w:spacing w:line="240" w:lineRule="auto"/>
              <w:ind w:firstLine="0" w:firstLineChars="0"/>
              <w:jc w:val="center"/>
              <w:rPr>
                <w:rFonts w:cs="Times New Roman"/>
                <w:color w:val="000000"/>
                <w:szCs w:val="28"/>
              </w:rPr>
            </w:pPr>
            <w:r>
              <w:rPr>
                <w:rFonts w:cs="Times New Roman"/>
                <w:color w:val="000000"/>
                <w:szCs w:val="28"/>
              </w:rPr>
              <w:t>138.3244</w:t>
            </w:r>
          </w:p>
        </w:tc>
        <w:tc>
          <w:tcPr>
            <w:tcW w:w="2280" w:type="dxa"/>
            <w:shd w:val="clear" w:color="auto" w:fill="auto"/>
            <w:vAlign w:val="center"/>
          </w:tcPr>
          <w:p>
            <w:pPr>
              <w:spacing w:line="240" w:lineRule="auto"/>
              <w:ind w:firstLine="0" w:firstLineChars="0"/>
              <w:jc w:val="center"/>
            </w:pPr>
            <w:r>
              <w:t>y</w:t>
            </w:r>
            <w:r>
              <w:rPr>
                <w:vertAlign w:val="subscript"/>
              </w:rPr>
              <w:t>3</w:t>
            </w:r>
          </w:p>
        </w:tc>
        <w:tc>
          <w:tcPr>
            <w:tcW w:w="2280" w:type="dxa"/>
            <w:shd w:val="clear" w:color="auto" w:fill="auto"/>
            <w:vAlign w:val="center"/>
          </w:tcPr>
          <w:p>
            <w:pPr>
              <w:spacing w:line="240" w:lineRule="auto"/>
              <w:ind w:firstLine="0" w:firstLineChars="0"/>
              <w:jc w:val="center"/>
              <w:rPr>
                <w:rFonts w:cs="Times New Roman"/>
                <w:color w:val="000000"/>
                <w:szCs w:val="28"/>
              </w:rPr>
            </w:pPr>
            <w:r>
              <w:rPr>
                <w:rFonts w:cs="Times New Roman"/>
                <w:color w:val="000000"/>
                <w:szCs w:val="28"/>
              </w:rPr>
              <w:t>94.2485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2280" w:type="dxa"/>
            <w:shd w:val="clear" w:color="auto" w:fill="auto"/>
            <w:vAlign w:val="center"/>
          </w:tcPr>
          <w:p>
            <w:pPr>
              <w:spacing w:line="240" w:lineRule="auto"/>
              <w:ind w:firstLine="0" w:firstLineChars="0"/>
              <w:jc w:val="center"/>
            </w:pPr>
            <w:r>
              <w:t>x</w:t>
            </w:r>
            <w:r>
              <w:rPr>
                <w:vertAlign w:val="subscript"/>
              </w:rPr>
              <w:t>4</w:t>
            </w:r>
          </w:p>
        </w:tc>
        <w:tc>
          <w:tcPr>
            <w:tcW w:w="2280" w:type="dxa"/>
            <w:shd w:val="clear" w:color="auto" w:fill="auto"/>
            <w:vAlign w:val="center"/>
          </w:tcPr>
          <w:p>
            <w:pPr>
              <w:spacing w:line="240" w:lineRule="auto"/>
              <w:ind w:firstLine="0" w:firstLineChars="0"/>
              <w:jc w:val="center"/>
              <w:rPr>
                <w:rFonts w:cs="Times New Roman"/>
                <w:color w:val="000000"/>
                <w:szCs w:val="28"/>
              </w:rPr>
            </w:pPr>
            <w:r>
              <w:rPr>
                <w:rFonts w:cs="Times New Roman"/>
                <w:color w:val="000000"/>
                <w:szCs w:val="28"/>
              </w:rPr>
              <w:t>138.3241</w:t>
            </w:r>
          </w:p>
        </w:tc>
        <w:tc>
          <w:tcPr>
            <w:tcW w:w="2280" w:type="dxa"/>
            <w:shd w:val="clear" w:color="auto" w:fill="auto"/>
            <w:vAlign w:val="center"/>
          </w:tcPr>
          <w:p>
            <w:pPr>
              <w:spacing w:line="240" w:lineRule="auto"/>
              <w:ind w:firstLine="0" w:firstLineChars="0"/>
              <w:jc w:val="center"/>
            </w:pPr>
            <w:r>
              <w:t>y</w:t>
            </w:r>
            <w:r>
              <w:rPr>
                <w:vertAlign w:val="subscript"/>
              </w:rPr>
              <w:t>4</w:t>
            </w:r>
          </w:p>
        </w:tc>
        <w:tc>
          <w:tcPr>
            <w:tcW w:w="2280" w:type="dxa"/>
            <w:shd w:val="clear" w:color="auto" w:fill="auto"/>
            <w:vAlign w:val="center"/>
          </w:tcPr>
          <w:p>
            <w:pPr>
              <w:spacing w:line="240" w:lineRule="auto"/>
              <w:ind w:firstLine="0" w:firstLineChars="0"/>
              <w:jc w:val="center"/>
              <w:rPr>
                <w:rFonts w:cs="Times New Roman"/>
                <w:color w:val="000000"/>
                <w:szCs w:val="28"/>
              </w:rPr>
            </w:pPr>
            <w:r>
              <w:rPr>
                <w:rFonts w:cs="Times New Roman"/>
                <w:color w:val="000000"/>
                <w:szCs w:val="28"/>
              </w:rPr>
              <w:t>94.2489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2280" w:type="dxa"/>
            <w:shd w:val="clear" w:color="auto" w:fill="auto"/>
            <w:vAlign w:val="center"/>
          </w:tcPr>
          <w:p>
            <w:pPr>
              <w:spacing w:line="240" w:lineRule="auto"/>
              <w:ind w:firstLine="0" w:firstLineChars="0"/>
              <w:jc w:val="center"/>
            </w:pPr>
            <w:r>
              <w:t>x</w:t>
            </w:r>
            <w:r>
              <w:rPr>
                <w:vertAlign w:val="subscript"/>
              </w:rPr>
              <w:t>5</w:t>
            </w:r>
          </w:p>
        </w:tc>
        <w:tc>
          <w:tcPr>
            <w:tcW w:w="2280" w:type="dxa"/>
            <w:shd w:val="clear" w:color="auto" w:fill="auto"/>
            <w:vAlign w:val="center"/>
          </w:tcPr>
          <w:p>
            <w:pPr>
              <w:spacing w:line="240" w:lineRule="auto"/>
              <w:ind w:firstLine="0" w:firstLineChars="0"/>
              <w:jc w:val="center"/>
              <w:rPr>
                <w:rFonts w:cs="Times New Roman"/>
                <w:color w:val="000000"/>
                <w:szCs w:val="28"/>
              </w:rPr>
            </w:pPr>
            <w:r>
              <w:rPr>
                <w:rFonts w:cs="Times New Roman"/>
                <w:color w:val="000000"/>
                <w:szCs w:val="28"/>
              </w:rPr>
              <w:t>138.3242</w:t>
            </w:r>
          </w:p>
        </w:tc>
        <w:tc>
          <w:tcPr>
            <w:tcW w:w="2280" w:type="dxa"/>
            <w:shd w:val="clear" w:color="auto" w:fill="auto"/>
            <w:vAlign w:val="center"/>
          </w:tcPr>
          <w:p>
            <w:pPr>
              <w:spacing w:line="240" w:lineRule="auto"/>
              <w:ind w:firstLine="0" w:firstLineChars="0"/>
              <w:jc w:val="center"/>
            </w:pPr>
            <w:r>
              <w:t>y</w:t>
            </w:r>
            <w:r>
              <w:rPr>
                <w:vertAlign w:val="subscript"/>
              </w:rPr>
              <w:t>5</w:t>
            </w:r>
          </w:p>
        </w:tc>
        <w:tc>
          <w:tcPr>
            <w:tcW w:w="2280" w:type="dxa"/>
            <w:shd w:val="clear" w:color="auto" w:fill="auto"/>
            <w:vAlign w:val="center"/>
          </w:tcPr>
          <w:p>
            <w:pPr>
              <w:spacing w:line="240" w:lineRule="auto"/>
              <w:ind w:firstLine="0" w:firstLineChars="0"/>
              <w:jc w:val="center"/>
              <w:rPr>
                <w:rFonts w:cs="Times New Roman"/>
                <w:color w:val="000000"/>
                <w:szCs w:val="28"/>
              </w:rPr>
            </w:pPr>
            <w:r>
              <w:rPr>
                <w:rFonts w:cs="Times New Roman"/>
                <w:color w:val="000000"/>
                <w:szCs w:val="28"/>
              </w:rPr>
              <w:t>94.2484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2280" w:type="dxa"/>
            <w:shd w:val="clear" w:color="auto" w:fill="auto"/>
            <w:vAlign w:val="center"/>
          </w:tcPr>
          <w:p>
            <w:pPr>
              <w:spacing w:line="240" w:lineRule="auto"/>
              <w:ind w:firstLine="0" w:firstLineChars="0"/>
              <w:jc w:val="center"/>
            </w:pPr>
            <w:r>
              <w:t>x</w:t>
            </w:r>
            <w:r>
              <w:rPr>
                <w:vertAlign w:val="subscript"/>
              </w:rPr>
              <w:t>6</w:t>
            </w:r>
          </w:p>
        </w:tc>
        <w:tc>
          <w:tcPr>
            <w:tcW w:w="2280" w:type="dxa"/>
            <w:shd w:val="clear" w:color="auto" w:fill="auto"/>
            <w:vAlign w:val="center"/>
          </w:tcPr>
          <w:p>
            <w:pPr>
              <w:spacing w:line="240" w:lineRule="auto"/>
              <w:ind w:firstLine="0" w:firstLineChars="0"/>
              <w:jc w:val="center"/>
              <w:rPr>
                <w:rFonts w:cs="Times New Roman"/>
                <w:color w:val="000000"/>
                <w:szCs w:val="28"/>
              </w:rPr>
            </w:pPr>
            <w:r>
              <w:rPr>
                <w:rFonts w:cs="Times New Roman"/>
                <w:color w:val="000000"/>
                <w:szCs w:val="28"/>
              </w:rPr>
              <w:t>138.3248</w:t>
            </w:r>
          </w:p>
        </w:tc>
        <w:tc>
          <w:tcPr>
            <w:tcW w:w="2280" w:type="dxa"/>
            <w:shd w:val="clear" w:color="auto" w:fill="auto"/>
            <w:vAlign w:val="center"/>
          </w:tcPr>
          <w:p>
            <w:pPr>
              <w:spacing w:line="240" w:lineRule="auto"/>
              <w:ind w:firstLine="0" w:firstLineChars="0"/>
              <w:jc w:val="center"/>
            </w:pPr>
            <w:r>
              <w:t>y</w:t>
            </w:r>
            <w:r>
              <w:rPr>
                <w:vertAlign w:val="subscript"/>
              </w:rPr>
              <w:t>6</w:t>
            </w:r>
          </w:p>
        </w:tc>
        <w:tc>
          <w:tcPr>
            <w:tcW w:w="2280" w:type="dxa"/>
            <w:shd w:val="clear" w:color="auto" w:fill="auto"/>
            <w:vAlign w:val="center"/>
          </w:tcPr>
          <w:p>
            <w:pPr>
              <w:spacing w:line="240" w:lineRule="auto"/>
              <w:ind w:firstLine="0" w:firstLineChars="0"/>
              <w:jc w:val="center"/>
              <w:rPr>
                <w:rFonts w:cs="Times New Roman"/>
                <w:color w:val="000000"/>
                <w:szCs w:val="28"/>
              </w:rPr>
            </w:pPr>
            <w:r>
              <w:rPr>
                <w:rFonts w:cs="Times New Roman"/>
                <w:color w:val="000000"/>
                <w:szCs w:val="28"/>
              </w:rPr>
              <w:t>94.2486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2280" w:type="dxa"/>
            <w:shd w:val="clear" w:color="auto" w:fill="auto"/>
            <w:vAlign w:val="center"/>
          </w:tcPr>
          <w:p>
            <w:pPr>
              <w:spacing w:line="240" w:lineRule="auto"/>
              <w:ind w:firstLine="0" w:firstLineChars="0"/>
              <w:jc w:val="center"/>
            </w:pPr>
            <w:r>
              <w:t>x</w:t>
            </w:r>
            <w:r>
              <w:rPr>
                <w:vertAlign w:val="subscript"/>
              </w:rPr>
              <w:t>7</w:t>
            </w:r>
          </w:p>
        </w:tc>
        <w:tc>
          <w:tcPr>
            <w:tcW w:w="2280" w:type="dxa"/>
            <w:shd w:val="clear" w:color="auto" w:fill="auto"/>
            <w:vAlign w:val="center"/>
          </w:tcPr>
          <w:p>
            <w:pPr>
              <w:spacing w:line="240" w:lineRule="auto"/>
              <w:ind w:firstLine="0" w:firstLineChars="0"/>
              <w:jc w:val="center"/>
              <w:rPr>
                <w:rFonts w:cs="Times New Roman"/>
                <w:color w:val="000000"/>
                <w:szCs w:val="28"/>
              </w:rPr>
            </w:pPr>
            <w:r>
              <w:rPr>
                <w:rFonts w:cs="Times New Roman"/>
                <w:color w:val="000000"/>
                <w:szCs w:val="28"/>
              </w:rPr>
              <w:t>138.3248</w:t>
            </w:r>
          </w:p>
        </w:tc>
        <w:tc>
          <w:tcPr>
            <w:tcW w:w="2280" w:type="dxa"/>
            <w:shd w:val="clear" w:color="auto" w:fill="auto"/>
            <w:vAlign w:val="center"/>
          </w:tcPr>
          <w:p>
            <w:pPr>
              <w:spacing w:line="240" w:lineRule="auto"/>
              <w:ind w:firstLine="0" w:firstLineChars="0"/>
              <w:jc w:val="center"/>
            </w:pPr>
            <w:r>
              <w:t>y</w:t>
            </w:r>
            <w:r>
              <w:rPr>
                <w:vertAlign w:val="subscript"/>
              </w:rPr>
              <w:t>7</w:t>
            </w:r>
          </w:p>
        </w:tc>
        <w:tc>
          <w:tcPr>
            <w:tcW w:w="2280" w:type="dxa"/>
            <w:shd w:val="clear" w:color="auto" w:fill="auto"/>
            <w:vAlign w:val="center"/>
          </w:tcPr>
          <w:p>
            <w:pPr>
              <w:spacing w:line="240" w:lineRule="auto"/>
              <w:ind w:firstLine="0" w:firstLineChars="0"/>
              <w:jc w:val="center"/>
              <w:rPr>
                <w:rFonts w:cs="Times New Roman"/>
                <w:color w:val="000000"/>
                <w:szCs w:val="28"/>
              </w:rPr>
            </w:pPr>
            <w:r>
              <w:rPr>
                <w:rFonts w:cs="Times New Roman"/>
                <w:color w:val="000000"/>
                <w:szCs w:val="28"/>
              </w:rPr>
              <w:t>94.2488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2280" w:type="dxa"/>
            <w:shd w:val="clear" w:color="auto" w:fill="auto"/>
            <w:vAlign w:val="center"/>
          </w:tcPr>
          <w:p>
            <w:pPr>
              <w:spacing w:line="240" w:lineRule="auto"/>
              <w:ind w:firstLine="0" w:firstLineChars="0"/>
              <w:jc w:val="center"/>
            </w:pPr>
            <w:r>
              <w:t>x</w:t>
            </w:r>
            <w:r>
              <w:rPr>
                <w:vertAlign w:val="subscript"/>
              </w:rPr>
              <w:t>8</w:t>
            </w:r>
          </w:p>
        </w:tc>
        <w:tc>
          <w:tcPr>
            <w:tcW w:w="2280" w:type="dxa"/>
            <w:shd w:val="clear" w:color="auto" w:fill="auto"/>
            <w:vAlign w:val="center"/>
          </w:tcPr>
          <w:p>
            <w:pPr>
              <w:spacing w:line="240" w:lineRule="auto"/>
              <w:ind w:firstLine="0" w:firstLineChars="0"/>
              <w:jc w:val="center"/>
              <w:rPr>
                <w:rFonts w:cs="Times New Roman"/>
                <w:color w:val="000000"/>
                <w:szCs w:val="28"/>
              </w:rPr>
            </w:pPr>
            <w:r>
              <w:rPr>
                <w:rFonts w:cs="Times New Roman"/>
                <w:color w:val="000000"/>
                <w:szCs w:val="28"/>
              </w:rPr>
              <w:t>138.3246</w:t>
            </w:r>
          </w:p>
        </w:tc>
        <w:tc>
          <w:tcPr>
            <w:tcW w:w="2280" w:type="dxa"/>
            <w:shd w:val="clear" w:color="auto" w:fill="auto"/>
            <w:vAlign w:val="center"/>
          </w:tcPr>
          <w:p>
            <w:pPr>
              <w:spacing w:line="240" w:lineRule="auto"/>
              <w:ind w:firstLine="0" w:firstLineChars="0"/>
              <w:jc w:val="center"/>
            </w:pPr>
            <w:r>
              <w:t>y</w:t>
            </w:r>
            <w:r>
              <w:rPr>
                <w:vertAlign w:val="subscript"/>
              </w:rPr>
              <w:t>8</w:t>
            </w:r>
          </w:p>
        </w:tc>
        <w:tc>
          <w:tcPr>
            <w:tcW w:w="2280" w:type="dxa"/>
            <w:shd w:val="clear" w:color="auto" w:fill="auto"/>
            <w:vAlign w:val="center"/>
          </w:tcPr>
          <w:p>
            <w:pPr>
              <w:spacing w:line="240" w:lineRule="auto"/>
              <w:ind w:firstLine="0" w:firstLineChars="0"/>
              <w:jc w:val="center"/>
              <w:rPr>
                <w:rFonts w:cs="Times New Roman"/>
                <w:color w:val="000000"/>
                <w:szCs w:val="28"/>
              </w:rPr>
            </w:pPr>
            <w:r>
              <w:rPr>
                <w:rFonts w:cs="Times New Roman"/>
                <w:color w:val="000000"/>
                <w:szCs w:val="28"/>
              </w:rPr>
              <w:t>94.2484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2280" w:type="dxa"/>
            <w:shd w:val="clear" w:color="auto" w:fill="auto"/>
            <w:vAlign w:val="center"/>
          </w:tcPr>
          <w:p>
            <w:pPr>
              <w:spacing w:line="240" w:lineRule="auto"/>
              <w:ind w:firstLine="0" w:firstLineChars="0"/>
              <w:jc w:val="center"/>
            </w:pPr>
            <w:r>
              <w:t>x</w:t>
            </w:r>
            <w:r>
              <w:rPr>
                <w:vertAlign w:val="subscript"/>
              </w:rPr>
              <w:t>9</w:t>
            </w:r>
          </w:p>
        </w:tc>
        <w:tc>
          <w:tcPr>
            <w:tcW w:w="2280" w:type="dxa"/>
            <w:shd w:val="clear" w:color="auto" w:fill="auto"/>
            <w:vAlign w:val="center"/>
          </w:tcPr>
          <w:p>
            <w:pPr>
              <w:spacing w:line="240" w:lineRule="auto"/>
              <w:ind w:firstLine="0" w:firstLineChars="0"/>
              <w:jc w:val="center"/>
              <w:rPr>
                <w:rFonts w:cs="Times New Roman"/>
                <w:color w:val="000000"/>
                <w:szCs w:val="28"/>
              </w:rPr>
            </w:pPr>
            <w:r>
              <w:rPr>
                <w:rFonts w:cs="Times New Roman"/>
                <w:color w:val="000000"/>
                <w:szCs w:val="28"/>
              </w:rPr>
              <w:t>138.3243</w:t>
            </w:r>
          </w:p>
        </w:tc>
        <w:tc>
          <w:tcPr>
            <w:tcW w:w="2280" w:type="dxa"/>
            <w:shd w:val="clear" w:color="auto" w:fill="auto"/>
            <w:vAlign w:val="center"/>
          </w:tcPr>
          <w:p>
            <w:pPr>
              <w:spacing w:line="240" w:lineRule="auto"/>
              <w:ind w:firstLine="0" w:firstLineChars="0"/>
              <w:jc w:val="center"/>
            </w:pPr>
            <w:r>
              <w:t>y</w:t>
            </w:r>
            <w:r>
              <w:rPr>
                <w:vertAlign w:val="subscript"/>
              </w:rPr>
              <w:t>9</w:t>
            </w:r>
          </w:p>
        </w:tc>
        <w:tc>
          <w:tcPr>
            <w:tcW w:w="2280" w:type="dxa"/>
            <w:shd w:val="clear" w:color="auto" w:fill="auto"/>
            <w:vAlign w:val="center"/>
          </w:tcPr>
          <w:p>
            <w:pPr>
              <w:spacing w:line="240" w:lineRule="auto"/>
              <w:ind w:firstLine="0" w:firstLineChars="0"/>
              <w:jc w:val="center"/>
              <w:rPr>
                <w:rFonts w:cs="Times New Roman"/>
                <w:color w:val="000000"/>
                <w:szCs w:val="28"/>
              </w:rPr>
            </w:pPr>
            <w:r>
              <w:rPr>
                <w:rFonts w:cs="Times New Roman"/>
                <w:color w:val="000000"/>
                <w:szCs w:val="28"/>
              </w:rPr>
              <w:t>94.2486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2280" w:type="dxa"/>
            <w:shd w:val="clear" w:color="auto" w:fill="auto"/>
            <w:vAlign w:val="center"/>
          </w:tcPr>
          <w:p>
            <w:pPr>
              <w:spacing w:line="240" w:lineRule="auto"/>
              <w:ind w:firstLine="0" w:firstLineChars="0"/>
              <w:jc w:val="center"/>
            </w:pPr>
            <w:r>
              <w:t>x</w:t>
            </w:r>
            <w:r>
              <w:rPr>
                <w:vertAlign w:val="subscript"/>
              </w:rPr>
              <w:t>10</w:t>
            </w:r>
          </w:p>
        </w:tc>
        <w:tc>
          <w:tcPr>
            <w:tcW w:w="2280" w:type="dxa"/>
            <w:shd w:val="clear" w:color="auto" w:fill="auto"/>
            <w:vAlign w:val="center"/>
          </w:tcPr>
          <w:p>
            <w:pPr>
              <w:spacing w:line="240" w:lineRule="auto"/>
              <w:ind w:firstLine="0" w:firstLineChars="0"/>
              <w:jc w:val="center"/>
              <w:rPr>
                <w:rFonts w:cs="Times New Roman"/>
                <w:color w:val="000000"/>
                <w:szCs w:val="28"/>
              </w:rPr>
            </w:pPr>
            <w:r>
              <w:rPr>
                <w:rFonts w:cs="Times New Roman"/>
                <w:color w:val="000000"/>
                <w:szCs w:val="28"/>
              </w:rPr>
              <w:t>138.3245</w:t>
            </w:r>
          </w:p>
        </w:tc>
        <w:tc>
          <w:tcPr>
            <w:tcW w:w="2280" w:type="dxa"/>
            <w:shd w:val="clear" w:color="auto" w:fill="auto"/>
            <w:vAlign w:val="center"/>
          </w:tcPr>
          <w:p>
            <w:pPr>
              <w:spacing w:line="240" w:lineRule="auto"/>
              <w:ind w:firstLine="0" w:firstLineChars="0"/>
              <w:jc w:val="center"/>
            </w:pPr>
            <w:r>
              <w:t>y</w:t>
            </w:r>
            <w:r>
              <w:rPr>
                <w:vertAlign w:val="subscript"/>
              </w:rPr>
              <w:t>10</w:t>
            </w:r>
          </w:p>
        </w:tc>
        <w:tc>
          <w:tcPr>
            <w:tcW w:w="2280" w:type="dxa"/>
            <w:shd w:val="clear" w:color="auto" w:fill="auto"/>
            <w:vAlign w:val="center"/>
          </w:tcPr>
          <w:p>
            <w:pPr>
              <w:spacing w:line="240" w:lineRule="auto"/>
              <w:ind w:firstLine="0" w:firstLineChars="0"/>
              <w:jc w:val="center"/>
              <w:rPr>
                <w:rFonts w:cs="Times New Roman"/>
                <w:color w:val="000000"/>
                <w:szCs w:val="28"/>
              </w:rPr>
            </w:pPr>
            <w:r>
              <w:rPr>
                <w:rFonts w:cs="Times New Roman"/>
                <w:color w:val="000000"/>
                <w:szCs w:val="28"/>
              </w:rPr>
              <w:t>94.2483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2280" w:type="dxa"/>
            <w:shd w:val="clear" w:color="auto" w:fill="auto"/>
            <w:vAlign w:val="center"/>
          </w:tcPr>
          <w:p>
            <w:pPr>
              <w:spacing w:line="240" w:lineRule="auto"/>
              <w:jc w:val="center"/>
            </w:pPr>
            <m:oMathPara>
              <m:oMath>
                <m:acc>
                  <m:accPr>
                    <m:chr m:val="̅"/>
                    <m:ctrlPr>
                      <w:rPr>
                        <w:rFonts w:ascii="Cambria Math" w:hAnsi="Cambria Math"/>
                      </w:rPr>
                    </m:ctrlPr>
                  </m:accPr>
                  <m:e>
                    <m:r>
                      <w:rPr>
                        <w:rFonts w:ascii="Cambria Math" w:hAnsi="Cambria Math"/>
                      </w:rPr>
                      <m:t>x</m:t>
                    </m:r>
                    <m:ctrlPr>
                      <w:rPr>
                        <w:rFonts w:ascii="Cambria Math" w:hAnsi="Cambria Math"/>
                      </w:rPr>
                    </m:ctrlPr>
                  </m:e>
                </m:acc>
              </m:oMath>
            </m:oMathPara>
          </w:p>
        </w:tc>
        <w:tc>
          <w:tcPr>
            <w:tcW w:w="2280" w:type="dxa"/>
            <w:shd w:val="clear" w:color="auto" w:fill="auto"/>
            <w:vAlign w:val="center"/>
          </w:tcPr>
          <w:p>
            <w:pPr>
              <w:spacing w:line="240" w:lineRule="auto"/>
              <w:ind w:firstLine="0" w:firstLineChars="0"/>
              <w:jc w:val="center"/>
            </w:pPr>
            <w:r>
              <w:rPr>
                <w:rFonts w:hint="eastAsia"/>
              </w:rPr>
              <w:t>138.3245</w:t>
            </w:r>
          </w:p>
        </w:tc>
        <w:tc>
          <w:tcPr>
            <w:tcW w:w="2280" w:type="dxa"/>
            <w:shd w:val="clear" w:color="auto" w:fill="auto"/>
            <w:vAlign w:val="center"/>
          </w:tcPr>
          <w:p>
            <w:pPr>
              <w:spacing w:line="240" w:lineRule="auto"/>
              <w:jc w:val="center"/>
            </w:pPr>
            <m:oMathPara>
              <m:oMath>
                <m:acc>
                  <m:accPr>
                    <m:chr m:val="̅"/>
                    <m:ctrlPr>
                      <w:rPr>
                        <w:rFonts w:ascii="Cambria Math" w:hAnsi="Cambria Math"/>
                      </w:rPr>
                    </m:ctrlPr>
                  </m:accPr>
                  <m:e>
                    <m:r>
                      <w:rPr>
                        <w:rFonts w:ascii="Cambria Math" w:hAnsi="Cambria Math"/>
                      </w:rPr>
                      <m:t>y</m:t>
                    </m:r>
                    <m:ctrlPr>
                      <w:rPr>
                        <w:rFonts w:ascii="Cambria Math" w:hAnsi="Cambria Math"/>
                      </w:rPr>
                    </m:ctrlPr>
                  </m:e>
                </m:acc>
              </m:oMath>
            </m:oMathPara>
          </w:p>
        </w:tc>
        <w:tc>
          <w:tcPr>
            <w:tcW w:w="2280" w:type="dxa"/>
            <w:shd w:val="clear" w:color="auto" w:fill="auto"/>
            <w:vAlign w:val="center"/>
          </w:tcPr>
          <w:p>
            <w:pPr>
              <w:spacing w:line="240" w:lineRule="auto"/>
              <w:ind w:firstLine="0" w:firstLineChars="0"/>
              <w:jc w:val="center"/>
            </w:pPr>
            <w:r>
              <w:rPr>
                <w:rFonts w:hint="eastAsia"/>
              </w:rPr>
              <w:t>94.2486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2280" w:type="dxa"/>
            <w:shd w:val="clear" w:color="auto" w:fill="auto"/>
            <w:vAlign w:val="center"/>
          </w:tcPr>
          <w:p>
            <w:pPr>
              <w:spacing w:line="240" w:lineRule="auto"/>
              <w:ind w:firstLine="0" w:firstLineChars="0"/>
              <w:jc w:val="center"/>
              <w:rPr>
                <w:rFonts w:cs="Times New Roman" w:eastAsiaTheme="minorEastAsia"/>
                <w:i/>
              </w:rPr>
            </w:pPr>
            <m:oMathPara>
              <m:oMath>
                <m:sSub>
                  <m:sSubPr>
                    <m:ctrlPr>
                      <w:rPr>
                        <w:rFonts w:ascii="Cambria Math" w:hAnsi="Cambria Math" w:eastAsia="Times New Roman" w:cs="Times New Roman"/>
                        <w:sz w:val="20"/>
                      </w:rPr>
                    </m:ctrlPr>
                  </m:sSubPr>
                  <m:e>
                    <m:r>
                      <w:rPr>
                        <w:rFonts w:ascii="Cambria Math" w:hAnsi="Cambria Math" w:eastAsia="Times New Roman" w:cs="Times New Roman"/>
                        <w:sz w:val="20"/>
                      </w:rPr>
                      <m:t>S</m:t>
                    </m:r>
                    <m:ctrlPr>
                      <w:rPr>
                        <w:rFonts w:ascii="Cambria Math" w:hAnsi="Cambria Math" w:eastAsia="Times New Roman" w:cs="Times New Roman"/>
                        <w:sz w:val="20"/>
                      </w:rPr>
                    </m:ctrlPr>
                  </m:e>
                  <m:sub>
                    <m:r>
                      <w:rPr>
                        <w:rFonts w:ascii="Cambria Math" w:hAnsi="Cambria Math" w:eastAsia="Times New Roman" w:cs="Times New Roman"/>
                        <w:sz w:val="20"/>
                      </w:rPr>
                      <m:t>x</m:t>
                    </m:r>
                    <m:ctrlPr>
                      <w:rPr>
                        <w:rFonts w:ascii="Cambria Math" w:hAnsi="Cambria Math" w:eastAsia="Times New Roman" w:cs="Times New Roman"/>
                        <w:sz w:val="20"/>
                      </w:rPr>
                    </m:ctrlPr>
                  </m:sub>
                </m:sSub>
              </m:oMath>
            </m:oMathPara>
          </w:p>
        </w:tc>
        <w:tc>
          <w:tcPr>
            <w:tcW w:w="2280" w:type="dxa"/>
            <w:shd w:val="clear" w:color="auto" w:fill="auto"/>
            <w:vAlign w:val="center"/>
          </w:tcPr>
          <w:p>
            <w:pPr>
              <w:spacing w:line="240" w:lineRule="auto"/>
              <w:ind w:firstLine="0" w:firstLineChars="0"/>
              <w:jc w:val="center"/>
            </w:pPr>
            <w:r>
              <w:rPr>
                <w:rFonts w:hint="eastAsia"/>
              </w:rPr>
              <w:t>0.0002</w:t>
            </w:r>
            <w:r>
              <w:rPr>
                <w:rFonts w:cs="Times New Roman"/>
              </w:rPr>
              <w:t>38</w:t>
            </w:r>
          </w:p>
        </w:tc>
        <w:tc>
          <w:tcPr>
            <w:tcW w:w="2280" w:type="dxa"/>
            <w:shd w:val="clear" w:color="auto" w:fill="auto"/>
            <w:vAlign w:val="center"/>
          </w:tcPr>
          <w:p>
            <w:pPr>
              <w:spacing w:line="240" w:lineRule="auto"/>
              <w:ind w:firstLine="0" w:firstLineChars="0"/>
              <w:jc w:val="center"/>
            </w:pPr>
            <m:oMathPara>
              <m:oMath>
                <m:sSub>
                  <m:sSubPr>
                    <m:ctrlPr>
                      <w:rPr>
                        <w:rFonts w:ascii="Cambria Math" w:hAnsi="Cambria Math"/>
                      </w:rPr>
                    </m:ctrlPr>
                  </m:sSubPr>
                  <m:e>
                    <m:r>
                      <w:rPr>
                        <w:rFonts w:ascii="Cambria Math" w:hAnsi="Cambria Math"/>
                      </w:rPr>
                      <m:t>s</m:t>
                    </m:r>
                    <m:ctrlPr>
                      <w:rPr>
                        <w:rFonts w:ascii="Cambria Math" w:hAnsi="Cambria Math"/>
                      </w:rPr>
                    </m:ctrlPr>
                  </m:e>
                  <m:sub>
                    <m:r>
                      <w:rPr>
                        <w:rFonts w:ascii="Cambria Math" w:hAnsi="Cambria Math"/>
                      </w:rPr>
                      <m:t>y</m:t>
                    </m:r>
                    <m:ctrlPr>
                      <w:rPr>
                        <w:rFonts w:ascii="Cambria Math" w:hAnsi="Cambria Math"/>
                      </w:rPr>
                    </m:ctrlPr>
                  </m:sub>
                </m:sSub>
              </m:oMath>
            </m:oMathPara>
          </w:p>
        </w:tc>
        <w:tc>
          <w:tcPr>
            <w:tcW w:w="2280" w:type="dxa"/>
            <w:shd w:val="clear" w:color="auto" w:fill="auto"/>
            <w:vAlign w:val="center"/>
          </w:tcPr>
          <w:p>
            <w:pPr>
              <w:spacing w:line="240" w:lineRule="auto"/>
              <w:ind w:firstLine="0" w:firstLineChars="0"/>
              <w:jc w:val="center"/>
            </w:pPr>
            <w:r>
              <w:rPr>
                <w:rFonts w:hint="eastAsia"/>
              </w:rPr>
              <w:t>0.000189</w:t>
            </w:r>
          </w:p>
        </w:tc>
      </w:tr>
    </w:tbl>
    <w:p>
      <w:pPr>
        <w:spacing w:line="240" w:lineRule="auto"/>
        <w:ind w:firstLine="0" w:firstLineChars="0"/>
        <w:jc w:val="center"/>
      </w:pPr>
      <m:oMath>
        <m:sSub>
          <m:sSubPr>
            <m:ctrlPr>
              <w:rPr>
                <w:rFonts w:ascii="Cambria Math" w:hAnsi="Cambria Math"/>
                <w:i/>
              </w:rPr>
            </m:ctrlPr>
          </m:sSubPr>
          <m:e>
            <m:r>
              <w:rPr>
                <w:rFonts w:ascii="Cambria Math" w:hAnsi="Cambria Math"/>
              </w:rPr>
              <m:t>u</m:t>
            </m:r>
            <m:ctrlPr>
              <w:rPr>
                <w:rFonts w:ascii="Cambria Math" w:hAnsi="Cambria Math"/>
                <w:i/>
              </w:rPr>
            </m:ctrlPr>
          </m:e>
          <m:sub>
            <m:r>
              <w:rPr>
                <w:rFonts w:ascii="Cambria Math" w:hAnsi="Cambria Math"/>
              </w:rPr>
              <m:t>A</m:t>
            </m:r>
            <m:ctrlPr>
              <w:rPr>
                <w:rFonts w:ascii="Cambria Math" w:hAnsi="Cambria Math"/>
                <w:i/>
              </w:rPr>
            </m:ctrlPr>
          </m:sub>
        </m:sSub>
        <m:r>
          <w:rPr>
            <w:rFonts w:ascii="Cambria Math" w:hAnsi="Cambria Math"/>
          </w:rPr>
          <m:t>=s=</m:t>
        </m:r>
        <m:rad>
          <m:radPr>
            <m:degHide m:val="1"/>
            <m:ctrlPr>
              <w:rPr>
                <w:rFonts w:ascii="Cambria Math" w:hAnsi="Cambria Math" w:eastAsia="Times New Roman" w:cs="Times New Roman"/>
              </w:rPr>
            </m:ctrlPr>
          </m:radPr>
          <m:deg>
            <m:ctrlPr>
              <w:rPr>
                <w:rFonts w:ascii="Cambria Math" w:hAnsi="Cambria Math" w:eastAsia="Times New Roman" w:cs="Times New Roman"/>
              </w:rPr>
            </m:ctrlPr>
          </m:deg>
          <m:e>
            <m:sSup>
              <m:sSupPr>
                <m:ctrlPr>
                  <w:rPr>
                    <w:rFonts w:ascii="Cambria Math" w:hAnsi="Cambria Math" w:eastAsia="Times New Roman" w:cs="Times New Roman"/>
                    <w:i/>
                  </w:rPr>
                </m:ctrlPr>
              </m:sSupPr>
              <m:e>
                <m:sSub>
                  <m:sSubPr>
                    <m:ctrlPr>
                      <w:rPr>
                        <w:rFonts w:ascii="Cambria Math" w:hAnsi="Cambria Math" w:eastAsia="Times New Roman" w:cs="Times New Roman"/>
                        <w:i/>
                      </w:rPr>
                    </m:ctrlPr>
                  </m:sSubPr>
                  <m:e>
                    <m:r>
                      <w:rPr>
                        <w:rFonts w:ascii="Cambria Math" w:hAnsi="Cambria Math" w:eastAsia="Times New Roman" w:cs="Times New Roman"/>
                      </w:rPr>
                      <m:t>s</m:t>
                    </m:r>
                    <m:ctrlPr>
                      <w:rPr>
                        <w:rFonts w:ascii="Cambria Math" w:hAnsi="Cambria Math" w:eastAsia="Times New Roman" w:cs="Times New Roman"/>
                        <w:i/>
                      </w:rPr>
                    </m:ctrlPr>
                  </m:e>
                  <m:sub>
                    <m:r>
                      <w:rPr>
                        <w:rFonts w:ascii="Cambria Math" w:hAnsi="Cambria Math" w:eastAsia="Times New Roman" w:cs="Times New Roman"/>
                      </w:rPr>
                      <m:t>x</m:t>
                    </m:r>
                    <m:ctrlPr>
                      <w:rPr>
                        <w:rFonts w:ascii="Cambria Math" w:hAnsi="Cambria Math" w:eastAsia="Times New Roman" w:cs="Times New Roman"/>
                        <w:i/>
                      </w:rPr>
                    </m:ctrlPr>
                  </m:sub>
                </m:sSub>
                <m:ctrlPr>
                  <w:rPr>
                    <w:rFonts w:ascii="Cambria Math" w:hAnsi="Cambria Math" w:eastAsia="Times New Roman" w:cs="Times New Roman"/>
                    <w:i/>
                  </w:rPr>
                </m:ctrlPr>
              </m:e>
              <m:sup>
                <m:r>
                  <w:rPr>
                    <w:rFonts w:ascii="Cambria Math" w:hAnsi="Cambria Math" w:eastAsia="Times New Roman" w:cs="Times New Roman"/>
                  </w:rPr>
                  <m:t>2</m:t>
                </m:r>
                <m:ctrlPr>
                  <w:rPr>
                    <w:rFonts w:ascii="Cambria Math" w:hAnsi="Cambria Math" w:eastAsia="Times New Roman" w:cs="Times New Roman"/>
                    <w:i/>
                  </w:rPr>
                </m:ctrlPr>
              </m:sup>
            </m:sSup>
            <m:r>
              <w:rPr>
                <w:rFonts w:ascii="Cambria Math" w:hAnsi="Cambria Math" w:eastAsia="Times New Roman" w:cs="Times New Roman"/>
              </w:rPr>
              <m:t>+</m:t>
            </m:r>
            <m:sSup>
              <m:sSupPr>
                <m:ctrlPr>
                  <w:rPr>
                    <w:rFonts w:ascii="Cambria Math" w:hAnsi="Cambria Math" w:eastAsia="Times New Roman" w:cs="Times New Roman"/>
                    <w:i/>
                  </w:rPr>
                </m:ctrlPr>
              </m:sSupPr>
              <m:e>
                <m:sSub>
                  <m:sSubPr>
                    <m:ctrlPr>
                      <w:rPr>
                        <w:rFonts w:ascii="Cambria Math" w:hAnsi="Cambria Math" w:eastAsia="Times New Roman" w:cs="Times New Roman"/>
                        <w:i/>
                      </w:rPr>
                    </m:ctrlPr>
                  </m:sSubPr>
                  <m:e>
                    <m:r>
                      <w:rPr>
                        <w:rFonts w:ascii="Cambria Math" w:hAnsi="Cambria Math" w:eastAsia="Times New Roman" w:cs="Times New Roman"/>
                      </w:rPr>
                      <m:t>s</m:t>
                    </m:r>
                    <m:ctrlPr>
                      <w:rPr>
                        <w:rFonts w:ascii="Cambria Math" w:hAnsi="Cambria Math" w:eastAsia="Times New Roman" w:cs="Times New Roman"/>
                        <w:i/>
                      </w:rPr>
                    </m:ctrlPr>
                  </m:e>
                  <m:sub>
                    <m:r>
                      <w:rPr>
                        <w:rFonts w:ascii="Cambria Math" w:hAnsi="Cambria Math" w:eastAsia="Times New Roman" w:cs="Times New Roman"/>
                      </w:rPr>
                      <m:t>y</m:t>
                    </m:r>
                    <m:ctrlPr>
                      <w:rPr>
                        <w:rFonts w:ascii="Cambria Math" w:hAnsi="Cambria Math" w:eastAsia="Times New Roman" w:cs="Times New Roman"/>
                        <w:i/>
                      </w:rPr>
                    </m:ctrlPr>
                  </m:sub>
                </m:sSub>
                <m:ctrlPr>
                  <w:rPr>
                    <w:rFonts w:ascii="Cambria Math" w:hAnsi="Cambria Math" w:eastAsia="Times New Roman" w:cs="Times New Roman"/>
                    <w:i/>
                  </w:rPr>
                </m:ctrlPr>
              </m:e>
              <m:sup>
                <m:r>
                  <w:rPr>
                    <w:rFonts w:ascii="Cambria Math" w:hAnsi="Cambria Math" w:eastAsia="Times New Roman" w:cs="Times New Roman"/>
                  </w:rPr>
                  <m:t>2</m:t>
                </m:r>
                <m:ctrlPr>
                  <w:rPr>
                    <w:rFonts w:ascii="Cambria Math" w:hAnsi="Cambria Math" w:eastAsia="Times New Roman" w:cs="Times New Roman"/>
                    <w:i/>
                  </w:rPr>
                </m:ctrlPr>
              </m:sup>
            </m:sSup>
            <m:ctrlPr>
              <w:rPr>
                <w:rFonts w:ascii="Cambria Math" w:hAnsi="Cambria Math" w:eastAsia="Times New Roman" w:cs="Times New Roman"/>
              </w:rPr>
            </m:ctrlPr>
          </m:e>
        </m:rad>
      </m:oMath>
      <w:r>
        <w:rPr>
          <w:rFonts w:hint="eastAsia"/>
        </w:rPr>
        <w:t>=0.30</w:t>
      </w:r>
      <w:r>
        <w:rPr>
          <w:rFonts w:cs="Times New Roman"/>
        </w:rPr>
        <w:t>μm</w:t>
      </w:r>
    </w:p>
    <w:p>
      <w:pPr>
        <w:pStyle w:val="3"/>
        <w:numPr>
          <w:ilvl w:val="2"/>
          <w:numId w:val="2"/>
        </w:numPr>
        <w:ind w:left="426" w:firstLineChars="0"/>
      </w:pPr>
      <w:r>
        <w:rPr>
          <w:rFonts w:hint="eastAsia"/>
        </w:rPr>
        <w:t>由工具显微镜示值误差引入的标准不确定度分量</w:t>
      </w:r>
      <m:oMath>
        <m:sSub>
          <m:sSubPr>
            <m:ctrlPr>
              <w:rPr>
                <w:rFonts w:ascii="Cambria Math" w:hAnsi="Cambria Math"/>
                <w:i/>
              </w:rPr>
            </m:ctrlPr>
          </m:sSubPr>
          <m:e>
            <m:r>
              <w:rPr>
                <w:rFonts w:ascii="Cambria Math" w:hAnsi="Cambria Math"/>
              </w:rPr>
              <m:t>u</m:t>
            </m:r>
            <m:ctrlPr>
              <w:rPr>
                <w:rFonts w:ascii="Cambria Math" w:hAnsi="Cambria Math"/>
                <w:i/>
              </w:rPr>
            </m:ctrlPr>
          </m:e>
          <m:sub>
            <m:r>
              <w:rPr>
                <w:rFonts w:ascii="Cambria Math" w:hAnsi="Cambria Math"/>
              </w:rPr>
              <m:t>B</m:t>
            </m:r>
            <m:ctrlPr>
              <w:rPr>
                <w:rFonts w:ascii="Cambria Math" w:hAnsi="Cambria Math"/>
                <w:i/>
              </w:rPr>
            </m:ctrlPr>
          </m:sub>
        </m:sSub>
      </m:oMath>
    </w:p>
    <w:p>
      <w:pPr>
        <w:rPr>
          <w:rFonts w:cs="Times New Roman"/>
        </w:rPr>
      </w:pPr>
      <w:r>
        <w:rPr>
          <w:rFonts w:hint="eastAsia"/>
        </w:rPr>
        <w:t>经检定合格的工具显微镜最大允许误差为2</w:t>
      </w:r>
      <w:r>
        <w:rPr>
          <w:rFonts w:cs="Times New Roman"/>
        </w:rPr>
        <w:t>μm</w:t>
      </w:r>
      <w:r>
        <w:rPr>
          <w:rFonts w:hint="eastAsia" w:cs="Times New Roman"/>
        </w:rPr>
        <w:t>，置信区间半宽则为</w:t>
      </w:r>
      <w:r>
        <w:rPr>
          <w:rFonts w:hint="eastAsia" w:cs="Times New Roman"/>
          <w:i/>
        </w:rPr>
        <w:t>a=</w:t>
      </w:r>
      <w:r>
        <w:rPr>
          <w:rFonts w:hint="eastAsia" w:cs="Times New Roman"/>
        </w:rPr>
        <w:t>1</w:t>
      </w:r>
      <w:r>
        <w:rPr>
          <w:rFonts w:cs="Times New Roman"/>
        </w:rPr>
        <w:t>μm</w:t>
      </w:r>
      <w:r>
        <w:rPr>
          <w:rFonts w:hint="eastAsia" w:cs="Times New Roman"/>
        </w:rPr>
        <w:t>，在区间内均匀分布，</w:t>
      </w:r>
      <w:r>
        <w:rPr>
          <w:rFonts w:hint="eastAsia" w:cs="Times New Roman"/>
          <w:i/>
        </w:rPr>
        <w:t>k</w:t>
      </w:r>
      <w:r>
        <w:rPr>
          <w:rFonts w:hint="eastAsia" w:cs="Times New Roman"/>
        </w:rPr>
        <w:t>=</w:t>
      </w:r>
      <m:oMath>
        <m:rad>
          <m:radPr>
            <m:degHide m:val="1"/>
            <m:ctrlPr>
              <w:rPr>
                <w:rFonts w:ascii="Cambria Math" w:hAnsi="Cambria Math" w:cs="Times New Roman"/>
              </w:rPr>
            </m:ctrlPr>
          </m:radPr>
          <m:deg>
            <m:ctrlPr>
              <w:rPr>
                <w:rFonts w:ascii="Cambria Math" w:hAnsi="Cambria Math" w:cs="Times New Roman"/>
              </w:rPr>
            </m:ctrlPr>
          </m:deg>
          <m:e>
            <m:r>
              <m:rPr>
                <m:sty m:val="p"/>
              </m:rPr>
              <w:rPr>
                <w:rFonts w:ascii="Cambria Math" w:hAnsi="Cambria Math" w:cs="Times New Roman"/>
              </w:rPr>
              <m:t>3</m:t>
            </m:r>
            <m:ctrlPr>
              <w:rPr>
                <w:rFonts w:ascii="Cambria Math" w:hAnsi="Cambria Math" w:cs="Times New Roman"/>
              </w:rPr>
            </m:ctrlPr>
          </m:e>
        </m:rad>
      </m:oMath>
      <w:r>
        <w:rPr>
          <w:rFonts w:hint="eastAsia" w:cs="Times New Roman"/>
        </w:rPr>
        <w:t>。则由工具显微镜示值误差引入的不确定度分量为：</w:t>
      </w:r>
    </w:p>
    <w:p>
      <w:pPr>
        <w:spacing w:line="240" w:lineRule="auto"/>
        <w:ind w:firstLine="0" w:firstLineChars="0"/>
        <w:rPr>
          <w:rFonts w:cs="Times New Roman"/>
        </w:rPr>
      </w:pPr>
      <m:oMathPara>
        <m:oMath>
          <m:sSub>
            <m:sSubPr>
              <m:ctrlPr>
                <w:rPr>
                  <w:rFonts w:ascii="Cambria Math" w:hAnsi="Cambria Math"/>
                  <w:i/>
                </w:rPr>
              </m:ctrlPr>
            </m:sSubPr>
            <m:e>
              <m:r>
                <w:rPr>
                  <w:rFonts w:ascii="Cambria Math" w:hAnsi="Cambria Math"/>
                </w:rPr>
                <m:t>u</m:t>
              </m:r>
              <m:ctrlPr>
                <w:rPr>
                  <w:rFonts w:ascii="Cambria Math" w:hAnsi="Cambria Math"/>
                  <w:i/>
                </w:rPr>
              </m:ctrlPr>
            </m:e>
            <m:sub>
              <m:r>
                <w:rPr>
                  <w:rFonts w:ascii="Cambria Math" w:hAnsi="Cambria Math"/>
                </w:rPr>
                <m:t xml:space="preserve">B </m:t>
              </m:r>
              <m:ctrlPr>
                <w:rPr>
                  <w:rFonts w:ascii="Cambria Math" w:hAnsi="Cambria Math"/>
                  <w:i/>
                </w:rPr>
              </m:ctrlPr>
            </m:sub>
          </m:sSub>
          <m:r>
            <w:rPr>
              <w:rFonts w:hint="eastAsia" w:ascii="Cambria Math" w:hAnsi="Cambria Math"/>
            </w:rPr>
            <m:t>=</m:t>
          </m:r>
          <m:f>
            <m:fPr>
              <m:ctrlPr>
                <w:rPr>
                  <w:rFonts w:ascii="Cambria Math" w:hAnsi="Cambria Math"/>
                  <w:i/>
                </w:rPr>
              </m:ctrlPr>
            </m:fPr>
            <m:num>
              <m:r>
                <w:rPr>
                  <w:rFonts w:ascii="Cambria Math" w:hAnsi="Cambria Math"/>
                </w:rPr>
                <m:t>a</m:t>
              </m:r>
              <m:ctrlPr>
                <w:rPr>
                  <w:rFonts w:ascii="Cambria Math" w:hAnsi="Cambria Math"/>
                  <w:i/>
                </w:rPr>
              </m:ctrlPr>
            </m:num>
            <m:den>
              <m:rad>
                <m:radPr>
                  <m:degHide m:val="1"/>
                  <m:ctrlPr>
                    <w:rPr>
                      <w:rFonts w:ascii="Cambria Math" w:hAnsi="Cambria Math"/>
                      <w:i/>
                    </w:rPr>
                  </m:ctrlPr>
                </m:radPr>
                <m:deg>
                  <m:ctrlPr>
                    <w:rPr>
                      <w:rFonts w:ascii="Cambria Math" w:hAnsi="Cambria Math"/>
                      <w:i/>
                    </w:rPr>
                  </m:ctrlPr>
                </m:deg>
                <m:e>
                  <m:r>
                    <w:rPr>
                      <w:rFonts w:ascii="Cambria Math" w:hAnsi="Cambria Math"/>
                    </w:rPr>
                    <m:t>3</m:t>
                  </m:r>
                  <m:ctrlPr>
                    <w:rPr>
                      <w:rFonts w:ascii="Cambria Math" w:hAnsi="Cambria Math"/>
                      <w:i/>
                    </w:rPr>
                  </m:ctrlPr>
                </m:e>
              </m:rad>
              <m:ctrlPr>
                <w:rPr>
                  <w:rFonts w:ascii="Cambria Math" w:hAnsi="Cambria Math"/>
                  <w:i/>
                </w:rPr>
              </m:ctrlPr>
            </m:den>
          </m:f>
          <m:r>
            <m:rPr>
              <m:sty m:val="p"/>
            </m:rPr>
            <w:rPr>
              <w:rFonts w:ascii="Cambria Math" w:hAnsi="Cambria Math" w:cs="Times New Roman"/>
            </w:rPr>
            <m:t>=</m:t>
          </m:r>
          <m:f>
            <m:fPr>
              <m:ctrlPr>
                <w:rPr>
                  <w:rFonts w:ascii="Cambria Math" w:hAnsi="Cambria Math" w:cs="Times New Roman"/>
                </w:rPr>
              </m:ctrlPr>
            </m:fPr>
            <m:num>
              <m:r>
                <w:rPr>
                  <w:rFonts w:ascii="Cambria Math" w:hAnsi="Cambria Math" w:cs="Times New Roman"/>
                </w:rPr>
                <m:t>1</m:t>
              </m:r>
              <m:ctrlPr>
                <w:rPr>
                  <w:rFonts w:ascii="Cambria Math" w:hAnsi="Cambria Math" w:cs="Times New Roman"/>
                </w:rPr>
              </m:ctrlPr>
            </m:num>
            <m:den>
              <m:rad>
                <m:radPr>
                  <m:degHide m:val="1"/>
                  <m:ctrlPr>
                    <w:rPr>
                      <w:rFonts w:ascii="Cambria Math" w:hAnsi="Cambria Math" w:cs="Times New Roman"/>
                      <w:i/>
                    </w:rPr>
                  </m:ctrlPr>
                </m:radPr>
                <m:deg>
                  <m:ctrlPr>
                    <w:rPr>
                      <w:rFonts w:ascii="Cambria Math" w:hAnsi="Cambria Math" w:cs="Times New Roman"/>
                      <w:i/>
                    </w:rPr>
                  </m:ctrlPr>
                </m:deg>
                <m:e>
                  <m:r>
                    <w:rPr>
                      <w:rFonts w:ascii="Cambria Math" w:hAnsi="Cambria Math" w:cs="Times New Roman"/>
                    </w:rPr>
                    <m:t>3</m:t>
                  </m:r>
                  <m:ctrlPr>
                    <w:rPr>
                      <w:rFonts w:ascii="Cambria Math" w:hAnsi="Cambria Math" w:cs="Times New Roman"/>
                      <w:i/>
                    </w:rPr>
                  </m:ctrlPr>
                </m:e>
              </m:rad>
              <m:ctrlPr>
                <w:rPr>
                  <w:rFonts w:ascii="Cambria Math" w:hAnsi="Cambria Math" w:cs="Times New Roman"/>
                </w:rPr>
              </m:ctrlPr>
            </m:den>
          </m:f>
          <m:r>
            <w:rPr>
              <w:rFonts w:ascii="Cambria Math" w:hAnsi="Cambria Math" w:cs="Times New Roman"/>
            </w:rPr>
            <m:t>=0.58</m:t>
          </m:r>
          <m:r>
            <m:rPr>
              <m:sty m:val="p"/>
            </m:rPr>
            <w:rPr>
              <w:rFonts w:ascii="Cambria Math" w:hAnsi="Cambria Math" w:cs="Times New Roman"/>
            </w:rPr>
            <m:t>μm</m:t>
          </m:r>
        </m:oMath>
      </m:oMathPara>
    </w:p>
    <w:p>
      <w:pPr>
        <w:pStyle w:val="3"/>
        <w:numPr>
          <w:ilvl w:val="2"/>
          <w:numId w:val="2"/>
        </w:numPr>
        <w:ind w:left="426" w:firstLineChars="0"/>
        <w:rPr>
          <w:rFonts w:cs="Times New Roman"/>
        </w:rPr>
      </w:pPr>
      <w:r>
        <w:rPr>
          <w:rFonts w:hint="eastAsia"/>
        </w:rPr>
        <w:t>试块温度与20℃的偏差引入的标准不确定度分量</w:t>
      </w:r>
      <m:oMath>
        <m:sSub>
          <m:sSubPr>
            <m:ctrlPr>
              <w:rPr>
                <w:rFonts w:ascii="Cambria Math" w:hAnsi="Cambria Math"/>
                <w:i/>
              </w:rPr>
            </m:ctrlPr>
          </m:sSubPr>
          <m:e>
            <m:r>
              <w:rPr>
                <w:rFonts w:ascii="Cambria Math" w:hAnsi="Cambria Math"/>
              </w:rPr>
              <m:t>u</m:t>
            </m:r>
            <m:ctrlPr>
              <w:rPr>
                <w:rFonts w:ascii="Cambria Math" w:hAnsi="Cambria Math"/>
                <w:i/>
              </w:rPr>
            </m:ctrlPr>
          </m:e>
          <m:sub>
            <m:r>
              <w:rPr>
                <w:rFonts w:ascii="Cambria Math" w:hAnsi="Cambria Math"/>
              </w:rPr>
              <m:t>t</m:t>
            </m:r>
            <m:ctrlPr>
              <w:rPr>
                <w:rFonts w:ascii="Cambria Math" w:hAnsi="Cambria Math"/>
                <w:i/>
              </w:rPr>
            </m:ctrlPr>
          </m:sub>
        </m:sSub>
      </m:oMath>
    </w:p>
    <w:p>
      <w:pPr>
        <w:rPr>
          <w:rFonts w:cs="Times New Roman"/>
        </w:rPr>
      </w:pPr>
      <w:r>
        <w:rPr>
          <w:rFonts w:hint="eastAsia" w:cs="Times New Roman"/>
        </w:rPr>
        <w:t>试块在校准过程中与20℃存在温度差，并等概率落于估计区间为</w:t>
      </w:r>
      <m:oMath>
        <m:d>
          <m:dPr>
            <m:ctrlPr>
              <w:rPr>
                <w:rFonts w:ascii="Cambria Math" w:hAnsi="Cambria Math" w:cs="Times New Roman"/>
              </w:rPr>
            </m:ctrlPr>
          </m:dPr>
          <m:e>
            <m:r>
              <w:rPr>
                <w:rFonts w:ascii="Cambria Math" w:hAnsi="Cambria Math" w:cs="Times New Roman"/>
              </w:rPr>
              <m:t>-5~+5</m:t>
            </m:r>
            <m:ctrlPr>
              <w:rPr>
                <w:rFonts w:ascii="Cambria Math" w:hAnsi="Cambria Math" w:cs="Times New Roman"/>
              </w:rPr>
            </m:ctrlPr>
          </m:e>
        </m:d>
        <m:r>
          <w:rPr>
            <w:rFonts w:ascii="Cambria Math" w:hAnsi="Cambria Math" w:cs="Times New Roman"/>
          </w:rPr>
          <m:t>℃</m:t>
        </m:r>
      </m:oMath>
      <w:r>
        <w:rPr>
          <w:rFonts w:cs="Times New Roman"/>
        </w:rPr>
        <w:t>内</w:t>
      </w:r>
      <w:r>
        <w:rPr>
          <w:rFonts w:hint="eastAsia" w:cs="Times New Roman"/>
        </w:rPr>
        <w:t>，符合均匀分布，k=</w:t>
      </w:r>
      <m:oMath>
        <m:rad>
          <m:radPr>
            <m:degHide m:val="1"/>
            <m:ctrlPr>
              <w:rPr>
                <w:rFonts w:ascii="Cambria Math" w:hAnsi="Cambria Math" w:cs="Times New Roman"/>
              </w:rPr>
            </m:ctrlPr>
          </m:radPr>
          <m:deg>
            <m:ctrlPr>
              <w:rPr>
                <w:rFonts w:ascii="Cambria Math" w:hAnsi="Cambria Math" w:cs="Times New Roman"/>
              </w:rPr>
            </m:ctrlPr>
          </m:deg>
          <m:e>
            <m:r>
              <m:rPr>
                <m:sty m:val="p"/>
              </m:rPr>
              <w:rPr>
                <w:rFonts w:ascii="Cambria Math" w:hAnsi="Cambria Math" w:cs="Times New Roman"/>
              </w:rPr>
              <m:t>3</m:t>
            </m:r>
            <m:ctrlPr>
              <w:rPr>
                <w:rFonts w:ascii="Cambria Math" w:hAnsi="Cambria Math" w:cs="Times New Roman"/>
              </w:rPr>
            </m:ctrlPr>
          </m:e>
        </m:rad>
      </m:oMath>
      <w:r>
        <w:rPr>
          <w:rFonts w:hint="eastAsia" w:cs="Times New Roman"/>
        </w:rPr>
        <w:t>，则：</w:t>
      </w:r>
    </w:p>
    <w:p>
      <w:pPr>
        <w:spacing w:line="240" w:lineRule="auto"/>
        <w:ind w:firstLine="482" w:firstLineChars="0"/>
        <w:rPr>
          <w:rFonts w:cs="Times New Roman"/>
        </w:rPr>
      </w:pPr>
      <m:oMathPara>
        <m:oMath>
          <m:sSub>
            <m:sSubPr>
              <m:ctrlPr>
                <w:rPr>
                  <w:rFonts w:ascii="Cambria Math" w:hAnsi="Cambria Math" w:cs="Times New Roman"/>
                  <w:i/>
                </w:rPr>
              </m:ctrlPr>
            </m:sSubPr>
            <m:e>
              <m:r>
                <w:rPr>
                  <w:rFonts w:ascii="Cambria Math" w:hAnsi="Cambria Math" w:cs="Times New Roman"/>
                </w:rPr>
                <m:t>u</m:t>
              </m:r>
              <m:ctrlPr>
                <w:rPr>
                  <w:rFonts w:ascii="Cambria Math" w:hAnsi="Cambria Math" w:cs="Times New Roman"/>
                  <w:i/>
                </w:rPr>
              </m:ctrlPr>
            </m:e>
            <m:sub>
              <m:r>
                <w:rPr>
                  <w:rFonts w:ascii="Cambria Math" w:hAnsi="Cambria Math" w:cs="Times New Roman"/>
                </w:rPr>
                <m:t>t</m:t>
              </m:r>
              <m:ctrlPr>
                <w:rPr>
                  <w:rFonts w:ascii="Cambria Math" w:hAnsi="Cambria Math" w:cs="Times New Roman"/>
                  <w:i/>
                </w:rPr>
              </m:ctrlPr>
            </m:sub>
          </m:sSub>
          <m:r>
            <w:rPr>
              <w:rFonts w:hint="eastAsia" w:ascii="Cambria Math" w:hAnsi="Cambria Math" w:cs="Times New Roman"/>
            </w:rPr>
            <m:t>=</m:t>
          </m:r>
          <m:f>
            <m:fPr>
              <m:ctrlPr>
                <w:rPr>
                  <w:rFonts w:ascii="Cambria Math" w:hAnsi="Cambria Math" w:cs="Times New Roman"/>
                  <w:i/>
                </w:rPr>
              </m:ctrlPr>
            </m:fPr>
            <m:num>
              <m:r>
                <w:rPr>
                  <w:rFonts w:ascii="Cambria Math" w:hAnsi="Cambria Math" w:cs="Times New Roman"/>
                </w:rPr>
                <m:t>5</m:t>
              </m:r>
              <m:ctrlPr>
                <w:rPr>
                  <w:rFonts w:ascii="Cambria Math" w:hAnsi="Cambria Math" w:cs="Times New Roman"/>
                  <w:i/>
                </w:rPr>
              </m:ctrlPr>
            </m:num>
            <m:den>
              <m:rad>
                <m:radPr>
                  <m:degHide m:val="1"/>
                  <m:ctrlPr>
                    <w:rPr>
                      <w:rFonts w:ascii="Cambria Math" w:hAnsi="Cambria Math" w:cs="Times New Roman"/>
                      <w:i/>
                    </w:rPr>
                  </m:ctrlPr>
                </m:radPr>
                <m:deg>
                  <m:ctrlPr>
                    <w:rPr>
                      <w:rFonts w:ascii="Cambria Math" w:hAnsi="Cambria Math" w:cs="Times New Roman"/>
                      <w:i/>
                    </w:rPr>
                  </m:ctrlPr>
                </m:deg>
                <m:e>
                  <m:r>
                    <w:rPr>
                      <w:rFonts w:ascii="Cambria Math" w:hAnsi="Cambria Math" w:cs="Times New Roman"/>
                    </w:rPr>
                    <m:t>3</m:t>
                  </m:r>
                  <m:ctrlPr>
                    <w:rPr>
                      <w:rFonts w:ascii="Cambria Math" w:hAnsi="Cambria Math" w:cs="Times New Roman"/>
                      <w:i/>
                    </w:rPr>
                  </m:ctrlPr>
                </m:e>
              </m:rad>
              <m:ctrlPr>
                <w:rPr>
                  <w:rFonts w:ascii="Cambria Math" w:hAnsi="Cambria Math" w:cs="Times New Roman"/>
                  <w:i/>
                </w:rPr>
              </m:ctrlPr>
            </m:den>
          </m:f>
          <m:r>
            <w:rPr>
              <w:rFonts w:ascii="Cambria Math" w:hAnsi="Cambria Math" w:cs="Times New Roman"/>
            </w:rPr>
            <m:t>=2.9℃</m:t>
          </m:r>
        </m:oMath>
      </m:oMathPara>
    </w:p>
    <w:p>
      <w:pPr>
        <w:spacing w:line="240" w:lineRule="auto"/>
        <w:ind w:firstLine="482" w:firstLineChars="0"/>
        <w:rPr>
          <w:rFonts w:cs="Times New Roman"/>
        </w:rPr>
      </w:pPr>
      <w:r>
        <w:rPr>
          <w:rFonts w:hint="eastAsia" w:cs="Times New Roman"/>
        </w:rPr>
        <w:t>被测试块材料为304不锈钢，其线膨胀系数</w:t>
      </w:r>
      <w:r>
        <w:rPr>
          <w:rFonts w:cs="Times New Roman"/>
        </w:rPr>
        <w:t>α为</w:t>
      </w:r>
      <w:r>
        <w:rPr>
          <w:rFonts w:hint="eastAsia" w:cs="Times New Roman"/>
        </w:rPr>
        <w:t>15.21</w:t>
      </w:r>
      <w:r>
        <w:rPr>
          <w:rFonts w:hint="eastAsia" w:ascii="宋体" w:hAnsi="宋体" w:cs="Times New Roman"/>
        </w:rPr>
        <w:t>×</w:t>
      </w:r>
      <w:r>
        <w:rPr>
          <w:rFonts w:hint="eastAsia" w:cs="Times New Roman"/>
        </w:rPr>
        <w:t>10</w:t>
      </w:r>
      <w:r>
        <w:rPr>
          <w:rFonts w:hint="eastAsia" w:cs="Times New Roman"/>
          <w:vertAlign w:val="superscript"/>
        </w:rPr>
        <w:t>-6</w:t>
      </w:r>
      <w:r>
        <w:rPr>
          <w:rFonts w:cs="Times New Roman"/>
        </w:rPr>
        <w:t>μm/</w:t>
      </w:r>
      <w:r>
        <w:rPr>
          <w:rFonts w:hint="eastAsia" w:ascii="宋体" w:hAnsi="宋体" w:cs="宋体"/>
        </w:rPr>
        <w:t>℃</w:t>
      </w:r>
      <w:r>
        <w:rPr>
          <w:rFonts w:hint="eastAsia" w:cs="Times New Roman"/>
        </w:rPr>
        <w:t>。最小二乘法对缺陷区域外轮廓圆,按公式4计算出最小二乘圆的半径R=2.87mm。</w:t>
      </w:r>
    </w:p>
    <w:p>
      <w:pPr>
        <w:pStyle w:val="3"/>
        <w:numPr>
          <w:ilvl w:val="1"/>
          <w:numId w:val="2"/>
        </w:numPr>
        <w:ind w:left="426" w:firstLineChars="0"/>
      </w:pPr>
      <w:r>
        <w:rPr>
          <w:rFonts w:hint="eastAsia"/>
        </w:rPr>
        <w:t>合成标准不确定度</w:t>
      </w:r>
    </w:p>
    <w:p>
      <w:r>
        <w:rPr>
          <w:rFonts w:hint="eastAsia"/>
        </w:rPr>
        <w:t>标准不确定度分量汇总表见表</w:t>
      </w:r>
      <w:r>
        <w:t>B</w:t>
      </w:r>
      <w:r>
        <w:rPr>
          <w:rFonts w:hint="eastAsia"/>
        </w:rPr>
        <w:t>.2。</w:t>
      </w:r>
    </w:p>
    <w:p>
      <w:pPr>
        <w:pStyle w:val="53"/>
      </w:pPr>
      <w:r>
        <w:rPr>
          <w:rFonts w:hint="eastAsia"/>
        </w:rPr>
        <w:t>表</w:t>
      </w:r>
      <w:r>
        <w:t>B</w:t>
      </w:r>
      <w:r>
        <w:rPr>
          <w:rFonts w:hint="eastAsia"/>
        </w:rPr>
        <w:t>.2</w:t>
      </w:r>
      <w:r>
        <w:t xml:space="preserve">  </w:t>
      </w:r>
      <w:r>
        <w:rPr>
          <w:rFonts w:hint="eastAsia"/>
        </w:rPr>
        <w:t>标准不确定度分量汇总表</w:t>
      </w:r>
    </w:p>
    <w:tbl>
      <w:tblPr>
        <w:tblStyle w:val="16"/>
        <w:tblW w:w="8613"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2636"/>
        <w:gridCol w:w="2636"/>
        <w:gridCol w:w="26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04" w:type="dxa"/>
            <w:vAlign w:val="center"/>
          </w:tcPr>
          <w:p>
            <w:pPr>
              <w:pStyle w:val="54"/>
              <w:ind w:left="-120" w:leftChars="-50" w:right="-120" w:rightChars="-50"/>
              <w:rPr>
                <w:rFonts w:cs="Times New Roman"/>
              </w:rPr>
            </w:pPr>
            <w:r>
              <w:rPr>
                <w:rFonts w:cs="Times New Roman"/>
              </w:rPr>
              <w:t>序号</w:t>
            </w:r>
          </w:p>
        </w:tc>
        <w:tc>
          <w:tcPr>
            <w:tcW w:w="2636" w:type="dxa"/>
            <w:vAlign w:val="center"/>
          </w:tcPr>
          <w:p>
            <w:pPr>
              <w:pStyle w:val="54"/>
              <w:ind w:left="-120" w:leftChars="-50" w:right="-120" w:rightChars="-50"/>
              <w:rPr>
                <w:rFonts w:cs="Times New Roman"/>
              </w:rPr>
            </w:pPr>
            <w:r>
              <w:rPr>
                <w:rFonts w:cs="Times New Roman"/>
              </w:rPr>
              <w:t>标准不确定度分量</w:t>
            </w:r>
          </w:p>
          <w:p>
            <w:pPr>
              <w:pStyle w:val="54"/>
              <w:ind w:left="-120" w:leftChars="-50" w:right="-120" w:rightChars="-50"/>
              <w:rPr>
                <w:rFonts w:cs="Times New Roman"/>
              </w:rPr>
            </w:pPr>
            <m:oMathPara>
              <m:oMath>
                <m:sSub>
                  <m:sSubPr>
                    <m:ctrlPr>
                      <w:rPr>
                        <w:rFonts w:ascii="Cambria Math" w:hAnsi="Cambria Math" w:cs="Times New Roman"/>
                        <w:i/>
                      </w:rPr>
                    </m:ctrlPr>
                  </m:sSubPr>
                  <m:e>
                    <m:r>
                      <w:rPr>
                        <w:rFonts w:ascii="Cambria Math" w:hAnsi="Cambria Math" w:cs="Times New Roman"/>
                      </w:rPr>
                      <m:t>u</m:t>
                    </m:r>
                    <m:ctrlPr>
                      <w:rPr>
                        <w:rFonts w:ascii="Cambria Math" w:hAnsi="Cambria Math" w:cs="Times New Roman"/>
                        <w:i/>
                      </w:rPr>
                    </m:ctrlPr>
                  </m:e>
                  <m:sub>
                    <m:r>
                      <w:rPr>
                        <w:rFonts w:ascii="Cambria Math" w:hAnsi="Cambria Math" w:cs="Times New Roman"/>
                      </w:rPr>
                      <m:t>i</m:t>
                    </m:r>
                    <m:ctrlPr>
                      <w:rPr>
                        <w:rFonts w:ascii="Cambria Math" w:hAnsi="Cambria Math" w:cs="Times New Roman"/>
                        <w:i/>
                      </w:rPr>
                    </m:ctrlPr>
                  </m:sub>
                </m:sSub>
              </m:oMath>
            </m:oMathPara>
          </w:p>
        </w:tc>
        <w:tc>
          <w:tcPr>
            <w:tcW w:w="2636" w:type="dxa"/>
            <w:vAlign w:val="center"/>
          </w:tcPr>
          <w:p>
            <w:pPr>
              <w:pStyle w:val="54"/>
              <w:ind w:left="-120" w:leftChars="-50" w:right="-120" w:rightChars="-50"/>
              <w:rPr>
                <w:rFonts w:cs="Times New Roman"/>
              </w:rPr>
            </w:pPr>
            <w:r>
              <w:rPr>
                <w:rFonts w:cs="Times New Roman"/>
              </w:rPr>
              <w:t>不确定度来源</w:t>
            </w:r>
          </w:p>
        </w:tc>
        <w:tc>
          <w:tcPr>
            <w:tcW w:w="2637" w:type="dxa"/>
            <w:vAlign w:val="center"/>
          </w:tcPr>
          <w:p>
            <w:pPr>
              <w:pStyle w:val="54"/>
              <w:ind w:left="-120" w:leftChars="-50" w:right="-120" w:rightChars="-50"/>
              <w:rPr>
                <w:rFonts w:cs="Times New Roman"/>
              </w:rPr>
            </w:pPr>
            <w:r>
              <w:rPr>
                <w:rFonts w:cs="Times New Roman"/>
              </w:rPr>
              <w:t>标准不确定值</w:t>
            </w:r>
          </w:p>
          <w:p>
            <w:pPr>
              <w:pStyle w:val="54"/>
              <w:ind w:left="-120" w:leftChars="-50" w:right="-120" w:rightChars="-50"/>
              <w:rPr>
                <w:rFonts w:cs="Times New Roman"/>
              </w:rPr>
            </w:pPr>
            <m:oMathPara>
              <m:oMath>
                <m:sSub>
                  <m:sSubPr>
                    <m:ctrlPr>
                      <w:rPr>
                        <w:rFonts w:ascii="Cambria Math" w:hAnsi="Cambria Math" w:cs="Times New Roman"/>
                        <w:i/>
                      </w:rPr>
                    </m:ctrlPr>
                  </m:sSubPr>
                  <m:e>
                    <m:r>
                      <w:rPr>
                        <w:rFonts w:ascii="Cambria Math" w:hAnsi="Cambria Math" w:cs="Times New Roman"/>
                      </w:rPr>
                      <m:t>u</m:t>
                    </m:r>
                    <m:ctrlPr>
                      <w:rPr>
                        <w:rFonts w:ascii="Cambria Math" w:hAnsi="Cambria Math" w:cs="Times New Roman"/>
                        <w:i/>
                      </w:rPr>
                    </m:ctrlPr>
                  </m:e>
                  <m:sub>
                    <m:r>
                      <w:rPr>
                        <w:rFonts w:ascii="Cambria Math" w:hAnsi="Cambria Math" w:cs="Times New Roman"/>
                      </w:rPr>
                      <m:t>i</m:t>
                    </m:r>
                    <m:ctrlPr>
                      <w:rPr>
                        <w:rFonts w:ascii="Cambria Math" w:hAnsi="Cambria Math" w:cs="Times New Roman"/>
                        <w:i/>
                      </w:rPr>
                    </m:ctrlPr>
                  </m:sub>
                </m:sSub>
              </m:oMath>
            </m:oMathPara>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04" w:type="dxa"/>
            <w:vAlign w:val="center"/>
          </w:tcPr>
          <w:p>
            <w:pPr>
              <w:pStyle w:val="54"/>
              <w:ind w:left="-120" w:leftChars="-50" w:right="-120" w:rightChars="-50"/>
              <w:rPr>
                <w:rFonts w:cs="Times New Roman"/>
              </w:rPr>
            </w:pPr>
            <w:r>
              <w:rPr>
                <w:rFonts w:cs="Times New Roman"/>
              </w:rPr>
              <w:t>1</w:t>
            </w:r>
          </w:p>
        </w:tc>
        <w:tc>
          <w:tcPr>
            <w:tcW w:w="2636" w:type="dxa"/>
            <w:vAlign w:val="center"/>
          </w:tcPr>
          <w:p>
            <w:pPr>
              <w:pStyle w:val="54"/>
              <w:ind w:left="-120" w:leftChars="-50" w:right="-120" w:rightChars="-50"/>
              <w:rPr>
                <w:rFonts w:cs="Times New Roman"/>
              </w:rPr>
            </w:pPr>
            <m:oMathPara>
              <m:oMath>
                <m:sSub>
                  <m:sSubPr>
                    <m:ctrlPr>
                      <w:rPr>
                        <w:rFonts w:ascii="Cambria Math" w:hAnsi="Cambria Math" w:cs="Times New Roman"/>
                      </w:rPr>
                    </m:ctrlPr>
                  </m:sSubPr>
                  <m:e>
                    <m:r>
                      <w:rPr>
                        <w:rFonts w:ascii="Cambria Math" w:hAnsi="Cambria Math" w:cs="Times New Roman"/>
                      </w:rPr>
                      <m:t>u</m:t>
                    </m:r>
                    <m:ctrlPr>
                      <w:rPr>
                        <w:rFonts w:ascii="Cambria Math" w:hAnsi="Cambria Math" w:cs="Times New Roman"/>
                      </w:rPr>
                    </m:ctrlPr>
                  </m:e>
                  <m:sub>
                    <m:r>
                      <w:rPr>
                        <w:rFonts w:ascii="Cambria Math" w:hAnsi="Cambria Math" w:cs="Times New Roman"/>
                      </w:rPr>
                      <m:t>A</m:t>
                    </m:r>
                    <m:ctrlPr>
                      <w:rPr>
                        <w:rFonts w:ascii="Cambria Math" w:hAnsi="Cambria Math" w:cs="Times New Roman"/>
                      </w:rPr>
                    </m:ctrlPr>
                  </m:sub>
                </m:sSub>
              </m:oMath>
            </m:oMathPara>
          </w:p>
        </w:tc>
        <w:tc>
          <w:tcPr>
            <w:tcW w:w="2636" w:type="dxa"/>
            <w:vAlign w:val="center"/>
          </w:tcPr>
          <w:p>
            <w:pPr>
              <w:pStyle w:val="54"/>
              <w:ind w:left="-120" w:leftChars="-50" w:right="-120" w:rightChars="-50"/>
              <w:rPr>
                <w:rFonts w:cs="Times New Roman"/>
              </w:rPr>
            </w:pPr>
            <w:r>
              <w:rPr>
                <w:rFonts w:cs="Times New Roman"/>
              </w:rPr>
              <w:t>测量重复性</w:t>
            </w:r>
          </w:p>
        </w:tc>
        <w:tc>
          <w:tcPr>
            <w:tcW w:w="2637" w:type="dxa"/>
            <w:vAlign w:val="center"/>
          </w:tcPr>
          <w:p>
            <w:pPr>
              <w:pStyle w:val="54"/>
              <w:ind w:left="-120" w:leftChars="-50" w:right="-120" w:rightChars="-50"/>
              <w:rPr>
                <w:rFonts w:cs="Times New Roman"/>
              </w:rPr>
            </w:pPr>
            <w:r>
              <w:rPr>
                <w:rFonts w:cs="Times New Roman"/>
              </w:rPr>
              <w:t>0.30</w:t>
            </w:r>
            <m:oMath>
              <m:r>
                <m:rPr>
                  <m:sty m:val="p"/>
                </m:rPr>
                <w:rPr>
                  <w:rFonts w:ascii="Cambria Math" w:hAnsi="Cambria Math" w:cs="Times New Roman"/>
                </w:rPr>
                <m:t>μm</m:t>
              </m:r>
            </m:oMath>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jc w:val="center"/>
        </w:trPr>
        <w:tc>
          <w:tcPr>
            <w:tcW w:w="704" w:type="dxa"/>
            <w:vAlign w:val="center"/>
          </w:tcPr>
          <w:p>
            <w:pPr>
              <w:pStyle w:val="54"/>
              <w:ind w:left="-120" w:leftChars="-50" w:right="-120" w:rightChars="-50"/>
              <w:rPr>
                <w:rFonts w:cs="Times New Roman"/>
              </w:rPr>
            </w:pPr>
            <w:r>
              <w:rPr>
                <w:rFonts w:cs="Times New Roman"/>
              </w:rPr>
              <w:t>2</w:t>
            </w:r>
          </w:p>
        </w:tc>
        <w:tc>
          <w:tcPr>
            <w:tcW w:w="2636" w:type="dxa"/>
            <w:vAlign w:val="center"/>
          </w:tcPr>
          <w:p>
            <w:pPr>
              <w:pStyle w:val="54"/>
              <w:ind w:left="-120" w:leftChars="-50" w:right="-120" w:rightChars="-50"/>
              <w:rPr>
                <w:rFonts w:cs="Times New Roman"/>
              </w:rPr>
            </w:pPr>
            <m:oMathPara>
              <m:oMath>
                <m:sSub>
                  <m:sSubPr>
                    <m:ctrlPr>
                      <w:rPr>
                        <w:rFonts w:ascii="Cambria Math" w:hAnsi="Cambria Math" w:cs="Times New Roman"/>
                        <w:i/>
                      </w:rPr>
                    </m:ctrlPr>
                  </m:sSubPr>
                  <m:e>
                    <m:r>
                      <w:rPr>
                        <w:rFonts w:ascii="Cambria Math" w:hAnsi="Cambria Math" w:cs="Times New Roman"/>
                      </w:rPr>
                      <m:t>u</m:t>
                    </m:r>
                    <m:ctrlPr>
                      <w:rPr>
                        <w:rFonts w:ascii="Cambria Math" w:hAnsi="Cambria Math" w:cs="Times New Roman"/>
                        <w:i/>
                      </w:rPr>
                    </m:ctrlPr>
                  </m:e>
                  <m:sub>
                    <m:r>
                      <w:rPr>
                        <w:rFonts w:ascii="Cambria Math" w:hAnsi="Cambria Math" w:cs="Times New Roman"/>
                      </w:rPr>
                      <m:t>B</m:t>
                    </m:r>
                    <m:ctrlPr>
                      <w:rPr>
                        <w:rFonts w:ascii="Cambria Math" w:hAnsi="Cambria Math" w:cs="Times New Roman"/>
                        <w:i/>
                      </w:rPr>
                    </m:ctrlPr>
                  </m:sub>
                </m:sSub>
              </m:oMath>
            </m:oMathPara>
          </w:p>
        </w:tc>
        <w:tc>
          <w:tcPr>
            <w:tcW w:w="2636" w:type="dxa"/>
            <w:vAlign w:val="center"/>
          </w:tcPr>
          <w:p>
            <w:pPr>
              <w:pStyle w:val="54"/>
              <w:ind w:left="-120" w:leftChars="-50" w:right="-120" w:rightChars="-50"/>
              <w:rPr>
                <w:rFonts w:cs="Times New Roman"/>
              </w:rPr>
            </w:pPr>
            <w:r>
              <w:rPr>
                <w:rFonts w:cs="Times New Roman"/>
              </w:rPr>
              <w:t>工具显微镜最大允差</w:t>
            </w:r>
          </w:p>
        </w:tc>
        <w:tc>
          <w:tcPr>
            <w:tcW w:w="2637" w:type="dxa"/>
            <w:vAlign w:val="center"/>
          </w:tcPr>
          <w:p>
            <w:pPr>
              <w:spacing w:line="240" w:lineRule="auto"/>
              <w:ind w:left="-120" w:leftChars="-50" w:right="-120" w:rightChars="-50" w:firstLine="0" w:firstLineChars="0"/>
              <w:jc w:val="center"/>
              <w:rPr>
                <w:rFonts w:cs="Times New Roman"/>
                <w:sz w:val="21"/>
                <w:szCs w:val="21"/>
              </w:rPr>
            </w:pPr>
            <w:r>
              <w:rPr>
                <w:rFonts w:cs="Times New Roman"/>
                <w:sz w:val="21"/>
                <w:szCs w:val="21"/>
              </w:rPr>
              <w:t>0.5</w:t>
            </w:r>
            <w:r>
              <w:rPr>
                <w:rFonts w:hint="eastAsia" w:cs="Times New Roman"/>
                <w:sz w:val="21"/>
                <w:szCs w:val="21"/>
              </w:rPr>
              <w:t>8</w:t>
            </w:r>
            <w:r>
              <w:rPr>
                <w:rFonts w:cs="Times New Roman"/>
                <w:sz w:val="21"/>
                <w:szCs w:val="21"/>
              </w:rPr>
              <w:t>μm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04" w:type="dxa"/>
            <w:vAlign w:val="center"/>
          </w:tcPr>
          <w:p>
            <w:pPr>
              <w:pStyle w:val="54"/>
              <w:ind w:left="-120" w:leftChars="-50" w:right="-120" w:rightChars="-50"/>
              <w:rPr>
                <w:rFonts w:cs="Times New Roman"/>
              </w:rPr>
            </w:pPr>
            <w:r>
              <w:rPr>
                <w:rFonts w:cs="Times New Roman"/>
              </w:rPr>
              <w:t>3</w:t>
            </w:r>
          </w:p>
        </w:tc>
        <w:tc>
          <w:tcPr>
            <w:tcW w:w="2636" w:type="dxa"/>
            <w:vAlign w:val="center"/>
          </w:tcPr>
          <w:p>
            <w:pPr>
              <w:pStyle w:val="54"/>
              <w:ind w:left="-120" w:leftChars="-50" w:right="-120" w:rightChars="-50"/>
              <w:rPr>
                <w:rFonts w:cs="Times New Roman"/>
              </w:rPr>
            </w:pPr>
            <m:oMathPara>
              <m:oMath>
                <m:r>
                  <w:rPr>
                    <w:rFonts w:ascii="Cambria Math" w:hAnsi="Cambria Math"/>
                  </w:rPr>
                  <m:t>R×α×</m:t>
                </m:r>
                <m:sSub>
                  <m:sSubPr>
                    <m:ctrlPr>
                      <w:rPr>
                        <w:rFonts w:ascii="Cambria Math" w:hAnsi="Cambria Math" w:cstheme="minorBidi"/>
                        <w:i/>
                        <w:sz w:val="24"/>
                        <w:szCs w:val="24"/>
                      </w:rPr>
                    </m:ctrlPr>
                  </m:sSubPr>
                  <m:e>
                    <m:r>
                      <w:rPr>
                        <w:rFonts w:ascii="Cambria Math" w:hAnsi="Cambria Math"/>
                      </w:rPr>
                      <m:t>u</m:t>
                    </m:r>
                    <m:ctrlPr>
                      <w:rPr>
                        <w:rFonts w:ascii="Cambria Math" w:hAnsi="Cambria Math" w:cstheme="minorBidi"/>
                        <w:i/>
                        <w:sz w:val="24"/>
                        <w:szCs w:val="24"/>
                      </w:rPr>
                    </m:ctrlPr>
                  </m:e>
                  <m:sub>
                    <m:r>
                      <w:rPr>
                        <w:rFonts w:ascii="Cambria Math" w:hAnsi="Cambria Math"/>
                      </w:rPr>
                      <m:t>t</m:t>
                    </m:r>
                    <m:ctrlPr>
                      <w:rPr>
                        <w:rFonts w:ascii="Cambria Math" w:hAnsi="Cambria Math" w:cstheme="minorBidi"/>
                        <w:i/>
                        <w:sz w:val="24"/>
                        <w:szCs w:val="24"/>
                      </w:rPr>
                    </m:ctrlPr>
                  </m:sub>
                </m:sSub>
              </m:oMath>
            </m:oMathPara>
          </w:p>
        </w:tc>
        <w:tc>
          <w:tcPr>
            <w:tcW w:w="2636" w:type="dxa"/>
            <w:vAlign w:val="center"/>
          </w:tcPr>
          <w:p>
            <w:pPr>
              <w:pStyle w:val="54"/>
              <w:ind w:left="-120" w:leftChars="-50" w:right="-120" w:rightChars="-50"/>
              <w:rPr>
                <w:rFonts w:cs="Times New Roman"/>
              </w:rPr>
            </w:pPr>
            <w:r>
              <w:rPr>
                <w:rFonts w:cs="Times New Roman"/>
              </w:rPr>
              <w:t>温度差</w:t>
            </w:r>
          </w:p>
        </w:tc>
        <w:tc>
          <w:tcPr>
            <w:tcW w:w="2637" w:type="dxa"/>
            <w:vAlign w:val="center"/>
          </w:tcPr>
          <w:p>
            <w:pPr>
              <w:pStyle w:val="54"/>
              <w:ind w:left="-120" w:leftChars="-50" w:right="-120" w:rightChars="-50"/>
              <w:rPr>
                <w:rFonts w:cs="Times New Roman"/>
              </w:rPr>
            </w:pPr>
            <w:r>
              <w:rPr>
                <w:rFonts w:hint="eastAsia" w:cs="Times New Roman"/>
              </w:rPr>
              <w:t>0.13</w:t>
            </w:r>
            <w:r>
              <w:rPr>
                <w:rFonts w:cs="Times New Roman"/>
              </w:rPr>
              <w:t>μm</w:t>
            </w:r>
          </w:p>
        </w:tc>
      </w:tr>
    </w:tbl>
    <w:p>
      <w:pPr>
        <w:ind w:firstLineChars="0"/>
      </w:pPr>
      <w:r>
        <w:rPr>
          <w:rFonts w:hint="eastAsia"/>
        </w:rPr>
        <w:t>合成标准不确定度为：</w:t>
      </w:r>
    </w:p>
    <w:p>
      <w:pPr>
        <w:spacing w:line="240" w:lineRule="auto"/>
      </w:pPr>
      <m:oMathPara>
        <m:oMath>
          <m:sSub>
            <m:sSubPr>
              <m:ctrlPr>
                <w:rPr>
                  <w:rFonts w:ascii="Cambria Math" w:hAnsi="Cambria Math"/>
                </w:rPr>
              </m:ctrlPr>
            </m:sSubPr>
            <m:e>
              <m:r>
                <w:rPr>
                  <w:rFonts w:ascii="Cambria Math" w:hAnsi="Cambria Math"/>
                </w:rPr>
                <m:t>u</m:t>
              </m:r>
              <m:ctrlPr>
                <w:rPr>
                  <w:rFonts w:ascii="Cambria Math" w:hAnsi="Cambria Math"/>
                </w:rPr>
              </m:ctrlPr>
            </m:e>
            <m:sub>
              <m:r>
                <w:rPr>
                  <w:rFonts w:ascii="Cambria Math" w:hAnsi="Cambria Math"/>
                </w:rPr>
                <m:t>c</m:t>
              </m:r>
              <m:ctrlPr>
                <w:rPr>
                  <w:rFonts w:ascii="Cambria Math" w:hAnsi="Cambria Math"/>
                </w:rPr>
              </m:ctrlPr>
            </m:sub>
          </m:sSub>
          <m:r>
            <w:rPr>
              <w:rFonts w:ascii="Cambria Math" w:hAnsi="Cambria Math"/>
            </w:rPr>
            <m:t>=</m:t>
          </m:r>
          <m:rad>
            <m:radPr>
              <m:degHide m:val="1"/>
              <m:ctrlPr>
                <w:rPr>
                  <w:rFonts w:ascii="Cambria Math" w:hAnsi="Cambria Math"/>
                  <w:i/>
                </w:rPr>
              </m:ctrlPr>
            </m:radPr>
            <m:deg>
              <m:ctrlPr>
                <w:rPr>
                  <w:rFonts w:ascii="Cambria Math" w:hAnsi="Cambria Math"/>
                  <w:i/>
                </w:rPr>
              </m:ctrlPr>
            </m:deg>
            <m:e>
              <m:sSubSup>
                <m:sSubSupPr>
                  <m:ctrlPr>
                    <w:rPr>
                      <w:rFonts w:ascii="Cambria Math" w:hAnsi="Cambria Math"/>
                      <w:i/>
                    </w:rPr>
                  </m:ctrlPr>
                </m:sSubSupPr>
                <m:e>
                  <m:r>
                    <w:rPr>
                      <w:rFonts w:ascii="Cambria Math" w:hAnsi="Cambria Math"/>
                    </w:rPr>
                    <m:t>u</m:t>
                  </m:r>
                  <m:ctrlPr>
                    <w:rPr>
                      <w:rFonts w:ascii="Cambria Math" w:hAnsi="Cambria Math"/>
                      <w:i/>
                    </w:rPr>
                  </m:ctrlPr>
                </m:e>
                <m:sub>
                  <m:r>
                    <w:rPr>
                      <w:rFonts w:ascii="Cambria Math" w:hAnsi="Cambria Math"/>
                    </w:rPr>
                    <m:t>A</m:t>
                  </m:r>
                  <m:ctrlPr>
                    <w:rPr>
                      <w:rFonts w:ascii="Cambria Math" w:hAnsi="Cambria Math"/>
                      <w:i/>
                    </w:rPr>
                  </m:ctrlPr>
                </m:sub>
                <m:sup>
                  <m:r>
                    <w:rPr>
                      <w:rFonts w:ascii="Cambria Math" w:hAnsi="Cambria Math"/>
                    </w:rPr>
                    <m:t>2</m:t>
                  </m:r>
                  <m:ctrlPr>
                    <w:rPr>
                      <w:rFonts w:ascii="Cambria Math" w:hAnsi="Cambria Math"/>
                      <w:i/>
                    </w:rPr>
                  </m:ctrlPr>
                </m:sup>
              </m:sSubSup>
              <m:r>
                <w:rPr>
                  <w:rFonts w:ascii="Cambria Math" w:hAnsi="Cambria Math"/>
                </w:rPr>
                <m:t>+</m:t>
              </m:r>
              <m:sSubSup>
                <m:sSubSupPr>
                  <m:ctrlPr>
                    <w:rPr>
                      <w:rFonts w:ascii="Cambria Math" w:hAnsi="Cambria Math"/>
                      <w:i/>
                    </w:rPr>
                  </m:ctrlPr>
                </m:sSubSupPr>
                <m:e>
                  <m:r>
                    <w:rPr>
                      <w:rFonts w:ascii="Cambria Math" w:hAnsi="Cambria Math"/>
                    </w:rPr>
                    <m:t>u</m:t>
                  </m:r>
                  <m:ctrlPr>
                    <w:rPr>
                      <w:rFonts w:ascii="Cambria Math" w:hAnsi="Cambria Math"/>
                      <w:i/>
                    </w:rPr>
                  </m:ctrlPr>
                </m:e>
                <m:sub>
                  <m:r>
                    <w:rPr>
                      <w:rFonts w:ascii="Cambria Math" w:hAnsi="Cambria Math"/>
                    </w:rPr>
                    <m:t>B</m:t>
                  </m:r>
                  <m:ctrlPr>
                    <w:rPr>
                      <w:rFonts w:ascii="Cambria Math" w:hAnsi="Cambria Math"/>
                      <w:i/>
                    </w:rPr>
                  </m:ctrlPr>
                </m:sub>
                <m:sup>
                  <m:r>
                    <w:rPr>
                      <w:rFonts w:ascii="Cambria Math" w:hAnsi="Cambria Math"/>
                    </w:rPr>
                    <m:t>2</m:t>
                  </m:r>
                  <m:ctrlPr>
                    <w:rPr>
                      <w:rFonts w:ascii="Cambria Math" w:hAnsi="Cambria Math"/>
                      <w:i/>
                    </w:rPr>
                  </m:ctrlPr>
                </m:sup>
              </m:sSubSup>
              <m:r>
                <w:rPr>
                  <w:rFonts w:ascii="Cambria Math" w:hAnsi="Cambria Math"/>
                </w:rPr>
                <m:t>+</m:t>
              </m:r>
              <m:sSup>
                <m:sSupPr>
                  <m:ctrlPr>
                    <w:rPr>
                      <w:rFonts w:ascii="Cambria Math" w:hAnsi="Cambria Math"/>
                      <w:i/>
                    </w:rPr>
                  </m:ctrlPr>
                </m:sSupPr>
                <m:e>
                  <m:r>
                    <w:rPr>
                      <w:rFonts w:ascii="Cambria Math" w:hAnsi="Cambria Math"/>
                    </w:rPr>
                    <m:t>(R×α×</m:t>
                  </m:r>
                  <m:sSub>
                    <m:sSubPr>
                      <m:ctrlPr>
                        <w:rPr>
                          <w:rFonts w:ascii="Cambria Math" w:hAnsi="Cambria Math"/>
                          <w:i/>
                        </w:rPr>
                      </m:ctrlPr>
                    </m:sSubPr>
                    <m:e>
                      <m:r>
                        <w:rPr>
                          <w:rFonts w:ascii="Cambria Math" w:hAnsi="Cambria Math"/>
                        </w:rPr>
                        <m:t>u</m:t>
                      </m:r>
                      <m:ctrlPr>
                        <w:rPr>
                          <w:rFonts w:ascii="Cambria Math" w:hAnsi="Cambria Math"/>
                          <w:i/>
                        </w:rPr>
                      </m:ctrlPr>
                    </m:e>
                    <m:sub>
                      <m:r>
                        <w:rPr>
                          <w:rFonts w:ascii="Cambria Math" w:hAnsi="Cambria Math"/>
                        </w:rPr>
                        <m:t>t</m:t>
                      </m:r>
                      <m:ctrlPr>
                        <w:rPr>
                          <w:rFonts w:ascii="Cambria Math" w:hAnsi="Cambria Math"/>
                          <w:i/>
                        </w:rPr>
                      </m:ctrlPr>
                    </m:sub>
                  </m:sSub>
                  <m:r>
                    <w:rPr>
                      <w:rFonts w:ascii="Cambria Math" w:hAnsi="Cambria Math"/>
                    </w:rPr>
                    <m:t>)</m:t>
                  </m:r>
                  <m:ctrlPr>
                    <w:rPr>
                      <w:rFonts w:ascii="Cambria Math" w:hAnsi="Cambria Math"/>
                      <w:i/>
                    </w:rPr>
                  </m:ctrlPr>
                </m:e>
                <m:sup>
                  <m:r>
                    <w:rPr>
                      <w:rFonts w:ascii="Cambria Math" w:hAnsi="Cambria Math"/>
                    </w:rPr>
                    <m:t>2</m:t>
                  </m:r>
                  <m:ctrlPr>
                    <w:rPr>
                      <w:rFonts w:ascii="Cambria Math" w:hAnsi="Cambria Math"/>
                      <w:i/>
                    </w:rPr>
                  </m:ctrlPr>
                </m:sup>
              </m:sSup>
              <m:ctrlPr>
                <w:rPr>
                  <w:rFonts w:ascii="Cambria Math" w:hAnsi="Cambria Math"/>
                  <w:i/>
                </w:rPr>
              </m:ctrlPr>
            </m:e>
          </m:rad>
          <m:r>
            <w:rPr>
              <w:rFonts w:hint="eastAsia" w:ascii="Cambria Math" w:hAnsi="Cambria Math"/>
            </w:rPr>
            <m:t>=</m:t>
          </m:r>
          <m:r>
            <m:rPr>
              <m:sty m:val="p"/>
            </m:rPr>
            <w:rPr>
              <w:rFonts w:ascii="Cambria Math" w:hAnsi="Cambria Math"/>
            </w:rPr>
            <m:t>0.67</m:t>
          </m:r>
          <m:r>
            <m:rPr>
              <m:sty m:val="p"/>
            </m:rPr>
            <w:rPr>
              <w:rFonts w:ascii="Cambria Math" w:hAnsi="Cambria Math" w:cs="Times New Roman"/>
            </w:rPr>
            <m:t>μ</m:t>
          </m:r>
          <m:r>
            <m:rPr>
              <m:sty m:val="p"/>
            </m:rPr>
            <w:rPr>
              <w:rFonts w:ascii="Cambria Math" w:hAnsi="Cambria Math"/>
            </w:rPr>
            <m:t>m</m:t>
          </m:r>
        </m:oMath>
      </m:oMathPara>
    </w:p>
    <w:p>
      <w:pPr>
        <w:pStyle w:val="3"/>
        <w:numPr>
          <w:ilvl w:val="1"/>
          <w:numId w:val="2"/>
        </w:numPr>
        <w:ind w:left="426" w:firstLineChars="0"/>
      </w:pPr>
      <w:r>
        <w:rPr>
          <w:rFonts w:hint="eastAsia"/>
        </w:rPr>
        <w:t>扩展标准不确定度</w:t>
      </w:r>
    </w:p>
    <w:p>
      <w:r>
        <w:rPr>
          <w:rFonts w:hint="eastAsia"/>
        </w:rPr>
        <w:t>裂纹宽度测量结果近似为正态分布，取</w:t>
      </w:r>
      <w:r>
        <w:rPr>
          <w:rFonts w:hint="eastAsia"/>
          <w:i/>
        </w:rPr>
        <w:t>k=</w:t>
      </w:r>
      <w:r>
        <w:rPr>
          <w:rFonts w:hint="eastAsia"/>
        </w:rPr>
        <w:t>2，扩展不确定度为：</w:t>
      </w:r>
    </w:p>
    <w:p>
      <w:pPr>
        <w:ind w:firstLine="0" w:firstLineChars="0"/>
      </w:pPr>
      <m:oMathPara>
        <m:oMath>
          <m:r>
            <w:rPr>
              <w:rFonts w:ascii="Cambria Math" w:hAnsi="Cambria Math"/>
            </w:rPr>
            <m:t>U=k</m:t>
          </m:r>
          <m:sSub>
            <m:sSubPr>
              <m:ctrlPr>
                <w:rPr>
                  <w:rFonts w:ascii="Cambria Math" w:hAnsi="Cambria Math"/>
                  <w:i/>
                </w:rPr>
              </m:ctrlPr>
            </m:sSubPr>
            <m:e>
              <m:r>
                <w:rPr>
                  <w:rFonts w:ascii="Cambria Math" w:hAnsi="Cambria Math"/>
                </w:rPr>
                <m:t>u</m:t>
              </m:r>
              <m:ctrlPr>
                <w:rPr>
                  <w:rFonts w:ascii="Cambria Math" w:hAnsi="Cambria Math"/>
                  <w:i/>
                </w:rPr>
              </m:ctrlPr>
            </m:e>
            <m:sub>
              <m:r>
                <w:rPr>
                  <w:rFonts w:ascii="Cambria Math" w:hAnsi="Cambria Math"/>
                </w:rPr>
                <m:t>c</m:t>
              </m:r>
              <m:ctrlPr>
                <w:rPr>
                  <w:rFonts w:ascii="Cambria Math" w:hAnsi="Cambria Math"/>
                  <w:i/>
                </w:rPr>
              </m:ctrlPr>
            </m:sub>
          </m:sSub>
          <m:r>
            <w:rPr>
              <w:rFonts w:ascii="Cambria Math" w:hAnsi="Cambria Math"/>
            </w:rPr>
            <m:t>=2×0.67</m:t>
          </m:r>
          <m:r>
            <m:rPr>
              <m:sty m:val="p"/>
            </m:rPr>
            <w:rPr>
              <w:rFonts w:ascii="Cambria Math" w:hAnsi="Cambria Math" w:cs="Times New Roman"/>
            </w:rPr>
            <m:t>μ</m:t>
          </m:r>
          <m:r>
            <m:rPr>
              <m:sty m:val="p"/>
            </m:rPr>
            <w:rPr>
              <w:rFonts w:ascii="Cambria Math" w:hAnsi="Cambria Math"/>
            </w:rPr>
            <m:t>m=1.4</m:t>
          </m:r>
          <m:r>
            <m:rPr>
              <m:sty m:val="p"/>
            </m:rPr>
            <w:rPr>
              <w:rFonts w:ascii="Cambria Math" w:hAnsi="Cambria Math" w:cs="Times New Roman"/>
            </w:rPr>
            <m:t>μ</m:t>
          </m:r>
          <m:r>
            <m:rPr>
              <m:sty m:val="p"/>
            </m:rPr>
            <w:rPr>
              <w:rFonts w:ascii="Cambria Math" w:hAnsi="Cambria Math"/>
            </w:rPr>
            <m:t>m</m:t>
          </m:r>
        </m:oMath>
      </m:oMathPara>
    </w:p>
    <w:p>
      <w:pPr>
        <w:widowControl/>
        <w:spacing w:line="240" w:lineRule="auto"/>
        <w:ind w:firstLine="0" w:firstLineChars="0"/>
        <w:jc w:val="left"/>
      </w:pPr>
      <w:r>
        <w:br w:type="page"/>
      </w:r>
    </w:p>
    <w:p>
      <w:pPr>
        <w:pStyle w:val="58"/>
      </w:pPr>
      <w:r>
        <w:rPr>
          <w:rFonts w:hint="eastAsia"/>
        </w:rPr>
        <w:t xml:space="preserve">  </w:t>
      </w:r>
      <w:bookmarkStart w:id="68" w:name="_Toc515607185"/>
      <w:bookmarkStart w:id="69" w:name="_Toc516556762"/>
      <w:r>
        <w:rPr>
          <w:rFonts w:hint="eastAsia"/>
          <w:color w:val="FFFFFF" w:themeColor="background1"/>
          <w14:textFill>
            <w14:solidFill>
              <w14:schemeClr w14:val="bg1"/>
            </w14:solidFill>
          </w14:textFill>
        </w:rPr>
        <w:t>检验参考试块镀层厚度校准结果的测量不确定度评定</w:t>
      </w:r>
      <w:bookmarkEnd w:id="68"/>
      <w:bookmarkEnd w:id="69"/>
    </w:p>
    <w:p>
      <w:pPr>
        <w:pStyle w:val="59"/>
        <w:spacing w:before="312" w:beforeLines="100" w:after="312" w:afterLines="100"/>
      </w:pPr>
      <w:bookmarkStart w:id="70" w:name="_Hlk516556943"/>
      <w:r>
        <w:rPr>
          <w:rFonts w:hint="eastAsia"/>
        </w:rPr>
        <w:t>渗透检验参考试块镀层厚度校准结果的测量不确定度评定</w:t>
      </w:r>
      <w:bookmarkEnd w:id="70"/>
    </w:p>
    <w:p>
      <w:pPr>
        <w:pStyle w:val="3"/>
        <w:numPr>
          <w:ilvl w:val="1"/>
          <w:numId w:val="2"/>
        </w:numPr>
        <w:ind w:left="426" w:firstLineChars="0"/>
      </w:pPr>
      <w:r>
        <w:rPr>
          <w:rFonts w:hint="eastAsia"/>
        </w:rPr>
        <w:t>测量方法</w:t>
      </w:r>
    </w:p>
    <w:p>
      <w:pPr>
        <w:rPr>
          <w:color w:val="000000" w:themeColor="text1"/>
          <w14:textFill>
            <w14:solidFill>
              <w14:schemeClr w14:val="tx1"/>
            </w14:solidFill>
          </w14:textFill>
        </w:rPr>
      </w:pPr>
      <w:r>
        <w:rPr>
          <w:rFonts w:hint="eastAsia"/>
          <w:color w:val="000000" w:themeColor="text1"/>
          <w14:textFill>
            <w14:solidFill>
              <w14:schemeClr w14:val="tx1"/>
            </w14:solidFill>
          </w14:textFill>
        </w:rPr>
        <w:t>在试块上均布选取5个位置，使用涂层测厚仪对5个位置进行测量，</w:t>
      </w:r>
      <w:r>
        <w:rPr>
          <w:color w:val="000000" w:themeColor="text1"/>
          <w14:textFill>
            <w14:solidFill>
              <w14:schemeClr w14:val="tx1"/>
            </w14:solidFill>
          </w14:textFill>
        </w:rPr>
        <w:t>以测量结果的平均值作为镀层厚度的测量结果。测量方法属于直接测量法。</w:t>
      </w:r>
    </w:p>
    <w:p>
      <w:pPr>
        <w:pStyle w:val="3"/>
        <w:numPr>
          <w:ilvl w:val="1"/>
          <w:numId w:val="2"/>
        </w:numPr>
        <w:ind w:left="426" w:firstLineChars="0"/>
      </w:pPr>
      <w:r>
        <w:rPr>
          <w:rFonts w:hint="eastAsia"/>
        </w:rPr>
        <w:t>测量模型</w:t>
      </w:r>
    </w:p>
    <w:p>
      <w:pPr>
        <w:spacing w:line="360" w:lineRule="auto"/>
        <w:ind w:firstLine="0" w:firstLineChars="0"/>
        <w:jc w:val="center"/>
      </w:pPr>
      <m:oMathPara>
        <m:oMath>
          <m:r>
            <w:rPr>
              <w:rFonts w:ascii="Cambria Math" w:hAnsi="Cambria Math"/>
            </w:rPr>
            <m:t>L=</m:t>
          </m:r>
          <m:f>
            <m:fPr>
              <m:ctrlPr>
                <w:rPr>
                  <w:rFonts w:ascii="Cambria Math" w:hAnsi="Cambria Math"/>
                  <w:i/>
                </w:rPr>
              </m:ctrlPr>
            </m:fPr>
            <m:num>
              <m:r>
                <w:rPr>
                  <w:rFonts w:ascii="Cambria Math" w:hAnsi="Cambria Math"/>
                </w:rPr>
                <m:t>1</m:t>
              </m:r>
              <m:ctrlPr>
                <w:rPr>
                  <w:rFonts w:ascii="Cambria Math" w:hAnsi="Cambria Math"/>
                  <w:i/>
                </w:rPr>
              </m:ctrlPr>
            </m:num>
            <m:den>
              <m:r>
                <w:rPr>
                  <w:rFonts w:ascii="Cambria Math" w:hAnsi="Cambria Math"/>
                </w:rPr>
                <m:t>5</m:t>
              </m:r>
              <m:ctrlPr>
                <w:rPr>
                  <w:rFonts w:ascii="Cambria Math" w:hAnsi="Cambria Math"/>
                  <w:i/>
                </w:rPr>
              </m:ctrlPr>
            </m:den>
          </m:f>
          <m:nary>
            <m:naryPr>
              <m:chr m:val="∑"/>
              <m:limLoc m:val="undOvr"/>
              <m:ctrlPr>
                <w:rPr>
                  <w:rFonts w:ascii="Cambria Math" w:hAnsi="Cambria Math"/>
                </w:rPr>
              </m:ctrlPr>
            </m:naryPr>
            <m:sub>
              <m:r>
                <w:rPr>
                  <w:rFonts w:ascii="Cambria Math" w:hAnsi="Cambria Math"/>
                </w:rPr>
                <m:t>i=1</m:t>
              </m:r>
              <m:ctrlPr>
                <w:rPr>
                  <w:rFonts w:ascii="Cambria Math" w:hAnsi="Cambria Math"/>
                </w:rPr>
              </m:ctrlPr>
            </m:sub>
            <m:sup>
              <m:r>
                <w:rPr>
                  <w:rFonts w:ascii="Cambria Math" w:hAnsi="Cambria Math"/>
                </w:rPr>
                <m:t>5</m:t>
              </m:r>
              <m:ctrlPr>
                <w:rPr>
                  <w:rFonts w:ascii="Cambria Math" w:hAnsi="Cambria Math"/>
                </w:rPr>
              </m:ctrlPr>
            </m:sup>
            <m:e>
              <m:r>
                <w:rPr>
                  <w:rFonts w:ascii="Cambria Math" w:hAnsi="Cambria Math"/>
                </w:rPr>
                <m:t>Li</m:t>
              </m:r>
              <m:ctrlPr>
                <w:rPr>
                  <w:rFonts w:ascii="Cambria Math" w:hAnsi="Cambria Math"/>
                </w:rPr>
              </m:ctrlPr>
            </m:e>
          </m:nary>
        </m:oMath>
      </m:oMathPara>
    </w:p>
    <w:p>
      <w:r>
        <w:rPr>
          <w:rFonts w:hint="eastAsia"/>
        </w:rPr>
        <w:t>式中：</w:t>
      </w:r>
    </w:p>
    <w:p>
      <w:pPr>
        <w:rPr>
          <w:rFonts w:cs="Times New Roman"/>
        </w:rPr>
      </w:pPr>
      <w:r>
        <w:rPr>
          <w:rFonts w:hint="eastAsia"/>
          <w:i/>
        </w:rPr>
        <w:t>L</w:t>
      </w:r>
      <w:r>
        <w:rPr>
          <w:rFonts w:hint="eastAsia"/>
        </w:rPr>
        <w:t>——镀层厚度，</w:t>
      </w:r>
      <w:r>
        <w:rPr>
          <w:rFonts w:cs="Times New Roman"/>
        </w:rPr>
        <w:t>μm</w:t>
      </w:r>
      <w:r>
        <w:rPr>
          <w:rFonts w:hint="eastAsia" w:cs="Times New Roman"/>
        </w:rPr>
        <w:t>；</w:t>
      </w:r>
    </w:p>
    <w:p>
      <w:pPr>
        <w:rPr>
          <w:rFonts w:cs="Times New Roman"/>
        </w:rPr>
      </w:pPr>
      <m:oMath>
        <m:sSub>
          <m:sSubPr>
            <m:ctrlPr>
              <w:rPr>
                <w:rFonts w:ascii="Cambria Math" w:hAnsi="Cambria Math"/>
              </w:rPr>
            </m:ctrlPr>
          </m:sSubPr>
          <m:e>
            <m:r>
              <w:rPr>
                <w:rFonts w:ascii="Cambria Math" w:hAnsi="Cambria Math"/>
              </w:rPr>
              <m:t>L</m:t>
            </m:r>
            <m:ctrlPr>
              <w:rPr>
                <w:rFonts w:ascii="Cambria Math" w:hAnsi="Cambria Math"/>
              </w:rPr>
            </m:ctrlPr>
          </m:e>
          <m:sub>
            <m:r>
              <w:rPr>
                <w:rFonts w:ascii="Cambria Math" w:hAnsi="Cambria Math"/>
              </w:rPr>
              <m:t>i</m:t>
            </m:r>
            <m:ctrlPr>
              <w:rPr>
                <w:rFonts w:ascii="Cambria Math" w:hAnsi="Cambria Math"/>
              </w:rPr>
            </m:ctrlPr>
          </m:sub>
        </m:sSub>
      </m:oMath>
      <w:r>
        <w:rPr>
          <w:rFonts w:hint="eastAsia"/>
        </w:rPr>
        <w:t>——镀层厚度的仪器测量值，</w:t>
      </w:r>
      <w:r>
        <w:rPr>
          <w:rFonts w:cs="Times New Roman"/>
        </w:rPr>
        <w:t>μm；</w:t>
      </w:r>
    </w:p>
    <w:p>
      <w:pPr>
        <w:pStyle w:val="3"/>
        <w:numPr>
          <w:ilvl w:val="1"/>
          <w:numId w:val="2"/>
        </w:numPr>
        <w:ind w:left="426" w:firstLineChars="0"/>
      </w:pPr>
      <w:r>
        <w:rPr>
          <w:rFonts w:hint="eastAsia"/>
        </w:rPr>
        <w:t>测量不确定度来源分析</w:t>
      </w:r>
    </w:p>
    <w:p>
      <w:r>
        <w:rPr>
          <w:rFonts w:hint="eastAsia"/>
        </w:rPr>
        <w:t>根据测量方法可知，每个镀层厚度测量结果的不确定度来源主要有由涂层测厚仪最大允许误差引入的不确定度分量和测量重复性引入的不确定度分量。</w:t>
      </w:r>
    </w:p>
    <w:p>
      <w:pPr>
        <w:pStyle w:val="3"/>
        <w:numPr>
          <w:ilvl w:val="1"/>
          <w:numId w:val="2"/>
        </w:numPr>
        <w:ind w:left="426" w:firstLineChars="0"/>
      </w:pPr>
      <w:r>
        <w:rPr>
          <w:rFonts w:hint="eastAsia"/>
        </w:rPr>
        <w:t>不确定度传播率</w:t>
      </w:r>
    </w:p>
    <w:p>
      <w:r>
        <w:rPr>
          <w:rFonts w:hint="eastAsia"/>
        </w:rPr>
        <w:t>根据测量模型可得合成标准不确定度</w:t>
      </w:r>
      <m:oMath>
        <m:sSub>
          <m:sSubPr>
            <m:ctrlPr>
              <w:rPr>
                <w:rFonts w:ascii="Cambria Math" w:hAnsi="Cambria Math"/>
                <w:i/>
              </w:rPr>
            </m:ctrlPr>
          </m:sSubPr>
          <m:e>
            <m:r>
              <w:rPr>
                <w:rFonts w:ascii="Cambria Math" w:hAnsi="Cambria Math"/>
              </w:rPr>
              <m:t>u</m:t>
            </m:r>
            <m:ctrlPr>
              <w:rPr>
                <w:rFonts w:ascii="Cambria Math" w:hAnsi="Cambria Math"/>
                <w:i/>
              </w:rPr>
            </m:ctrlPr>
          </m:e>
          <m:sub>
            <m:r>
              <w:rPr>
                <w:rFonts w:ascii="Cambria Math" w:hAnsi="Cambria Math"/>
              </w:rPr>
              <m:t>c</m:t>
            </m:r>
            <m:ctrlPr>
              <w:rPr>
                <w:rFonts w:ascii="Cambria Math" w:hAnsi="Cambria Math"/>
                <w:i/>
              </w:rPr>
            </m:ctrlPr>
          </m:sub>
        </m:sSub>
      </m:oMath>
      <w:r>
        <w:rPr>
          <w:rFonts w:hint="eastAsia"/>
        </w:rPr>
        <w:t>的传播率表达式为：</w:t>
      </w:r>
    </w:p>
    <w:p>
      <w:pPr>
        <w:spacing w:line="240" w:lineRule="auto"/>
        <w:ind w:firstLine="0" w:firstLineChars="0"/>
        <w:jc w:val="right"/>
      </w:pPr>
      <m:oMathPara>
        <m:oMath>
          <m:sSub>
            <m:sSubPr>
              <m:ctrlPr>
                <w:rPr>
                  <w:rFonts w:ascii="Cambria Math" w:hAnsi="Cambria Math"/>
                  <w:i/>
                </w:rPr>
              </m:ctrlPr>
            </m:sSubPr>
            <m:e>
              <m:r>
                <w:rPr>
                  <w:rFonts w:ascii="Cambria Math" w:hAnsi="Cambria Math"/>
                </w:rPr>
                <m:t>u</m:t>
              </m:r>
              <m:ctrlPr>
                <w:rPr>
                  <w:rFonts w:ascii="Cambria Math" w:hAnsi="Cambria Math"/>
                  <w:i/>
                </w:rPr>
              </m:ctrlPr>
            </m:e>
            <m:sub>
              <m:r>
                <w:rPr>
                  <w:rFonts w:ascii="Cambria Math" w:hAnsi="Cambria Math"/>
                </w:rPr>
                <m:t>c</m:t>
              </m:r>
              <m:ctrlPr>
                <w:rPr>
                  <w:rFonts w:ascii="Cambria Math" w:hAnsi="Cambria Math"/>
                  <w:i/>
                </w:rPr>
              </m:ctrlPr>
            </m:sub>
          </m:sSub>
          <m:r>
            <w:rPr>
              <w:rFonts w:ascii="Cambria Math" w:hAnsi="Cambria Math"/>
            </w:rPr>
            <m:t>=</m:t>
          </m:r>
          <m:f>
            <m:fPr>
              <m:ctrlPr>
                <w:rPr>
                  <w:rFonts w:ascii="Cambria Math" w:hAnsi="Cambria Math"/>
                  <w:i/>
                </w:rPr>
              </m:ctrlPr>
            </m:fPr>
            <m:num>
              <m:r>
                <w:rPr>
                  <w:rFonts w:ascii="Cambria Math" w:hAnsi="Cambria Math"/>
                </w:rPr>
                <m:t>1</m:t>
              </m:r>
              <m:ctrlPr>
                <w:rPr>
                  <w:rFonts w:ascii="Cambria Math" w:hAnsi="Cambria Math"/>
                  <w:i/>
                </w:rPr>
              </m:ctrlPr>
            </m:num>
            <m:den>
              <m:r>
                <w:rPr>
                  <w:rFonts w:ascii="Cambria Math" w:hAnsi="Cambria Math"/>
                </w:rPr>
                <m:t>5</m:t>
              </m:r>
              <m:ctrlPr>
                <w:rPr>
                  <w:rFonts w:ascii="Cambria Math" w:hAnsi="Cambria Math"/>
                  <w:i/>
                </w:rPr>
              </m:ctrlPr>
            </m:den>
          </m:f>
          <m:rad>
            <m:radPr>
              <m:degHide m:val="1"/>
              <m:ctrlPr>
                <w:rPr>
                  <w:rFonts w:ascii="Cambria Math" w:hAnsi="Cambria Math"/>
                  <w:i/>
                </w:rPr>
              </m:ctrlPr>
            </m:radPr>
            <m:deg>
              <m:ctrlPr>
                <w:rPr>
                  <w:rFonts w:ascii="Cambria Math" w:hAnsi="Cambria Math"/>
                  <w:i/>
                </w:rPr>
              </m:ctrlPr>
            </m:deg>
            <m:e>
              <m:nary>
                <m:naryPr>
                  <m:chr m:val="∑"/>
                  <m:limLoc m:val="undOvr"/>
                  <m:ctrlPr>
                    <w:rPr>
                      <w:rFonts w:ascii="Cambria Math" w:hAnsi="Cambria Math"/>
                      <w:i/>
                    </w:rPr>
                  </m:ctrlPr>
                </m:naryPr>
                <m:sub>
                  <m:r>
                    <w:rPr>
                      <w:rFonts w:ascii="Cambria Math" w:hAnsi="Cambria Math"/>
                    </w:rPr>
                    <m:t>i=1</m:t>
                  </m:r>
                  <m:ctrlPr>
                    <w:rPr>
                      <w:rFonts w:ascii="Cambria Math" w:hAnsi="Cambria Math"/>
                      <w:i/>
                    </w:rPr>
                  </m:ctrlPr>
                </m:sub>
                <m:sup>
                  <m:r>
                    <w:rPr>
                      <w:rFonts w:ascii="Cambria Math" w:hAnsi="Cambria Math"/>
                    </w:rPr>
                    <m:t>5</m:t>
                  </m:r>
                  <m:ctrlPr>
                    <w:rPr>
                      <w:rFonts w:ascii="Cambria Math" w:hAnsi="Cambria Math"/>
                      <w:i/>
                    </w:rPr>
                  </m:ctrlPr>
                </m:sup>
                <m:e>
                  <m:sSup>
                    <m:sSupPr>
                      <m:ctrlPr>
                        <w:rPr>
                          <w:rFonts w:ascii="Cambria Math" w:hAnsi="Cambria Math"/>
                          <w:i/>
                        </w:rPr>
                      </m:ctrlPr>
                    </m:sSupPr>
                    <m:e>
                      <m:r>
                        <w:rPr>
                          <w:rFonts w:ascii="Cambria Math" w:hAnsi="Cambria Math"/>
                        </w:rPr>
                        <m:t>u</m:t>
                      </m:r>
                      <m:ctrlPr>
                        <w:rPr>
                          <w:rFonts w:ascii="Cambria Math" w:hAnsi="Cambria Math"/>
                          <w:i/>
                        </w:rPr>
                      </m:ctrlPr>
                    </m:e>
                    <m:sup>
                      <m:r>
                        <w:rPr>
                          <w:rFonts w:ascii="Cambria Math" w:hAnsi="Cambria Math"/>
                        </w:rPr>
                        <m:t>2</m:t>
                      </m:r>
                      <m:ctrlPr>
                        <w:rPr>
                          <w:rFonts w:ascii="Cambria Math" w:hAnsi="Cambria Math"/>
                          <w:i/>
                        </w:rPr>
                      </m:ctrlPr>
                    </m:sup>
                  </m:sSup>
                  <m:d>
                    <m:dPr>
                      <m:ctrlPr>
                        <w:rPr>
                          <w:rFonts w:ascii="Cambria Math" w:hAnsi="Cambria Math"/>
                          <w:i/>
                        </w:rPr>
                      </m:ctrlPr>
                    </m:dPr>
                    <m:e>
                      <m:sSub>
                        <m:sSubPr>
                          <m:ctrlPr>
                            <w:rPr>
                              <w:rFonts w:ascii="Cambria Math" w:hAnsi="Cambria Math"/>
                              <w:i/>
                            </w:rPr>
                          </m:ctrlPr>
                        </m:sSubPr>
                        <m:e>
                          <m:r>
                            <w:rPr>
                              <w:rFonts w:ascii="Cambria Math" w:hAnsi="Cambria Math"/>
                            </w:rPr>
                            <m:t>L</m:t>
                          </m:r>
                          <m:ctrlPr>
                            <w:rPr>
                              <w:rFonts w:ascii="Cambria Math" w:hAnsi="Cambria Math"/>
                              <w:i/>
                            </w:rPr>
                          </m:ctrlPr>
                        </m:e>
                        <m:sub>
                          <m:r>
                            <w:rPr>
                              <w:rFonts w:ascii="Cambria Math" w:hAnsi="Cambria Math"/>
                            </w:rPr>
                            <m:t>i</m:t>
                          </m:r>
                          <m:ctrlPr>
                            <w:rPr>
                              <w:rFonts w:ascii="Cambria Math" w:hAnsi="Cambria Math"/>
                              <w:i/>
                            </w:rPr>
                          </m:ctrlPr>
                        </m:sub>
                      </m:sSub>
                      <m:ctrlPr>
                        <w:rPr>
                          <w:rFonts w:ascii="Cambria Math" w:hAnsi="Cambria Math"/>
                          <w:i/>
                        </w:rPr>
                      </m:ctrlPr>
                    </m:e>
                  </m:d>
                  <m:ctrlPr>
                    <w:rPr>
                      <w:rFonts w:ascii="Cambria Math" w:hAnsi="Cambria Math"/>
                      <w:i/>
                    </w:rPr>
                  </m:ctrlPr>
                </m:e>
              </m:nary>
              <m:ctrlPr>
                <w:rPr>
                  <w:rFonts w:ascii="Cambria Math" w:hAnsi="Cambria Math"/>
                  <w:i/>
                </w:rPr>
              </m:ctrlPr>
            </m:e>
          </m:rad>
        </m:oMath>
      </m:oMathPara>
    </w:p>
    <w:p>
      <w:pPr>
        <w:ind w:firstLine="0" w:firstLineChars="0"/>
        <w:rPr>
          <w:rFonts w:cs="Times New Roman"/>
        </w:rPr>
      </w:pPr>
      <w:r>
        <w:rPr>
          <w:rFonts w:hint="eastAsia"/>
        </w:rPr>
        <w:t>式中：</w:t>
      </w:r>
      <m:oMath>
        <m:sSub>
          <m:sSubPr>
            <m:ctrlPr>
              <w:rPr>
                <w:rFonts w:ascii="Cambria Math" w:hAnsi="Cambria Math"/>
                <w:i/>
              </w:rPr>
            </m:ctrlPr>
          </m:sSubPr>
          <m:e>
            <m:r>
              <w:rPr>
                <w:rFonts w:ascii="Cambria Math" w:hAnsi="Cambria Math"/>
              </w:rPr>
              <m:t>u</m:t>
            </m:r>
            <m:ctrlPr>
              <w:rPr>
                <w:rFonts w:ascii="Cambria Math" w:hAnsi="Cambria Math"/>
                <w:i/>
              </w:rPr>
            </m:ctrlPr>
          </m:e>
          <m:sub>
            <m:r>
              <w:rPr>
                <w:rFonts w:ascii="Cambria Math" w:hAnsi="Cambria Math"/>
              </w:rPr>
              <m:t>c</m:t>
            </m:r>
            <m:ctrlPr>
              <w:rPr>
                <w:rFonts w:ascii="Cambria Math" w:hAnsi="Cambria Math"/>
                <w:i/>
              </w:rPr>
            </m:ctrlPr>
          </m:sub>
        </m:sSub>
      </m:oMath>
      <w:r>
        <w:rPr>
          <w:rFonts w:hint="eastAsia"/>
        </w:rPr>
        <w:t>——合成标准不确定度，</w:t>
      </w:r>
      <w:r>
        <w:rPr>
          <w:rFonts w:cs="Times New Roman"/>
        </w:rPr>
        <w:t>μm</w:t>
      </w:r>
      <w:r>
        <w:rPr>
          <w:rFonts w:hint="eastAsia" w:cs="Times New Roman"/>
        </w:rPr>
        <w:t>；</w:t>
      </w:r>
    </w:p>
    <w:p>
      <w:pPr>
        <w:ind w:left="780" w:leftChars="325" w:firstLine="0" w:firstLineChars="0"/>
        <w:rPr>
          <w:rFonts w:cs="Times New Roman"/>
        </w:rPr>
      </w:pPr>
      <m:oMath>
        <m:r>
          <w:rPr>
            <w:rFonts w:ascii="Cambria Math" w:hAnsi="Cambria Math"/>
          </w:rPr>
          <m:t>u</m:t>
        </m:r>
        <m:d>
          <m:dPr>
            <m:ctrlPr>
              <w:rPr>
                <w:rFonts w:ascii="Cambria Math" w:hAnsi="Cambria Math"/>
                <w:i/>
              </w:rPr>
            </m:ctrlPr>
          </m:dPr>
          <m:e>
            <m:sSub>
              <m:sSubPr>
                <m:ctrlPr>
                  <w:rPr>
                    <w:rFonts w:ascii="Cambria Math" w:hAnsi="Cambria Math"/>
                    <w:i/>
                  </w:rPr>
                </m:ctrlPr>
              </m:sSubPr>
              <m:e>
                <m:r>
                  <w:rPr>
                    <w:rFonts w:ascii="Cambria Math" w:hAnsi="Cambria Math"/>
                  </w:rPr>
                  <m:t>L</m:t>
                </m:r>
                <m:ctrlPr>
                  <w:rPr>
                    <w:rFonts w:ascii="Cambria Math" w:hAnsi="Cambria Math"/>
                    <w:i/>
                  </w:rPr>
                </m:ctrlPr>
              </m:e>
              <m:sub>
                <m:r>
                  <w:rPr>
                    <w:rFonts w:ascii="Cambria Math" w:hAnsi="Cambria Math"/>
                  </w:rPr>
                  <m:t>i</m:t>
                </m:r>
                <m:ctrlPr>
                  <w:rPr>
                    <w:rFonts w:ascii="Cambria Math" w:hAnsi="Cambria Math"/>
                    <w:i/>
                  </w:rPr>
                </m:ctrlPr>
              </m:sub>
            </m:sSub>
            <m:ctrlPr>
              <w:rPr>
                <w:rFonts w:ascii="Cambria Math" w:hAnsi="Cambria Math"/>
                <w:i/>
              </w:rPr>
            </m:ctrlPr>
          </m:e>
        </m:d>
      </m:oMath>
      <w:r>
        <w:rPr>
          <w:rFonts w:hint="eastAsia"/>
        </w:rPr>
        <w:t>——第</w:t>
      </w:r>
      <w:r>
        <w:rPr>
          <w:rFonts w:hint="eastAsia"/>
          <w:i/>
        </w:rPr>
        <w:t>i</w:t>
      </w:r>
      <w:r>
        <w:rPr>
          <w:rFonts w:hint="eastAsia"/>
        </w:rPr>
        <w:t>个镀层厚度测量结果的标准不确定度分量，</w:t>
      </w:r>
      <w:r>
        <w:rPr>
          <w:rFonts w:cs="Times New Roman"/>
        </w:rPr>
        <w:t>μm</w:t>
      </w:r>
      <w:r>
        <w:rPr>
          <w:rFonts w:hint="eastAsia" w:cs="Times New Roman"/>
        </w:rPr>
        <w:t>；</w:t>
      </w:r>
    </w:p>
    <w:p>
      <w:r>
        <w:rPr>
          <w:rFonts w:hint="eastAsia"/>
        </w:rPr>
        <w:t>根据不确定度来源分析，每个镀层厚度测量结果的标准不确定度分量</w:t>
      </w:r>
      <m:oMath>
        <m:r>
          <w:rPr>
            <w:rFonts w:ascii="Cambria Math" w:hAnsi="Cambria Math"/>
          </w:rPr>
          <m:t>u</m:t>
        </m:r>
        <m:d>
          <m:dPr>
            <m:ctrlPr>
              <w:rPr>
                <w:rFonts w:ascii="Cambria Math" w:hAnsi="Cambria Math"/>
                <w:i/>
              </w:rPr>
            </m:ctrlPr>
          </m:dPr>
          <m:e>
            <m:sSub>
              <m:sSubPr>
                <m:ctrlPr>
                  <w:rPr>
                    <w:rFonts w:ascii="Cambria Math" w:hAnsi="Cambria Math"/>
                    <w:i/>
                  </w:rPr>
                </m:ctrlPr>
              </m:sSubPr>
              <m:e>
                <m:r>
                  <w:rPr>
                    <w:rFonts w:ascii="Cambria Math" w:hAnsi="Cambria Math"/>
                  </w:rPr>
                  <m:t>L</m:t>
                </m:r>
                <m:ctrlPr>
                  <w:rPr>
                    <w:rFonts w:ascii="Cambria Math" w:hAnsi="Cambria Math"/>
                    <w:i/>
                  </w:rPr>
                </m:ctrlPr>
              </m:e>
              <m:sub>
                <m:r>
                  <w:rPr>
                    <w:rFonts w:ascii="Cambria Math" w:hAnsi="Cambria Math"/>
                  </w:rPr>
                  <m:t>i</m:t>
                </m:r>
                <m:ctrlPr>
                  <w:rPr>
                    <w:rFonts w:ascii="Cambria Math" w:hAnsi="Cambria Math"/>
                    <w:i/>
                  </w:rPr>
                </m:ctrlPr>
              </m:sub>
            </m:sSub>
            <m:ctrlPr>
              <w:rPr>
                <w:rFonts w:ascii="Cambria Math" w:hAnsi="Cambria Math"/>
                <w:i/>
              </w:rPr>
            </m:ctrlPr>
          </m:e>
        </m:d>
      </m:oMath>
      <w:r>
        <w:rPr>
          <w:rFonts w:hint="eastAsia"/>
        </w:rPr>
        <w:t>来源主要有测量重复性引入的不确定度分量</w:t>
      </w:r>
      <m:oMath>
        <m:sSub>
          <m:sSubPr>
            <m:ctrlPr>
              <w:rPr>
                <w:rFonts w:ascii="Cambria Math" w:hAnsi="Cambria Math"/>
              </w:rPr>
            </m:ctrlPr>
          </m:sSubPr>
          <m:e>
            <m:r>
              <w:rPr>
                <w:rFonts w:ascii="Cambria Math" w:hAnsi="Cambria Math"/>
              </w:rPr>
              <m:t>u</m:t>
            </m:r>
            <m:ctrlPr>
              <w:rPr>
                <w:rFonts w:ascii="Cambria Math" w:hAnsi="Cambria Math"/>
              </w:rPr>
            </m:ctrlPr>
          </m:e>
          <m:sub>
            <m:r>
              <w:rPr>
                <w:rFonts w:ascii="Cambria Math" w:hAnsi="Cambria Math"/>
              </w:rPr>
              <m:t>A</m:t>
            </m:r>
            <m:ctrlPr>
              <w:rPr>
                <w:rFonts w:ascii="Cambria Math" w:hAnsi="Cambria Math"/>
              </w:rPr>
            </m:ctrlPr>
          </m:sub>
        </m:sSub>
      </m:oMath>
      <w:r>
        <w:rPr>
          <w:rFonts w:hint="eastAsia"/>
        </w:rPr>
        <w:t>和涂层测厚仪最大允许误差引入的不确定度分量</w:t>
      </w:r>
      <m:oMath>
        <m:sSub>
          <m:sSubPr>
            <m:ctrlPr>
              <w:rPr>
                <w:rFonts w:ascii="Cambria Math" w:hAnsi="Cambria Math"/>
              </w:rPr>
            </m:ctrlPr>
          </m:sSubPr>
          <m:e>
            <m:r>
              <w:rPr>
                <w:rFonts w:ascii="Cambria Math" w:hAnsi="Cambria Math"/>
              </w:rPr>
              <m:t>u</m:t>
            </m:r>
            <m:ctrlPr>
              <w:rPr>
                <w:rFonts w:ascii="Cambria Math" w:hAnsi="Cambria Math"/>
              </w:rPr>
            </m:ctrlPr>
          </m:e>
          <m:sub>
            <m:r>
              <w:rPr>
                <w:rFonts w:ascii="Cambria Math" w:hAnsi="Cambria Math"/>
              </w:rPr>
              <m:t>B</m:t>
            </m:r>
            <m:ctrlPr>
              <w:rPr>
                <w:rFonts w:ascii="Cambria Math" w:hAnsi="Cambria Math"/>
              </w:rPr>
            </m:ctrlPr>
          </m:sub>
        </m:sSub>
      </m:oMath>
      <w:r>
        <w:rPr>
          <w:rFonts w:hint="eastAsia"/>
        </w:rPr>
        <w:t>，即</w:t>
      </w:r>
      <m:oMath>
        <m:sSup>
          <m:sSupPr>
            <m:ctrlPr>
              <w:rPr>
                <w:rFonts w:ascii="Cambria Math" w:hAnsi="Cambria Math"/>
                <w:i/>
              </w:rPr>
            </m:ctrlPr>
          </m:sSupPr>
          <m:e>
            <m:r>
              <w:rPr>
                <w:rFonts w:ascii="Cambria Math" w:hAnsi="Cambria Math"/>
              </w:rPr>
              <m:t>u</m:t>
            </m:r>
            <m:ctrlPr>
              <w:rPr>
                <w:rFonts w:ascii="Cambria Math" w:hAnsi="Cambria Math"/>
                <w:i/>
              </w:rPr>
            </m:ctrlPr>
          </m:e>
          <m:sup>
            <m:r>
              <w:rPr>
                <w:rFonts w:ascii="Cambria Math" w:hAnsi="Cambria Math"/>
              </w:rPr>
              <m:t>2</m:t>
            </m:r>
            <m:ctrlPr>
              <w:rPr>
                <w:rFonts w:ascii="Cambria Math" w:hAnsi="Cambria Math"/>
                <w:i/>
              </w:rPr>
            </m:ctrlPr>
          </m:sup>
        </m:sSup>
        <m:d>
          <m:dPr>
            <m:ctrlPr>
              <w:rPr>
                <w:rFonts w:ascii="Cambria Math" w:hAnsi="Cambria Math"/>
                <w:i/>
              </w:rPr>
            </m:ctrlPr>
          </m:dPr>
          <m:e>
            <m:sSub>
              <m:sSubPr>
                <m:ctrlPr>
                  <w:rPr>
                    <w:rFonts w:ascii="Cambria Math" w:hAnsi="Cambria Math"/>
                    <w:i/>
                  </w:rPr>
                </m:ctrlPr>
              </m:sSubPr>
              <m:e>
                <m:r>
                  <w:rPr>
                    <w:rFonts w:ascii="Cambria Math" w:hAnsi="Cambria Math"/>
                  </w:rPr>
                  <m:t>L</m:t>
                </m:r>
                <m:ctrlPr>
                  <w:rPr>
                    <w:rFonts w:ascii="Cambria Math" w:hAnsi="Cambria Math"/>
                    <w:i/>
                  </w:rPr>
                </m:ctrlPr>
              </m:e>
              <m:sub>
                <m:r>
                  <w:rPr>
                    <w:rFonts w:ascii="Cambria Math" w:hAnsi="Cambria Math"/>
                  </w:rPr>
                  <m:t>i</m:t>
                </m:r>
                <m:ctrlPr>
                  <w:rPr>
                    <w:rFonts w:ascii="Cambria Math" w:hAnsi="Cambria Math"/>
                    <w:i/>
                  </w:rPr>
                </m:ctrlPr>
              </m:sub>
            </m:sSub>
            <m:ctrlPr>
              <w:rPr>
                <w:rFonts w:ascii="Cambria Math" w:hAnsi="Cambria Math"/>
                <w:i/>
              </w:rPr>
            </m:ctrlPr>
          </m:e>
        </m:d>
        <m:r>
          <w:rPr>
            <w:rFonts w:hint="eastAsia" w:ascii="Cambria Math" w:hAnsi="Cambria Math"/>
          </w:rPr>
          <m:t>=</m:t>
        </m:r>
        <m:sSubSup>
          <m:sSubSupPr>
            <m:ctrlPr>
              <w:rPr>
                <w:rFonts w:ascii="Cambria Math" w:hAnsi="Cambria Math"/>
                <w:i/>
              </w:rPr>
            </m:ctrlPr>
          </m:sSubSupPr>
          <m:e>
            <m:r>
              <w:rPr>
                <w:rFonts w:hint="eastAsia" w:ascii="Cambria Math" w:hAnsi="Cambria Math"/>
              </w:rPr>
              <m:t>u</m:t>
            </m:r>
            <m:ctrlPr>
              <w:rPr>
                <w:rFonts w:ascii="Cambria Math" w:hAnsi="Cambria Math"/>
                <w:i/>
              </w:rPr>
            </m:ctrlPr>
          </m:e>
          <m:sub>
            <m:r>
              <w:rPr>
                <w:rFonts w:ascii="Cambria Math" w:hAnsi="Cambria Math"/>
              </w:rPr>
              <m:t>A</m:t>
            </m:r>
            <m:ctrlPr>
              <w:rPr>
                <w:rFonts w:ascii="Cambria Math" w:hAnsi="Cambria Math"/>
                <w:i/>
              </w:rPr>
            </m:ctrlPr>
          </m:sub>
          <m:sup>
            <m:r>
              <w:rPr>
                <w:rFonts w:ascii="Cambria Math" w:hAnsi="Cambria Math"/>
              </w:rPr>
              <m:t>2</m:t>
            </m:r>
            <m:ctrlPr>
              <w:rPr>
                <w:rFonts w:ascii="Cambria Math" w:hAnsi="Cambria Math"/>
                <w:i/>
              </w:rPr>
            </m:ctrlPr>
          </m:sup>
        </m:sSubSup>
        <m:r>
          <w:rPr>
            <w:rFonts w:ascii="Cambria Math" w:hAnsi="Cambria Math"/>
          </w:rPr>
          <m:t>+</m:t>
        </m:r>
        <m:sSubSup>
          <m:sSubSupPr>
            <m:ctrlPr>
              <w:rPr>
                <w:rFonts w:ascii="Cambria Math" w:hAnsi="Cambria Math"/>
                <w:i/>
              </w:rPr>
            </m:ctrlPr>
          </m:sSubSupPr>
          <m:e>
            <m:r>
              <w:rPr>
                <w:rFonts w:hint="eastAsia" w:ascii="Cambria Math" w:hAnsi="Cambria Math"/>
              </w:rPr>
              <m:t>u</m:t>
            </m:r>
            <m:ctrlPr>
              <w:rPr>
                <w:rFonts w:ascii="Cambria Math" w:hAnsi="Cambria Math"/>
                <w:i/>
              </w:rPr>
            </m:ctrlPr>
          </m:e>
          <m:sub>
            <m:r>
              <w:rPr>
                <w:rFonts w:ascii="Cambria Math" w:hAnsi="Cambria Math"/>
              </w:rPr>
              <m:t>B</m:t>
            </m:r>
            <m:ctrlPr>
              <w:rPr>
                <w:rFonts w:ascii="Cambria Math" w:hAnsi="Cambria Math"/>
                <w:i/>
              </w:rPr>
            </m:ctrlPr>
          </m:sub>
          <m:sup>
            <m:r>
              <w:rPr>
                <w:rFonts w:ascii="Cambria Math" w:hAnsi="Cambria Math"/>
              </w:rPr>
              <m:t>2</m:t>
            </m:r>
            <m:ctrlPr>
              <w:rPr>
                <w:rFonts w:ascii="Cambria Math" w:hAnsi="Cambria Math"/>
                <w:i/>
              </w:rPr>
            </m:ctrlPr>
          </m:sup>
        </m:sSubSup>
      </m:oMath>
      <w:r>
        <w:rPr>
          <w:rFonts w:hint="eastAsia"/>
        </w:rPr>
        <w:t>。因此合成标准不确定度</w:t>
      </w:r>
      <m:oMath>
        <m:sSub>
          <m:sSubPr>
            <m:ctrlPr>
              <w:rPr>
                <w:rFonts w:ascii="Cambria Math" w:hAnsi="Cambria Math"/>
                <w:i/>
              </w:rPr>
            </m:ctrlPr>
          </m:sSubPr>
          <m:e>
            <m:r>
              <w:rPr>
                <w:rFonts w:ascii="Cambria Math" w:hAnsi="Cambria Math"/>
              </w:rPr>
              <m:t>u</m:t>
            </m:r>
            <m:ctrlPr>
              <w:rPr>
                <w:rFonts w:ascii="Cambria Math" w:hAnsi="Cambria Math"/>
                <w:i/>
              </w:rPr>
            </m:ctrlPr>
          </m:e>
          <m:sub>
            <m:r>
              <w:rPr>
                <w:rFonts w:ascii="Cambria Math" w:hAnsi="Cambria Math"/>
              </w:rPr>
              <m:t>c</m:t>
            </m:r>
            <m:ctrlPr>
              <w:rPr>
                <w:rFonts w:ascii="Cambria Math" w:hAnsi="Cambria Math"/>
                <w:i/>
              </w:rPr>
            </m:ctrlPr>
          </m:sub>
        </m:sSub>
      </m:oMath>
      <w:r>
        <w:rPr>
          <w:rFonts w:hint="eastAsia"/>
        </w:rPr>
        <w:t>的传播率表达式可转化为：</w:t>
      </w:r>
    </w:p>
    <w:p>
      <w:pPr>
        <w:spacing w:line="240" w:lineRule="auto"/>
        <w:ind w:firstLine="0" w:firstLineChars="0"/>
        <w:jc w:val="right"/>
      </w:pPr>
      <m:oMathPara>
        <m:oMath>
          <m:sSub>
            <m:sSubPr>
              <m:ctrlPr>
                <w:rPr>
                  <w:rFonts w:ascii="Cambria Math" w:hAnsi="Cambria Math"/>
                  <w:i/>
                </w:rPr>
              </m:ctrlPr>
            </m:sSubPr>
            <m:e>
              <m:r>
                <w:rPr>
                  <w:rFonts w:ascii="Cambria Math" w:hAnsi="Cambria Math"/>
                </w:rPr>
                <m:t>u</m:t>
              </m:r>
              <m:ctrlPr>
                <w:rPr>
                  <w:rFonts w:ascii="Cambria Math" w:hAnsi="Cambria Math"/>
                  <w:i/>
                </w:rPr>
              </m:ctrlPr>
            </m:e>
            <m:sub>
              <m:r>
                <w:rPr>
                  <w:rFonts w:ascii="Cambria Math" w:hAnsi="Cambria Math"/>
                </w:rPr>
                <m:t>c</m:t>
              </m:r>
              <m:ctrlPr>
                <w:rPr>
                  <w:rFonts w:ascii="Cambria Math" w:hAnsi="Cambria Math"/>
                  <w:i/>
                </w:rPr>
              </m:ctrlPr>
            </m:sub>
          </m:sSub>
          <m:r>
            <w:rPr>
              <w:rFonts w:ascii="Cambria Math" w:hAnsi="Cambria Math"/>
            </w:rPr>
            <m:t>=</m:t>
          </m:r>
          <m:f>
            <m:fPr>
              <m:ctrlPr>
                <w:rPr>
                  <w:rFonts w:ascii="Cambria Math" w:hAnsi="Cambria Math"/>
                  <w:i/>
                </w:rPr>
              </m:ctrlPr>
            </m:fPr>
            <m:num>
              <m:r>
                <w:rPr>
                  <w:rFonts w:ascii="Cambria Math" w:hAnsi="Cambria Math"/>
                </w:rPr>
                <m:t>1</m:t>
              </m:r>
              <m:ctrlPr>
                <w:rPr>
                  <w:rFonts w:ascii="Cambria Math" w:hAnsi="Cambria Math"/>
                  <w:i/>
                </w:rPr>
              </m:ctrlPr>
            </m:num>
            <m:den>
              <m:rad>
                <m:radPr>
                  <m:degHide m:val="1"/>
                  <m:ctrlPr>
                    <w:rPr>
                      <w:rFonts w:ascii="Cambria Math" w:hAnsi="Cambria Math"/>
                      <w:i/>
                    </w:rPr>
                  </m:ctrlPr>
                </m:radPr>
                <m:deg>
                  <m:ctrlPr>
                    <w:rPr>
                      <w:rFonts w:ascii="Cambria Math" w:hAnsi="Cambria Math"/>
                      <w:i/>
                    </w:rPr>
                  </m:ctrlPr>
                </m:deg>
                <m:e>
                  <m:r>
                    <w:rPr>
                      <w:rFonts w:ascii="Cambria Math" w:hAnsi="Cambria Math"/>
                    </w:rPr>
                    <m:t>5</m:t>
                  </m:r>
                  <m:ctrlPr>
                    <w:rPr>
                      <w:rFonts w:ascii="Cambria Math" w:hAnsi="Cambria Math"/>
                      <w:i/>
                    </w:rPr>
                  </m:ctrlPr>
                </m:e>
              </m:rad>
              <m:ctrlPr>
                <w:rPr>
                  <w:rFonts w:ascii="Cambria Math" w:hAnsi="Cambria Math"/>
                  <w:i/>
                </w:rPr>
              </m:ctrlPr>
            </m:den>
          </m:f>
          <m:rad>
            <m:radPr>
              <m:degHide m:val="1"/>
              <m:ctrlPr>
                <w:rPr>
                  <w:rFonts w:ascii="Cambria Math" w:hAnsi="Cambria Math"/>
                  <w:i/>
                </w:rPr>
              </m:ctrlPr>
            </m:radPr>
            <m:deg>
              <m:ctrlPr>
                <w:rPr>
                  <w:rFonts w:ascii="Cambria Math" w:hAnsi="Cambria Math"/>
                  <w:i/>
                </w:rPr>
              </m:ctrlPr>
            </m:deg>
            <m:e>
              <m:sSubSup>
                <m:sSubSupPr>
                  <m:ctrlPr>
                    <w:rPr>
                      <w:rFonts w:ascii="Cambria Math" w:hAnsi="Cambria Math"/>
                      <w:i/>
                    </w:rPr>
                  </m:ctrlPr>
                </m:sSubSupPr>
                <m:e>
                  <m:r>
                    <w:rPr>
                      <w:rFonts w:hint="eastAsia" w:ascii="Cambria Math" w:hAnsi="Cambria Math"/>
                    </w:rPr>
                    <m:t>u</m:t>
                  </m:r>
                  <m:ctrlPr>
                    <w:rPr>
                      <w:rFonts w:ascii="Cambria Math" w:hAnsi="Cambria Math"/>
                      <w:i/>
                    </w:rPr>
                  </m:ctrlPr>
                </m:e>
                <m:sub>
                  <m:r>
                    <w:rPr>
                      <w:rFonts w:ascii="Cambria Math" w:hAnsi="Cambria Math"/>
                    </w:rPr>
                    <m:t>A</m:t>
                  </m:r>
                  <m:ctrlPr>
                    <w:rPr>
                      <w:rFonts w:ascii="Cambria Math" w:hAnsi="Cambria Math"/>
                      <w:i/>
                    </w:rPr>
                  </m:ctrlPr>
                </m:sub>
                <m:sup>
                  <m:r>
                    <w:rPr>
                      <w:rFonts w:ascii="Cambria Math" w:hAnsi="Cambria Math"/>
                    </w:rPr>
                    <m:t>2</m:t>
                  </m:r>
                  <m:ctrlPr>
                    <w:rPr>
                      <w:rFonts w:ascii="Cambria Math" w:hAnsi="Cambria Math"/>
                      <w:i/>
                    </w:rPr>
                  </m:ctrlPr>
                </m:sup>
              </m:sSubSup>
              <m:r>
                <w:rPr>
                  <w:rFonts w:ascii="Cambria Math" w:hAnsi="Cambria Math"/>
                </w:rPr>
                <m:t>+</m:t>
              </m:r>
              <m:sSubSup>
                <m:sSubSupPr>
                  <m:ctrlPr>
                    <w:rPr>
                      <w:rFonts w:ascii="Cambria Math" w:hAnsi="Cambria Math"/>
                      <w:i/>
                    </w:rPr>
                  </m:ctrlPr>
                </m:sSubSupPr>
                <m:e>
                  <m:r>
                    <w:rPr>
                      <w:rFonts w:hint="eastAsia" w:ascii="Cambria Math" w:hAnsi="Cambria Math"/>
                    </w:rPr>
                    <m:t>u</m:t>
                  </m:r>
                  <m:ctrlPr>
                    <w:rPr>
                      <w:rFonts w:ascii="Cambria Math" w:hAnsi="Cambria Math"/>
                      <w:i/>
                    </w:rPr>
                  </m:ctrlPr>
                </m:e>
                <m:sub>
                  <m:r>
                    <w:rPr>
                      <w:rFonts w:ascii="Cambria Math" w:hAnsi="Cambria Math"/>
                    </w:rPr>
                    <m:t>B</m:t>
                  </m:r>
                  <m:ctrlPr>
                    <w:rPr>
                      <w:rFonts w:ascii="Cambria Math" w:hAnsi="Cambria Math"/>
                      <w:i/>
                    </w:rPr>
                  </m:ctrlPr>
                </m:sub>
                <m:sup>
                  <m:r>
                    <w:rPr>
                      <w:rFonts w:ascii="Cambria Math" w:hAnsi="Cambria Math"/>
                    </w:rPr>
                    <m:t>2</m:t>
                  </m:r>
                  <m:ctrlPr>
                    <w:rPr>
                      <w:rFonts w:ascii="Cambria Math" w:hAnsi="Cambria Math"/>
                      <w:i/>
                    </w:rPr>
                  </m:ctrlPr>
                </m:sup>
              </m:sSubSup>
              <m:ctrlPr>
                <w:rPr>
                  <w:rFonts w:ascii="Cambria Math" w:hAnsi="Cambria Math"/>
                  <w:i/>
                </w:rPr>
              </m:ctrlPr>
            </m:e>
          </m:rad>
        </m:oMath>
      </m:oMathPara>
    </w:p>
    <w:p>
      <w:pPr>
        <w:pStyle w:val="3"/>
        <w:numPr>
          <w:ilvl w:val="1"/>
          <w:numId w:val="2"/>
        </w:numPr>
        <w:ind w:left="426" w:firstLineChars="0"/>
      </w:pPr>
      <w:r>
        <w:rPr>
          <w:rFonts w:hint="eastAsia"/>
        </w:rPr>
        <w:t>标准不确定度评定</w:t>
      </w:r>
    </w:p>
    <w:p>
      <w:pPr>
        <w:pStyle w:val="3"/>
        <w:numPr>
          <w:ilvl w:val="2"/>
          <w:numId w:val="2"/>
        </w:numPr>
        <w:ind w:left="426" w:firstLineChars="0"/>
      </w:pPr>
      <w:r>
        <w:rPr>
          <w:rFonts w:hint="eastAsia"/>
        </w:rPr>
        <w:t>由测量重复性引入的不确定度分量</w:t>
      </w:r>
      <m:oMath>
        <m:sSub>
          <m:sSubPr>
            <m:ctrlPr>
              <w:rPr>
                <w:rFonts w:ascii="Cambria Math" w:hAnsi="Cambria Math"/>
                <w:i/>
              </w:rPr>
            </m:ctrlPr>
          </m:sSubPr>
          <m:e>
            <m:r>
              <w:rPr>
                <w:rFonts w:ascii="Cambria Math" w:hAnsi="Cambria Math"/>
              </w:rPr>
              <m:t>u</m:t>
            </m:r>
            <m:ctrlPr>
              <w:rPr>
                <w:rFonts w:ascii="Cambria Math" w:hAnsi="Cambria Math"/>
                <w:i/>
              </w:rPr>
            </m:ctrlPr>
          </m:e>
          <m:sub>
            <m:r>
              <w:rPr>
                <w:rFonts w:ascii="Cambria Math" w:hAnsi="Cambria Math"/>
              </w:rPr>
              <m:t>A</m:t>
            </m:r>
            <m:ctrlPr>
              <w:rPr>
                <w:rFonts w:ascii="Cambria Math" w:hAnsi="Cambria Math"/>
                <w:i/>
              </w:rPr>
            </m:ctrlPr>
          </m:sub>
        </m:sSub>
      </m:oMath>
    </w:p>
    <w:p>
      <w:r>
        <w:rPr>
          <w:rFonts w:hint="eastAsia"/>
        </w:rPr>
        <w:t>在重复测量条件下，对镀层厚度进行10次重复测量。得到结果见下表C.1。则测量重复性引入的不确定度分量为：</w:t>
      </w:r>
    </w:p>
    <w:p/>
    <w:p/>
    <w:p>
      <w:pPr>
        <w:pStyle w:val="53"/>
      </w:pPr>
      <w:r>
        <w:rPr>
          <w:rFonts w:hint="eastAsia"/>
        </w:rPr>
        <w:t>表</w:t>
      </w:r>
      <w:r>
        <w:t>C</w:t>
      </w:r>
      <w:r>
        <w:rPr>
          <w:rFonts w:hint="eastAsia"/>
        </w:rPr>
        <w:t>.1 测量不确定度来源及说明</w:t>
      </w:r>
    </w:p>
    <w:p>
      <w:pPr>
        <w:pStyle w:val="53"/>
        <w:ind w:right="420"/>
        <w:jc w:val="right"/>
        <w:rPr>
          <w:rFonts w:ascii="Cambria Math" w:hAnsi="Cambria Math"/>
          <w:oMath/>
        </w:rPr>
      </w:pPr>
      <m:oMathPara>
        <m:oMathParaPr>
          <m:jc m:val="right"/>
        </m:oMathParaPr>
        <m:oMath>
          <m:r>
            <m:rPr>
              <m:sty m:val="p"/>
            </m:rPr>
            <w:rPr>
              <w:rFonts w:ascii="Cambria Math" w:hAnsi="Cambria Math"/>
            </w:rPr>
            <m:t>μ</m:t>
          </m:r>
          <m:r>
            <m:rPr>
              <m:sty m:val="p"/>
            </m:rPr>
            <w:rPr>
              <w:rFonts w:hint="eastAsia" w:ascii="Cambria Math" w:hAnsi="Cambria Math"/>
            </w:rPr>
            <m:t>m</m:t>
          </m:r>
        </m:oMath>
      </m:oMathPara>
    </w:p>
    <w:tbl>
      <w:tblPr>
        <w:tblStyle w:val="15"/>
        <w:tblW w:w="907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7"/>
        <w:gridCol w:w="45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4537" w:type="dxa"/>
            <w:shd w:val="clear" w:color="auto" w:fill="auto"/>
            <w:vAlign w:val="center"/>
          </w:tcPr>
          <w:p>
            <w:pPr>
              <w:spacing w:line="240" w:lineRule="auto"/>
              <w:ind w:firstLine="0" w:firstLineChars="0"/>
              <w:jc w:val="center"/>
              <w:rPr>
                <w:i/>
              </w:rPr>
            </w:pPr>
            <w:r>
              <w:rPr>
                <w:rFonts w:hint="eastAsia"/>
                <w:i/>
              </w:rPr>
              <w:t>L</w:t>
            </w:r>
            <w:r>
              <w:rPr>
                <w:rFonts w:hint="eastAsia"/>
                <w:i/>
                <w:vertAlign w:val="subscript"/>
              </w:rPr>
              <w:t>1</w:t>
            </w:r>
          </w:p>
        </w:tc>
        <w:tc>
          <w:tcPr>
            <w:tcW w:w="4537" w:type="dxa"/>
            <w:shd w:val="clear" w:color="auto" w:fill="auto"/>
            <w:vAlign w:val="center"/>
          </w:tcPr>
          <w:p>
            <w:pPr>
              <w:spacing w:line="240" w:lineRule="auto"/>
              <w:ind w:firstLine="0" w:firstLineChars="0"/>
              <w:jc w:val="center"/>
              <w:rPr>
                <w:rFonts w:cs="Times New Roman"/>
                <w:color w:val="000000"/>
                <w:szCs w:val="28"/>
              </w:rPr>
            </w:pPr>
            <w:r>
              <w:rPr>
                <w:rFonts w:hint="eastAsia" w:cs="Times New Roman"/>
                <w:color w:val="000000"/>
                <w:szCs w:val="28"/>
              </w:rPr>
              <w:t>22.7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4537" w:type="dxa"/>
            <w:shd w:val="clear" w:color="auto" w:fill="auto"/>
            <w:vAlign w:val="center"/>
          </w:tcPr>
          <w:p>
            <w:pPr>
              <w:spacing w:line="240" w:lineRule="auto"/>
              <w:ind w:firstLine="0" w:firstLineChars="0"/>
              <w:jc w:val="center"/>
              <w:rPr>
                <w:i/>
              </w:rPr>
            </w:pPr>
            <w:r>
              <w:rPr>
                <w:rFonts w:hint="eastAsia"/>
                <w:i/>
              </w:rPr>
              <w:t>L</w:t>
            </w:r>
            <w:r>
              <w:rPr>
                <w:i/>
                <w:vertAlign w:val="subscript"/>
              </w:rPr>
              <w:t>2</w:t>
            </w:r>
          </w:p>
        </w:tc>
        <w:tc>
          <w:tcPr>
            <w:tcW w:w="4537" w:type="dxa"/>
            <w:shd w:val="clear" w:color="auto" w:fill="auto"/>
            <w:vAlign w:val="center"/>
          </w:tcPr>
          <w:p>
            <w:pPr>
              <w:spacing w:line="240" w:lineRule="auto"/>
              <w:ind w:firstLine="0" w:firstLineChars="0"/>
              <w:jc w:val="center"/>
              <w:rPr>
                <w:rFonts w:cs="Times New Roman"/>
                <w:color w:val="000000"/>
                <w:szCs w:val="28"/>
              </w:rPr>
            </w:pPr>
            <w:r>
              <w:rPr>
                <w:rFonts w:hint="eastAsia" w:cs="Times New Roman"/>
                <w:color w:val="000000"/>
                <w:szCs w:val="28"/>
              </w:rPr>
              <w:t>22.5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4537" w:type="dxa"/>
            <w:shd w:val="clear" w:color="auto" w:fill="auto"/>
            <w:vAlign w:val="center"/>
          </w:tcPr>
          <w:p>
            <w:pPr>
              <w:spacing w:line="240" w:lineRule="auto"/>
              <w:ind w:firstLine="0" w:firstLineChars="0"/>
              <w:jc w:val="center"/>
              <w:rPr>
                <w:i/>
              </w:rPr>
            </w:pPr>
            <w:r>
              <w:rPr>
                <w:rFonts w:hint="eastAsia"/>
                <w:i/>
              </w:rPr>
              <w:t>L</w:t>
            </w:r>
            <w:r>
              <w:rPr>
                <w:i/>
                <w:vertAlign w:val="subscript"/>
              </w:rPr>
              <w:t>3</w:t>
            </w:r>
          </w:p>
        </w:tc>
        <w:tc>
          <w:tcPr>
            <w:tcW w:w="4537" w:type="dxa"/>
            <w:shd w:val="clear" w:color="auto" w:fill="auto"/>
            <w:vAlign w:val="center"/>
          </w:tcPr>
          <w:p>
            <w:pPr>
              <w:spacing w:line="240" w:lineRule="auto"/>
              <w:ind w:firstLine="0" w:firstLineChars="0"/>
              <w:jc w:val="center"/>
              <w:rPr>
                <w:rFonts w:cs="Times New Roman"/>
                <w:color w:val="000000"/>
                <w:szCs w:val="28"/>
              </w:rPr>
            </w:pPr>
            <w:r>
              <w:rPr>
                <w:rFonts w:hint="eastAsia" w:cs="Times New Roman"/>
                <w:color w:val="000000"/>
                <w:szCs w:val="28"/>
              </w:rPr>
              <w:t>23.6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4537" w:type="dxa"/>
            <w:shd w:val="clear" w:color="auto" w:fill="auto"/>
            <w:vAlign w:val="center"/>
          </w:tcPr>
          <w:p>
            <w:pPr>
              <w:spacing w:line="240" w:lineRule="auto"/>
              <w:ind w:firstLine="0" w:firstLineChars="0"/>
              <w:jc w:val="center"/>
              <w:rPr>
                <w:i/>
              </w:rPr>
            </w:pPr>
            <w:r>
              <w:rPr>
                <w:rFonts w:hint="eastAsia"/>
                <w:i/>
              </w:rPr>
              <w:t>L</w:t>
            </w:r>
            <w:r>
              <w:rPr>
                <w:i/>
                <w:vertAlign w:val="subscript"/>
              </w:rPr>
              <w:t>4</w:t>
            </w:r>
          </w:p>
        </w:tc>
        <w:tc>
          <w:tcPr>
            <w:tcW w:w="4537" w:type="dxa"/>
            <w:shd w:val="clear" w:color="auto" w:fill="auto"/>
            <w:vAlign w:val="center"/>
          </w:tcPr>
          <w:p>
            <w:pPr>
              <w:spacing w:line="240" w:lineRule="auto"/>
              <w:ind w:firstLine="0" w:firstLineChars="0"/>
              <w:jc w:val="center"/>
              <w:rPr>
                <w:rFonts w:cs="Times New Roman"/>
                <w:color w:val="000000"/>
                <w:szCs w:val="28"/>
              </w:rPr>
            </w:pPr>
            <w:r>
              <w:rPr>
                <w:rFonts w:hint="eastAsia" w:cs="Times New Roman"/>
                <w:color w:val="000000"/>
                <w:szCs w:val="28"/>
              </w:rPr>
              <w:t>23.7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4537" w:type="dxa"/>
            <w:shd w:val="clear" w:color="auto" w:fill="auto"/>
            <w:vAlign w:val="center"/>
          </w:tcPr>
          <w:p>
            <w:pPr>
              <w:spacing w:line="240" w:lineRule="auto"/>
              <w:ind w:firstLine="0" w:firstLineChars="0"/>
              <w:jc w:val="center"/>
              <w:rPr>
                <w:i/>
              </w:rPr>
            </w:pPr>
            <w:r>
              <w:rPr>
                <w:rFonts w:hint="eastAsia"/>
                <w:i/>
              </w:rPr>
              <w:t>L</w:t>
            </w:r>
            <w:r>
              <w:rPr>
                <w:i/>
                <w:vertAlign w:val="subscript"/>
              </w:rPr>
              <w:t>5</w:t>
            </w:r>
          </w:p>
        </w:tc>
        <w:tc>
          <w:tcPr>
            <w:tcW w:w="4537" w:type="dxa"/>
            <w:shd w:val="clear" w:color="auto" w:fill="auto"/>
            <w:vAlign w:val="center"/>
          </w:tcPr>
          <w:p>
            <w:pPr>
              <w:spacing w:line="240" w:lineRule="auto"/>
              <w:ind w:firstLine="0" w:firstLineChars="0"/>
              <w:jc w:val="center"/>
              <w:rPr>
                <w:rFonts w:cs="Times New Roman"/>
                <w:color w:val="000000"/>
                <w:szCs w:val="28"/>
              </w:rPr>
            </w:pPr>
            <w:r>
              <w:rPr>
                <w:rFonts w:hint="eastAsia" w:cs="Times New Roman"/>
                <w:color w:val="000000"/>
                <w:szCs w:val="28"/>
              </w:rPr>
              <w:t>22.2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4537" w:type="dxa"/>
            <w:shd w:val="clear" w:color="auto" w:fill="auto"/>
            <w:vAlign w:val="center"/>
          </w:tcPr>
          <w:p>
            <w:pPr>
              <w:spacing w:line="240" w:lineRule="auto"/>
              <w:ind w:firstLine="0" w:firstLineChars="0"/>
              <w:jc w:val="center"/>
              <w:rPr>
                <w:i/>
              </w:rPr>
            </w:pPr>
            <w:r>
              <w:rPr>
                <w:rFonts w:hint="eastAsia"/>
                <w:i/>
              </w:rPr>
              <w:t>L</w:t>
            </w:r>
            <w:r>
              <w:rPr>
                <w:i/>
                <w:vertAlign w:val="subscript"/>
              </w:rPr>
              <w:t>6</w:t>
            </w:r>
          </w:p>
        </w:tc>
        <w:tc>
          <w:tcPr>
            <w:tcW w:w="4537" w:type="dxa"/>
            <w:shd w:val="clear" w:color="auto" w:fill="auto"/>
            <w:vAlign w:val="center"/>
          </w:tcPr>
          <w:p>
            <w:pPr>
              <w:spacing w:line="240" w:lineRule="auto"/>
              <w:ind w:firstLine="0" w:firstLineChars="0"/>
              <w:jc w:val="center"/>
              <w:rPr>
                <w:rFonts w:cs="Times New Roman"/>
                <w:color w:val="000000"/>
                <w:szCs w:val="28"/>
              </w:rPr>
            </w:pPr>
            <w:r>
              <w:rPr>
                <w:rFonts w:hint="eastAsia" w:cs="Times New Roman"/>
                <w:color w:val="000000"/>
                <w:szCs w:val="28"/>
              </w:rPr>
              <w:t>23.3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4537" w:type="dxa"/>
            <w:shd w:val="clear" w:color="auto" w:fill="auto"/>
            <w:vAlign w:val="center"/>
          </w:tcPr>
          <w:p>
            <w:pPr>
              <w:spacing w:line="240" w:lineRule="auto"/>
              <w:ind w:firstLine="0" w:firstLineChars="0"/>
              <w:jc w:val="center"/>
              <w:rPr>
                <w:i/>
              </w:rPr>
            </w:pPr>
            <w:r>
              <w:rPr>
                <w:rFonts w:hint="eastAsia"/>
                <w:i/>
              </w:rPr>
              <w:t>L</w:t>
            </w:r>
            <w:r>
              <w:rPr>
                <w:i/>
                <w:vertAlign w:val="subscript"/>
              </w:rPr>
              <w:t>7</w:t>
            </w:r>
          </w:p>
        </w:tc>
        <w:tc>
          <w:tcPr>
            <w:tcW w:w="4537" w:type="dxa"/>
            <w:shd w:val="clear" w:color="auto" w:fill="auto"/>
            <w:vAlign w:val="center"/>
          </w:tcPr>
          <w:p>
            <w:pPr>
              <w:spacing w:line="240" w:lineRule="auto"/>
              <w:ind w:firstLine="0" w:firstLineChars="0"/>
              <w:jc w:val="center"/>
              <w:rPr>
                <w:rFonts w:cs="Times New Roman"/>
                <w:color w:val="000000"/>
                <w:szCs w:val="28"/>
              </w:rPr>
            </w:pPr>
            <w:r>
              <w:rPr>
                <w:rFonts w:hint="eastAsia" w:cs="Times New Roman"/>
                <w:color w:val="000000"/>
                <w:szCs w:val="28"/>
              </w:rPr>
              <w:t>22.7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4537" w:type="dxa"/>
            <w:shd w:val="clear" w:color="auto" w:fill="auto"/>
            <w:vAlign w:val="center"/>
          </w:tcPr>
          <w:p>
            <w:pPr>
              <w:spacing w:line="240" w:lineRule="auto"/>
              <w:ind w:firstLine="0" w:firstLineChars="0"/>
              <w:jc w:val="center"/>
              <w:rPr>
                <w:i/>
              </w:rPr>
            </w:pPr>
            <w:r>
              <w:rPr>
                <w:rFonts w:hint="eastAsia"/>
                <w:i/>
              </w:rPr>
              <w:t>L</w:t>
            </w:r>
            <w:r>
              <w:rPr>
                <w:i/>
                <w:vertAlign w:val="subscript"/>
              </w:rPr>
              <w:t>8</w:t>
            </w:r>
          </w:p>
        </w:tc>
        <w:tc>
          <w:tcPr>
            <w:tcW w:w="4537" w:type="dxa"/>
            <w:shd w:val="clear" w:color="auto" w:fill="auto"/>
            <w:vAlign w:val="center"/>
          </w:tcPr>
          <w:p>
            <w:pPr>
              <w:spacing w:line="240" w:lineRule="auto"/>
              <w:ind w:firstLine="0" w:firstLineChars="0"/>
              <w:jc w:val="center"/>
              <w:rPr>
                <w:rFonts w:cs="Times New Roman"/>
                <w:color w:val="000000"/>
                <w:szCs w:val="28"/>
              </w:rPr>
            </w:pPr>
            <w:r>
              <w:rPr>
                <w:rFonts w:hint="eastAsia" w:cs="Times New Roman"/>
                <w:color w:val="000000"/>
                <w:szCs w:val="28"/>
              </w:rPr>
              <w:t>22.7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4537" w:type="dxa"/>
            <w:shd w:val="clear" w:color="auto" w:fill="auto"/>
            <w:vAlign w:val="center"/>
          </w:tcPr>
          <w:p>
            <w:pPr>
              <w:spacing w:line="240" w:lineRule="auto"/>
              <w:ind w:firstLine="0" w:firstLineChars="0"/>
              <w:jc w:val="center"/>
              <w:rPr>
                <w:i/>
              </w:rPr>
            </w:pPr>
            <w:r>
              <w:rPr>
                <w:rFonts w:hint="eastAsia"/>
                <w:i/>
              </w:rPr>
              <w:t>L</w:t>
            </w:r>
            <w:r>
              <w:rPr>
                <w:i/>
                <w:vertAlign w:val="subscript"/>
              </w:rPr>
              <w:t>9</w:t>
            </w:r>
          </w:p>
        </w:tc>
        <w:tc>
          <w:tcPr>
            <w:tcW w:w="4537" w:type="dxa"/>
            <w:shd w:val="clear" w:color="auto" w:fill="auto"/>
            <w:vAlign w:val="center"/>
          </w:tcPr>
          <w:p>
            <w:pPr>
              <w:spacing w:line="240" w:lineRule="auto"/>
              <w:ind w:firstLine="0" w:firstLineChars="0"/>
              <w:jc w:val="center"/>
              <w:rPr>
                <w:rFonts w:cs="Times New Roman"/>
                <w:color w:val="000000"/>
                <w:szCs w:val="28"/>
              </w:rPr>
            </w:pPr>
            <w:r>
              <w:rPr>
                <w:rFonts w:hint="eastAsia" w:cs="Times New Roman"/>
                <w:color w:val="000000"/>
                <w:szCs w:val="28"/>
              </w:rPr>
              <w:t>22.6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4537" w:type="dxa"/>
            <w:shd w:val="clear" w:color="auto" w:fill="auto"/>
            <w:vAlign w:val="center"/>
          </w:tcPr>
          <w:p>
            <w:pPr>
              <w:spacing w:line="240" w:lineRule="auto"/>
              <w:ind w:firstLine="0" w:firstLineChars="0"/>
              <w:jc w:val="center"/>
              <w:rPr>
                <w:i/>
              </w:rPr>
            </w:pPr>
            <w:r>
              <w:rPr>
                <w:rFonts w:hint="eastAsia"/>
                <w:i/>
              </w:rPr>
              <w:t>L</w:t>
            </w:r>
            <w:r>
              <w:rPr>
                <w:i/>
                <w:vertAlign w:val="subscript"/>
              </w:rPr>
              <w:t>10</w:t>
            </w:r>
          </w:p>
        </w:tc>
        <w:tc>
          <w:tcPr>
            <w:tcW w:w="4537" w:type="dxa"/>
            <w:shd w:val="clear" w:color="auto" w:fill="auto"/>
            <w:vAlign w:val="center"/>
          </w:tcPr>
          <w:p>
            <w:pPr>
              <w:spacing w:line="240" w:lineRule="auto"/>
              <w:ind w:firstLine="0" w:firstLineChars="0"/>
              <w:jc w:val="center"/>
              <w:rPr>
                <w:rFonts w:cs="Times New Roman"/>
                <w:color w:val="000000"/>
                <w:szCs w:val="28"/>
              </w:rPr>
            </w:pPr>
            <w:r>
              <w:rPr>
                <w:rFonts w:hint="eastAsia" w:cs="Times New Roman"/>
                <w:color w:val="000000"/>
                <w:szCs w:val="28"/>
              </w:rPr>
              <w:t>22.6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4537" w:type="dxa"/>
            <w:shd w:val="clear" w:color="auto" w:fill="auto"/>
            <w:vAlign w:val="center"/>
          </w:tcPr>
          <w:p>
            <w:pPr>
              <w:spacing w:line="240" w:lineRule="auto"/>
              <w:ind w:firstLine="0" w:firstLineChars="0"/>
              <w:jc w:val="center"/>
            </w:pPr>
            <m:oMathPara>
              <m:oMath>
                <m:acc>
                  <m:accPr>
                    <m:chr m:val="̅"/>
                    <m:ctrlPr>
                      <w:rPr>
                        <w:rFonts w:ascii="Cambria Math" w:hAnsi="Cambria Math"/>
                      </w:rPr>
                    </m:ctrlPr>
                  </m:accPr>
                  <m:e>
                    <m:r>
                      <w:rPr>
                        <w:rFonts w:ascii="Cambria Math" w:hAnsi="Cambria Math"/>
                      </w:rPr>
                      <m:t>L</m:t>
                    </m:r>
                    <m:ctrlPr>
                      <w:rPr>
                        <w:rFonts w:ascii="Cambria Math" w:hAnsi="Cambria Math"/>
                      </w:rPr>
                    </m:ctrlPr>
                  </m:e>
                </m:acc>
              </m:oMath>
            </m:oMathPara>
          </w:p>
        </w:tc>
        <w:tc>
          <w:tcPr>
            <w:tcW w:w="4537" w:type="dxa"/>
            <w:shd w:val="clear" w:color="auto" w:fill="auto"/>
            <w:vAlign w:val="center"/>
          </w:tcPr>
          <w:p>
            <w:pPr>
              <w:spacing w:line="240" w:lineRule="auto"/>
              <w:ind w:firstLine="0" w:firstLineChars="0"/>
              <w:jc w:val="center"/>
            </w:pPr>
            <w:r>
              <w:rPr>
                <w:rFonts w:hint="eastAsia"/>
              </w:rPr>
              <w:t>22.86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4537" w:type="dxa"/>
            <w:shd w:val="clear" w:color="auto" w:fill="auto"/>
            <w:vAlign w:val="center"/>
          </w:tcPr>
          <w:p>
            <w:pPr>
              <w:spacing w:line="240" w:lineRule="auto"/>
              <w:ind w:firstLine="0" w:firstLineChars="0"/>
              <w:jc w:val="center"/>
              <w:rPr>
                <w:rFonts w:cs="Times New Roman" w:eastAsiaTheme="minorEastAsia"/>
                <w:i/>
              </w:rPr>
            </w:pPr>
            <w:r>
              <w:rPr>
                <w:rFonts w:hint="eastAsia" w:cs="Times New Roman" w:eastAsiaTheme="minorEastAsia"/>
                <w:i/>
              </w:rPr>
              <w:t>S</w:t>
            </w:r>
          </w:p>
        </w:tc>
        <w:tc>
          <w:tcPr>
            <w:tcW w:w="4537" w:type="dxa"/>
            <w:shd w:val="clear" w:color="auto" w:fill="auto"/>
            <w:vAlign w:val="center"/>
          </w:tcPr>
          <w:p>
            <w:pPr>
              <w:spacing w:line="240" w:lineRule="auto"/>
              <w:ind w:firstLine="0" w:firstLineChars="0"/>
              <w:jc w:val="center"/>
            </w:pPr>
            <w:r>
              <w:rPr>
                <w:rFonts w:hint="eastAsia"/>
              </w:rPr>
              <w:t>0.4971</w:t>
            </w:r>
          </w:p>
        </w:tc>
      </w:tr>
    </w:tbl>
    <w:p>
      <w:pPr>
        <w:spacing w:before="156" w:beforeLines="50" w:line="240" w:lineRule="auto"/>
        <w:ind w:firstLine="0" w:firstLineChars="0"/>
        <w:jc w:val="center"/>
      </w:pPr>
      <m:oMath>
        <m:sSub>
          <m:sSubPr>
            <m:ctrlPr>
              <w:rPr>
                <w:rFonts w:ascii="Cambria Math" w:hAnsi="Cambria Math"/>
                <w:i/>
              </w:rPr>
            </m:ctrlPr>
          </m:sSubPr>
          <m:e>
            <m:r>
              <w:rPr>
                <w:rFonts w:ascii="Cambria Math" w:hAnsi="Cambria Math"/>
              </w:rPr>
              <m:t>u</m:t>
            </m:r>
            <m:ctrlPr>
              <w:rPr>
                <w:rFonts w:ascii="Cambria Math" w:hAnsi="Cambria Math"/>
                <w:i/>
              </w:rPr>
            </m:ctrlPr>
          </m:e>
          <m:sub>
            <m:r>
              <w:rPr>
                <w:rFonts w:ascii="Cambria Math" w:hAnsi="Cambria Math"/>
              </w:rPr>
              <m:t>A</m:t>
            </m:r>
            <m:ctrlPr>
              <w:rPr>
                <w:rFonts w:ascii="Cambria Math" w:hAnsi="Cambria Math"/>
                <w:i/>
              </w:rPr>
            </m:ctrlPr>
          </m:sub>
        </m:sSub>
        <m:r>
          <w:rPr>
            <w:rFonts w:ascii="Cambria Math" w:hAnsi="Cambria Math"/>
          </w:rPr>
          <m:t>=s=</m:t>
        </m:r>
      </m:oMath>
      <w:r>
        <w:rPr>
          <w:rFonts w:hint="eastAsia"/>
        </w:rPr>
        <w:t>0.50</w:t>
      </w:r>
      <w:r>
        <w:rPr>
          <w:rFonts w:cs="Times New Roman"/>
        </w:rPr>
        <w:t>μm</w:t>
      </w:r>
    </w:p>
    <w:p>
      <w:pPr>
        <w:numPr>
          <w:ilvl w:val="2"/>
          <w:numId w:val="2"/>
        </w:numPr>
        <w:ind w:firstLineChars="0"/>
        <w:rPr>
          <w:rFonts w:cs="Times New Roman"/>
        </w:rPr>
      </w:pPr>
      <w:r>
        <w:rPr>
          <w:rFonts w:hint="eastAsia" w:cs="Times New Roman"/>
        </w:rPr>
        <w:t>由涂层测厚仪最大允许误差引入的标准不确定度分量</w:t>
      </w:r>
      <m:oMath>
        <m:sSub>
          <m:sSubPr>
            <m:ctrlPr>
              <w:rPr>
                <w:rFonts w:ascii="Cambria Math" w:hAnsi="Cambria Math" w:cs="Times New Roman"/>
              </w:rPr>
            </m:ctrlPr>
          </m:sSubPr>
          <m:e>
            <m:r>
              <w:rPr>
                <w:rFonts w:ascii="Cambria Math" w:hAnsi="Cambria Math" w:cs="Times New Roman"/>
              </w:rPr>
              <m:t>u</m:t>
            </m:r>
            <m:ctrlPr>
              <w:rPr>
                <w:rFonts w:ascii="Cambria Math" w:hAnsi="Cambria Math" w:cs="Times New Roman"/>
              </w:rPr>
            </m:ctrlPr>
          </m:e>
          <m:sub>
            <m:r>
              <w:rPr>
                <w:rFonts w:ascii="Cambria Math" w:hAnsi="Cambria Math" w:cs="Times New Roman"/>
              </w:rPr>
              <m:t>B</m:t>
            </m:r>
            <m:ctrlPr>
              <w:rPr>
                <w:rFonts w:ascii="Cambria Math" w:hAnsi="Cambria Math" w:cs="Times New Roman"/>
              </w:rPr>
            </m:ctrlPr>
          </m:sub>
        </m:sSub>
      </m:oMath>
    </w:p>
    <w:p>
      <w:pPr>
        <w:rPr>
          <w:rFonts w:cs="Times New Roman"/>
        </w:rPr>
      </w:pPr>
      <w:r>
        <w:rPr>
          <w:rFonts w:hint="eastAsia"/>
        </w:rPr>
        <w:t>经检定合格的涂层测厚仪最大允许误差为±</w:t>
      </w:r>
      <w:r>
        <w:t>(1+3%H)，</w:t>
      </w:r>
      <w:r>
        <w:rPr>
          <w:rFonts w:hint="eastAsia" w:cs="Times New Roman"/>
        </w:rPr>
        <w:t>置信区间半宽则为</w:t>
      </w:r>
      <w:r>
        <w:rPr>
          <w:rFonts w:hint="eastAsia" w:cs="Times New Roman"/>
          <w:i/>
        </w:rPr>
        <w:t>a=</w:t>
      </w:r>
      <w:r>
        <w:t>(1+3%</w:t>
      </w:r>
      <w:r>
        <w:rPr>
          <w:rFonts w:hint="eastAsia" w:ascii="宋体" w:hAnsi="宋体"/>
        </w:rPr>
        <w:t>×</w:t>
      </w:r>
      <w:r>
        <w:rPr>
          <w:rFonts w:hint="eastAsia"/>
        </w:rPr>
        <w:t>22.86</w:t>
      </w:r>
      <w:r>
        <w:t>)=</w:t>
      </w:r>
      <w:r>
        <w:rPr>
          <w:rFonts w:hint="eastAsia" w:cs="Times New Roman"/>
        </w:rPr>
        <w:t>1.6858</w:t>
      </w:r>
      <w:r>
        <w:rPr>
          <w:rFonts w:cs="Times New Roman"/>
        </w:rPr>
        <w:t>μm</w:t>
      </w:r>
      <w:r>
        <w:rPr>
          <w:rFonts w:hint="eastAsia" w:cs="Times New Roman"/>
        </w:rPr>
        <w:t>，在区间内均匀分布，</w:t>
      </w:r>
      <w:r>
        <w:rPr>
          <w:rFonts w:hint="eastAsia" w:cs="Times New Roman"/>
          <w:i/>
        </w:rPr>
        <w:t>k</w:t>
      </w:r>
      <w:r>
        <w:rPr>
          <w:rFonts w:hint="eastAsia" w:cs="Times New Roman"/>
        </w:rPr>
        <w:t>=</w:t>
      </w:r>
      <m:oMath>
        <m:rad>
          <m:radPr>
            <m:degHide m:val="1"/>
            <m:ctrlPr>
              <w:rPr>
                <w:rFonts w:ascii="Cambria Math" w:hAnsi="Cambria Math" w:cs="Times New Roman"/>
              </w:rPr>
            </m:ctrlPr>
          </m:radPr>
          <m:deg>
            <m:ctrlPr>
              <w:rPr>
                <w:rFonts w:ascii="Cambria Math" w:hAnsi="Cambria Math" w:cs="Times New Roman"/>
              </w:rPr>
            </m:ctrlPr>
          </m:deg>
          <m:e>
            <m:r>
              <m:rPr>
                <m:sty m:val="p"/>
              </m:rPr>
              <w:rPr>
                <w:rFonts w:ascii="Cambria Math" w:hAnsi="Cambria Math" w:cs="Times New Roman"/>
              </w:rPr>
              <m:t>3</m:t>
            </m:r>
            <m:ctrlPr>
              <w:rPr>
                <w:rFonts w:ascii="Cambria Math" w:hAnsi="Cambria Math" w:cs="Times New Roman"/>
              </w:rPr>
            </m:ctrlPr>
          </m:e>
        </m:rad>
      </m:oMath>
      <w:r>
        <w:rPr>
          <w:rFonts w:hint="eastAsia" w:cs="Times New Roman"/>
        </w:rPr>
        <w:t>。则由涂层测厚仪最大允许误差引入的不确定度分量为：</w:t>
      </w:r>
    </w:p>
    <w:p>
      <w:pPr>
        <w:spacing w:line="240" w:lineRule="auto"/>
        <w:ind w:firstLine="0" w:firstLineChars="0"/>
        <w:rPr>
          <w:rFonts w:cs="Times New Roman"/>
        </w:rPr>
      </w:pPr>
      <m:oMathPara>
        <m:oMath>
          <m:sSub>
            <m:sSubPr>
              <m:ctrlPr>
                <w:rPr>
                  <w:rFonts w:ascii="Cambria Math" w:hAnsi="Cambria Math"/>
                  <w:i/>
                </w:rPr>
              </m:ctrlPr>
            </m:sSubPr>
            <m:e>
              <m:r>
                <w:rPr>
                  <w:rFonts w:ascii="Cambria Math" w:hAnsi="Cambria Math"/>
                </w:rPr>
                <m:t>u</m:t>
              </m:r>
              <m:ctrlPr>
                <w:rPr>
                  <w:rFonts w:ascii="Cambria Math" w:hAnsi="Cambria Math"/>
                  <w:i/>
                </w:rPr>
              </m:ctrlPr>
            </m:e>
            <m:sub>
              <m:r>
                <w:rPr>
                  <w:rFonts w:ascii="Cambria Math" w:hAnsi="Cambria Math"/>
                </w:rPr>
                <m:t>B</m:t>
              </m:r>
              <m:ctrlPr>
                <w:rPr>
                  <w:rFonts w:ascii="Cambria Math" w:hAnsi="Cambria Math"/>
                  <w:i/>
                </w:rPr>
              </m:ctrlPr>
            </m:sub>
          </m:sSub>
          <m:r>
            <w:rPr>
              <w:rFonts w:hint="eastAsia" w:ascii="Cambria Math" w:hAnsi="Cambria Math"/>
            </w:rPr>
            <m:t>=</m:t>
          </m:r>
          <m:f>
            <m:fPr>
              <m:ctrlPr>
                <w:rPr>
                  <w:rFonts w:ascii="Cambria Math" w:hAnsi="Cambria Math"/>
                  <w:i/>
                </w:rPr>
              </m:ctrlPr>
            </m:fPr>
            <m:num>
              <m:r>
                <w:rPr>
                  <w:rFonts w:ascii="Cambria Math" w:hAnsi="Cambria Math"/>
                </w:rPr>
                <m:t>a</m:t>
              </m:r>
              <m:ctrlPr>
                <w:rPr>
                  <w:rFonts w:ascii="Cambria Math" w:hAnsi="Cambria Math"/>
                  <w:i/>
                </w:rPr>
              </m:ctrlPr>
            </m:num>
            <m:den>
              <m:rad>
                <m:radPr>
                  <m:degHide m:val="1"/>
                  <m:ctrlPr>
                    <w:rPr>
                      <w:rFonts w:ascii="Cambria Math" w:hAnsi="Cambria Math"/>
                      <w:i/>
                    </w:rPr>
                  </m:ctrlPr>
                </m:radPr>
                <m:deg>
                  <m:ctrlPr>
                    <w:rPr>
                      <w:rFonts w:ascii="Cambria Math" w:hAnsi="Cambria Math"/>
                      <w:i/>
                    </w:rPr>
                  </m:ctrlPr>
                </m:deg>
                <m:e>
                  <m:r>
                    <w:rPr>
                      <w:rFonts w:ascii="Cambria Math" w:hAnsi="Cambria Math"/>
                    </w:rPr>
                    <m:t>3</m:t>
                  </m:r>
                  <m:ctrlPr>
                    <w:rPr>
                      <w:rFonts w:ascii="Cambria Math" w:hAnsi="Cambria Math"/>
                      <w:i/>
                    </w:rPr>
                  </m:ctrlPr>
                </m:e>
              </m:rad>
              <m:ctrlPr>
                <w:rPr>
                  <w:rFonts w:ascii="Cambria Math" w:hAnsi="Cambria Math"/>
                  <w:i/>
                </w:rPr>
              </m:ctrlPr>
            </m:den>
          </m:f>
          <m:r>
            <m:rPr>
              <m:sty m:val="p"/>
            </m:rPr>
            <w:rPr>
              <w:rFonts w:ascii="Cambria Math" w:hAnsi="Cambria Math" w:cs="Times New Roman"/>
            </w:rPr>
            <m:t>=</m:t>
          </m:r>
          <m:f>
            <m:fPr>
              <m:ctrlPr>
                <w:rPr>
                  <w:rFonts w:ascii="Cambria Math" w:hAnsi="Cambria Math" w:cs="Times New Roman"/>
                </w:rPr>
              </m:ctrlPr>
            </m:fPr>
            <m:num>
              <m:r>
                <w:rPr>
                  <w:rFonts w:ascii="Cambria Math" w:hAnsi="Cambria Math" w:cs="Times New Roman"/>
                </w:rPr>
                <m:t>1.6858</m:t>
              </m:r>
              <m:ctrlPr>
                <w:rPr>
                  <w:rFonts w:ascii="Cambria Math" w:hAnsi="Cambria Math" w:cs="Times New Roman"/>
                </w:rPr>
              </m:ctrlPr>
            </m:num>
            <m:den>
              <m:rad>
                <m:radPr>
                  <m:degHide m:val="1"/>
                  <m:ctrlPr>
                    <w:rPr>
                      <w:rFonts w:ascii="Cambria Math" w:hAnsi="Cambria Math" w:cs="Times New Roman"/>
                      <w:i/>
                    </w:rPr>
                  </m:ctrlPr>
                </m:radPr>
                <m:deg>
                  <m:ctrlPr>
                    <w:rPr>
                      <w:rFonts w:ascii="Cambria Math" w:hAnsi="Cambria Math" w:cs="Times New Roman"/>
                      <w:i/>
                    </w:rPr>
                  </m:ctrlPr>
                </m:deg>
                <m:e>
                  <m:r>
                    <w:rPr>
                      <w:rFonts w:ascii="Cambria Math" w:hAnsi="Cambria Math" w:cs="Times New Roman"/>
                    </w:rPr>
                    <m:t>3</m:t>
                  </m:r>
                  <m:ctrlPr>
                    <w:rPr>
                      <w:rFonts w:ascii="Cambria Math" w:hAnsi="Cambria Math" w:cs="Times New Roman"/>
                      <w:i/>
                    </w:rPr>
                  </m:ctrlPr>
                </m:e>
              </m:rad>
              <m:ctrlPr>
                <w:rPr>
                  <w:rFonts w:ascii="Cambria Math" w:hAnsi="Cambria Math" w:cs="Times New Roman"/>
                </w:rPr>
              </m:ctrlPr>
            </m:den>
          </m:f>
          <m:r>
            <w:rPr>
              <w:rFonts w:ascii="Cambria Math" w:hAnsi="Cambria Math" w:cs="Times New Roman"/>
            </w:rPr>
            <m:t>=0.97</m:t>
          </m:r>
          <m:r>
            <m:rPr>
              <m:sty m:val="p"/>
            </m:rPr>
            <w:rPr>
              <w:rFonts w:ascii="Cambria Math" w:hAnsi="Cambria Math" w:cs="Times New Roman"/>
            </w:rPr>
            <m:t>μm</m:t>
          </m:r>
        </m:oMath>
      </m:oMathPara>
    </w:p>
    <w:p>
      <w:pPr>
        <w:pStyle w:val="3"/>
        <w:numPr>
          <w:ilvl w:val="1"/>
          <w:numId w:val="2"/>
        </w:numPr>
        <w:ind w:left="426" w:firstLineChars="0"/>
      </w:pPr>
      <w:r>
        <w:rPr>
          <w:rFonts w:hint="eastAsia"/>
        </w:rPr>
        <w:t>合成标准不确定度</w:t>
      </w:r>
    </w:p>
    <w:p>
      <w:r>
        <w:rPr>
          <w:rFonts w:hint="eastAsia"/>
        </w:rPr>
        <w:t>标准不确定度分量汇总表见表</w:t>
      </w:r>
      <w:r>
        <w:t>C</w:t>
      </w:r>
      <w:r>
        <w:rPr>
          <w:rFonts w:hint="eastAsia"/>
        </w:rPr>
        <w:t>.2。</w:t>
      </w:r>
    </w:p>
    <w:p>
      <w:pPr>
        <w:pStyle w:val="53"/>
      </w:pPr>
      <w:r>
        <w:rPr>
          <w:rFonts w:hint="eastAsia"/>
        </w:rPr>
        <w:t>表</w:t>
      </w:r>
      <w:r>
        <w:t>C</w:t>
      </w:r>
      <w:r>
        <w:rPr>
          <w:rFonts w:hint="eastAsia"/>
        </w:rPr>
        <w:t>.2</w:t>
      </w:r>
      <w:r>
        <w:t xml:space="preserve">  </w:t>
      </w:r>
      <w:r>
        <w:rPr>
          <w:rFonts w:hint="eastAsia"/>
        </w:rPr>
        <w:t>标准不确定度分量汇总表</w:t>
      </w:r>
    </w:p>
    <w:tbl>
      <w:tblPr>
        <w:tblStyle w:val="16"/>
        <w:tblW w:w="847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1956"/>
        <w:gridCol w:w="1984"/>
        <w:gridCol w:w="1843"/>
        <w:gridCol w:w="19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jc w:val="center"/>
        </w:trPr>
        <w:tc>
          <w:tcPr>
            <w:tcW w:w="704" w:type="dxa"/>
            <w:vAlign w:val="center"/>
          </w:tcPr>
          <w:p>
            <w:pPr>
              <w:pStyle w:val="54"/>
              <w:spacing w:line="400" w:lineRule="exact"/>
              <w:ind w:left="-120" w:leftChars="-50" w:right="-120" w:rightChars="-50"/>
              <w:rPr>
                <w:rFonts w:cs="Times New Roman"/>
              </w:rPr>
            </w:pPr>
            <w:r>
              <w:rPr>
                <w:rFonts w:cs="Times New Roman"/>
              </w:rPr>
              <w:t>序号</w:t>
            </w:r>
          </w:p>
        </w:tc>
        <w:tc>
          <w:tcPr>
            <w:tcW w:w="1956" w:type="dxa"/>
            <w:vAlign w:val="center"/>
          </w:tcPr>
          <w:p>
            <w:pPr>
              <w:pStyle w:val="54"/>
              <w:spacing w:line="400" w:lineRule="exact"/>
              <w:ind w:left="-120" w:leftChars="-50" w:right="-120" w:rightChars="-50"/>
              <w:rPr>
                <w:rFonts w:cs="Times New Roman"/>
              </w:rPr>
            </w:pPr>
            <w:r>
              <w:rPr>
                <w:rFonts w:cs="Times New Roman"/>
              </w:rPr>
              <w:t>标准不确定度分量</w:t>
            </w:r>
          </w:p>
          <w:p>
            <w:pPr>
              <w:pStyle w:val="54"/>
              <w:spacing w:line="400" w:lineRule="exact"/>
              <w:ind w:left="-120" w:leftChars="-50" w:right="-120" w:rightChars="-50"/>
              <w:rPr>
                <w:rFonts w:cs="Times New Roman"/>
              </w:rPr>
            </w:pPr>
            <m:oMathPara>
              <m:oMath>
                <m:sSub>
                  <m:sSubPr>
                    <m:ctrlPr>
                      <w:rPr>
                        <w:rFonts w:ascii="Cambria Math" w:hAnsi="Cambria Math" w:cs="Times New Roman"/>
                        <w:i/>
                      </w:rPr>
                    </m:ctrlPr>
                  </m:sSubPr>
                  <m:e>
                    <m:r>
                      <w:rPr>
                        <w:rFonts w:ascii="Cambria Math" w:hAnsi="Cambria Math" w:cs="Times New Roman"/>
                      </w:rPr>
                      <m:t>u</m:t>
                    </m:r>
                    <m:ctrlPr>
                      <w:rPr>
                        <w:rFonts w:ascii="Cambria Math" w:hAnsi="Cambria Math" w:cs="Times New Roman"/>
                        <w:i/>
                      </w:rPr>
                    </m:ctrlPr>
                  </m:e>
                  <m:sub>
                    <m:r>
                      <w:rPr>
                        <w:rFonts w:ascii="Cambria Math" w:hAnsi="Cambria Math" w:cs="Times New Roman"/>
                      </w:rPr>
                      <m:t>i</m:t>
                    </m:r>
                    <m:ctrlPr>
                      <w:rPr>
                        <w:rFonts w:ascii="Cambria Math" w:hAnsi="Cambria Math" w:cs="Times New Roman"/>
                        <w:i/>
                      </w:rPr>
                    </m:ctrlPr>
                  </m:sub>
                </m:sSub>
              </m:oMath>
            </m:oMathPara>
          </w:p>
        </w:tc>
        <w:tc>
          <w:tcPr>
            <w:tcW w:w="1984" w:type="dxa"/>
            <w:vAlign w:val="center"/>
          </w:tcPr>
          <w:p>
            <w:pPr>
              <w:pStyle w:val="54"/>
              <w:spacing w:line="400" w:lineRule="exact"/>
              <w:ind w:left="-120" w:leftChars="-50" w:right="-120" w:rightChars="-50"/>
              <w:rPr>
                <w:rFonts w:cs="Times New Roman"/>
              </w:rPr>
            </w:pPr>
            <w:r>
              <w:rPr>
                <w:rFonts w:cs="Times New Roman"/>
              </w:rPr>
              <w:t>不确定度来源</w:t>
            </w:r>
          </w:p>
        </w:tc>
        <w:tc>
          <w:tcPr>
            <w:tcW w:w="1843" w:type="dxa"/>
            <w:vAlign w:val="center"/>
          </w:tcPr>
          <w:p>
            <w:pPr>
              <w:pStyle w:val="54"/>
              <w:spacing w:line="400" w:lineRule="exact"/>
              <w:ind w:left="-120" w:leftChars="-50" w:right="-120" w:rightChars="-50"/>
              <w:rPr>
                <w:rFonts w:cs="Times New Roman"/>
              </w:rPr>
            </w:pPr>
            <w:r>
              <w:rPr>
                <w:rFonts w:cs="Times New Roman"/>
              </w:rPr>
              <w:t>标准不确定值</w:t>
            </w:r>
          </w:p>
          <w:p>
            <w:pPr>
              <w:pStyle w:val="54"/>
              <w:spacing w:line="400" w:lineRule="exact"/>
              <w:ind w:left="-120" w:leftChars="-50" w:right="-120" w:rightChars="-50"/>
              <w:rPr>
                <w:rFonts w:cs="Times New Roman"/>
              </w:rPr>
            </w:pPr>
            <m:oMathPara>
              <m:oMath>
                <m:sSub>
                  <m:sSubPr>
                    <m:ctrlPr>
                      <w:rPr>
                        <w:rFonts w:ascii="Cambria Math" w:hAnsi="Cambria Math" w:cs="Times New Roman"/>
                        <w:i/>
                      </w:rPr>
                    </m:ctrlPr>
                  </m:sSubPr>
                  <m:e>
                    <m:r>
                      <w:rPr>
                        <w:rFonts w:ascii="Cambria Math" w:hAnsi="Cambria Math" w:cs="Times New Roman"/>
                      </w:rPr>
                      <m:t>u</m:t>
                    </m:r>
                    <m:ctrlPr>
                      <w:rPr>
                        <w:rFonts w:ascii="Cambria Math" w:hAnsi="Cambria Math" w:cs="Times New Roman"/>
                        <w:i/>
                      </w:rPr>
                    </m:ctrlPr>
                  </m:e>
                  <m:sub>
                    <m:r>
                      <w:rPr>
                        <w:rFonts w:ascii="Cambria Math" w:hAnsi="Cambria Math" w:cs="Times New Roman"/>
                      </w:rPr>
                      <m:t>i</m:t>
                    </m:r>
                    <m:ctrlPr>
                      <w:rPr>
                        <w:rFonts w:ascii="Cambria Math" w:hAnsi="Cambria Math" w:cs="Times New Roman"/>
                        <w:i/>
                      </w:rPr>
                    </m:ctrlPr>
                  </m:sub>
                </m:sSub>
              </m:oMath>
            </m:oMathPara>
          </w:p>
        </w:tc>
        <w:tc>
          <w:tcPr>
            <w:tcW w:w="1985" w:type="dxa"/>
            <w:vAlign w:val="center"/>
          </w:tcPr>
          <w:p>
            <w:pPr>
              <w:pStyle w:val="54"/>
              <w:spacing w:line="400" w:lineRule="exact"/>
              <w:ind w:left="-120" w:leftChars="-50" w:right="-120" w:rightChars="-50"/>
              <w:rPr>
                <w:rFonts w:cs="Times New Roman"/>
              </w:rPr>
            </w:pPr>
            <w:r>
              <w:rPr>
                <w:rFonts w:cs="Times New Roman"/>
              </w:rPr>
              <w:t>灵敏度系数</w:t>
            </w:r>
          </w:p>
          <w:p>
            <w:pPr>
              <w:pStyle w:val="54"/>
              <w:spacing w:line="400" w:lineRule="exact"/>
              <w:ind w:left="-120" w:leftChars="-50" w:right="-120" w:rightChars="-50"/>
              <w:rPr>
                <w:rFonts w:cs="Times New Roman"/>
              </w:rPr>
            </w:pPr>
            <m:oMathPara>
              <m:oMath>
                <m:sSub>
                  <m:sSubPr>
                    <m:ctrlPr>
                      <w:rPr>
                        <w:rFonts w:ascii="Cambria Math" w:hAnsi="Cambria Math" w:cs="Times New Roman"/>
                        <w:i/>
                      </w:rPr>
                    </m:ctrlPr>
                  </m:sSubPr>
                  <m:e>
                    <m:r>
                      <w:rPr>
                        <w:rFonts w:ascii="Cambria Math" w:hAnsi="Cambria Math" w:cs="Times New Roman"/>
                      </w:rPr>
                      <m:t>c</m:t>
                    </m:r>
                    <m:ctrlPr>
                      <w:rPr>
                        <w:rFonts w:ascii="Cambria Math" w:hAnsi="Cambria Math" w:cs="Times New Roman"/>
                        <w:i/>
                      </w:rPr>
                    </m:ctrlPr>
                  </m:e>
                  <m:sub>
                    <m:r>
                      <w:rPr>
                        <w:rFonts w:ascii="Cambria Math" w:hAnsi="Cambria Math" w:cs="Times New Roman"/>
                      </w:rPr>
                      <m:t>i</m:t>
                    </m:r>
                    <m:ctrlPr>
                      <w:rPr>
                        <w:rFonts w:ascii="Cambria Math" w:hAnsi="Cambria Math" w:cs="Times New Roman"/>
                        <w:i/>
                      </w:rPr>
                    </m:ctrlPr>
                  </m:sub>
                </m:sSub>
              </m:oMath>
            </m:oMathPara>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04" w:type="dxa"/>
            <w:vAlign w:val="center"/>
          </w:tcPr>
          <w:p>
            <w:pPr>
              <w:pStyle w:val="54"/>
              <w:spacing w:line="400" w:lineRule="exact"/>
              <w:ind w:left="-120" w:leftChars="-50" w:right="-120" w:rightChars="-50"/>
              <w:rPr>
                <w:rFonts w:cs="Times New Roman"/>
              </w:rPr>
            </w:pPr>
            <w:r>
              <w:rPr>
                <w:rFonts w:cs="Times New Roman"/>
              </w:rPr>
              <w:t>1</w:t>
            </w:r>
          </w:p>
        </w:tc>
        <w:tc>
          <w:tcPr>
            <w:tcW w:w="1956" w:type="dxa"/>
            <w:vAlign w:val="center"/>
          </w:tcPr>
          <w:p>
            <w:pPr>
              <w:pStyle w:val="54"/>
              <w:spacing w:line="400" w:lineRule="exact"/>
              <w:ind w:left="-120" w:leftChars="-50" w:right="-120" w:rightChars="-50"/>
              <w:rPr>
                <w:rFonts w:cs="Times New Roman"/>
              </w:rPr>
            </w:pPr>
            <m:oMathPara>
              <m:oMath>
                <m:sSub>
                  <m:sSubPr>
                    <m:ctrlPr>
                      <w:rPr>
                        <w:rFonts w:ascii="Cambria Math" w:hAnsi="Cambria Math" w:cs="Times New Roman"/>
                        <w:i/>
                      </w:rPr>
                    </m:ctrlPr>
                  </m:sSubPr>
                  <m:e>
                    <m:r>
                      <w:rPr>
                        <w:rFonts w:ascii="Cambria Math" w:hAnsi="Cambria Math" w:cs="Times New Roman"/>
                      </w:rPr>
                      <m:t>u</m:t>
                    </m:r>
                    <m:ctrlPr>
                      <w:rPr>
                        <w:rFonts w:ascii="Cambria Math" w:hAnsi="Cambria Math" w:cs="Times New Roman"/>
                        <w:i/>
                      </w:rPr>
                    </m:ctrlPr>
                  </m:e>
                  <m:sub>
                    <m:r>
                      <w:rPr>
                        <w:rFonts w:ascii="Cambria Math" w:hAnsi="Cambria Math" w:cs="Times New Roman"/>
                      </w:rPr>
                      <m:t>2</m:t>
                    </m:r>
                    <m:ctrlPr>
                      <w:rPr>
                        <w:rFonts w:ascii="Cambria Math" w:hAnsi="Cambria Math" w:cs="Times New Roman"/>
                        <w:i/>
                      </w:rPr>
                    </m:ctrlPr>
                  </m:sub>
                </m:sSub>
              </m:oMath>
            </m:oMathPara>
          </w:p>
        </w:tc>
        <w:tc>
          <w:tcPr>
            <w:tcW w:w="1984" w:type="dxa"/>
            <w:vAlign w:val="center"/>
          </w:tcPr>
          <w:p>
            <w:pPr>
              <w:pStyle w:val="54"/>
              <w:spacing w:line="400" w:lineRule="exact"/>
              <w:ind w:left="-120" w:leftChars="-50" w:right="-120" w:rightChars="-50"/>
              <w:rPr>
                <w:rFonts w:cs="Times New Roman"/>
              </w:rPr>
            </w:pPr>
            <w:r>
              <w:rPr>
                <w:rFonts w:cs="Times New Roman"/>
              </w:rPr>
              <w:t>测量重复性</w:t>
            </w:r>
          </w:p>
        </w:tc>
        <w:tc>
          <w:tcPr>
            <w:tcW w:w="1843" w:type="dxa"/>
            <w:vAlign w:val="center"/>
          </w:tcPr>
          <w:p>
            <w:pPr>
              <w:ind w:left="-120" w:leftChars="-50" w:right="-120" w:rightChars="-50" w:firstLine="0" w:firstLineChars="0"/>
              <w:jc w:val="center"/>
              <w:rPr>
                <w:rFonts w:cs="Times New Roman"/>
                <w:sz w:val="21"/>
                <w:szCs w:val="21"/>
              </w:rPr>
            </w:pPr>
            <w:r>
              <w:rPr>
                <w:rFonts w:cs="Times New Roman"/>
                <w:sz w:val="21"/>
                <w:szCs w:val="21"/>
              </w:rPr>
              <w:t>0.50</w:t>
            </w:r>
            <m:oMath>
              <m:r>
                <m:rPr>
                  <m:sty m:val="p"/>
                </m:rPr>
                <w:rPr>
                  <w:rFonts w:ascii="Cambria Math" w:hAnsi="Cambria Math" w:cs="Times New Roman"/>
                  <w:sz w:val="21"/>
                  <w:szCs w:val="21"/>
                </w:rPr>
                <m:t>μm</m:t>
              </m:r>
            </m:oMath>
          </w:p>
        </w:tc>
        <w:tc>
          <w:tcPr>
            <w:tcW w:w="1985" w:type="dxa"/>
            <w:vAlign w:val="center"/>
          </w:tcPr>
          <w:p>
            <w:pPr>
              <w:pStyle w:val="54"/>
              <w:spacing w:line="400" w:lineRule="exact"/>
              <w:ind w:left="-120" w:leftChars="-50" w:right="-120" w:rightChars="-50"/>
              <w:rPr>
                <w:rFonts w:cs="Times New Roman"/>
              </w:rPr>
            </w:pPr>
            <w:r>
              <w:rPr>
                <w:rFonts w:cs="Times New Roma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04" w:type="dxa"/>
            <w:vAlign w:val="center"/>
          </w:tcPr>
          <w:p>
            <w:pPr>
              <w:pStyle w:val="54"/>
              <w:spacing w:line="400" w:lineRule="exact"/>
              <w:ind w:left="-120" w:leftChars="-50" w:right="-120" w:rightChars="-50"/>
              <w:rPr>
                <w:rFonts w:cs="Times New Roman"/>
              </w:rPr>
            </w:pPr>
            <w:r>
              <w:rPr>
                <w:rFonts w:cs="Times New Roman"/>
              </w:rPr>
              <w:t>2</w:t>
            </w:r>
          </w:p>
        </w:tc>
        <w:tc>
          <w:tcPr>
            <w:tcW w:w="1956" w:type="dxa"/>
            <w:vAlign w:val="center"/>
          </w:tcPr>
          <w:p>
            <w:pPr>
              <w:pStyle w:val="54"/>
              <w:spacing w:line="400" w:lineRule="exact"/>
              <w:ind w:left="-120" w:leftChars="-50" w:right="-120" w:rightChars="-50"/>
              <w:rPr>
                <w:rFonts w:cs="Times New Roman"/>
              </w:rPr>
            </w:pPr>
            <m:oMathPara>
              <m:oMath>
                <m:sSub>
                  <m:sSubPr>
                    <m:ctrlPr>
                      <w:rPr>
                        <w:rFonts w:ascii="Cambria Math" w:hAnsi="Cambria Math" w:cs="Times New Roman"/>
                        <w:i/>
                      </w:rPr>
                    </m:ctrlPr>
                  </m:sSubPr>
                  <m:e>
                    <m:r>
                      <w:rPr>
                        <w:rFonts w:ascii="Cambria Math" w:hAnsi="Cambria Math" w:cs="Times New Roman"/>
                      </w:rPr>
                      <m:t>u</m:t>
                    </m:r>
                    <m:ctrlPr>
                      <w:rPr>
                        <w:rFonts w:ascii="Cambria Math" w:hAnsi="Cambria Math" w:cs="Times New Roman"/>
                        <w:i/>
                      </w:rPr>
                    </m:ctrlPr>
                  </m:e>
                  <m:sub>
                    <m:r>
                      <w:rPr>
                        <w:rFonts w:ascii="Cambria Math" w:hAnsi="Cambria Math" w:cs="Times New Roman"/>
                      </w:rPr>
                      <m:t>1</m:t>
                    </m:r>
                    <m:ctrlPr>
                      <w:rPr>
                        <w:rFonts w:ascii="Cambria Math" w:hAnsi="Cambria Math" w:cs="Times New Roman"/>
                        <w:i/>
                      </w:rPr>
                    </m:ctrlPr>
                  </m:sub>
                </m:sSub>
              </m:oMath>
            </m:oMathPara>
          </w:p>
        </w:tc>
        <w:tc>
          <w:tcPr>
            <w:tcW w:w="1984" w:type="dxa"/>
            <w:vAlign w:val="center"/>
          </w:tcPr>
          <w:p>
            <w:pPr>
              <w:pStyle w:val="54"/>
              <w:spacing w:line="400" w:lineRule="exact"/>
              <w:ind w:left="-120" w:leftChars="-50" w:right="-120" w:rightChars="-50"/>
              <w:rPr>
                <w:rFonts w:cs="Times New Roman"/>
              </w:rPr>
            </w:pPr>
            <w:r>
              <w:rPr>
                <w:rFonts w:cs="Times New Roman"/>
              </w:rPr>
              <w:t>涂层测厚仪最大允差</w:t>
            </w:r>
          </w:p>
        </w:tc>
        <w:tc>
          <w:tcPr>
            <w:tcW w:w="1843" w:type="dxa"/>
            <w:vAlign w:val="center"/>
          </w:tcPr>
          <w:p>
            <w:pPr>
              <w:pStyle w:val="54"/>
              <w:spacing w:line="400" w:lineRule="exact"/>
              <w:ind w:left="-120" w:leftChars="-50" w:right="-120" w:rightChars="-50"/>
              <w:rPr>
                <w:rFonts w:cs="Times New Roman"/>
              </w:rPr>
            </w:pPr>
            <w:r>
              <w:rPr>
                <w:rFonts w:cs="Times New Roman"/>
              </w:rPr>
              <w:t>0.97</w:t>
            </w:r>
            <m:oMath>
              <m:r>
                <m:rPr>
                  <m:sty m:val="p"/>
                </m:rPr>
                <w:rPr>
                  <w:rFonts w:ascii="Cambria Math" w:hAnsi="Cambria Math" w:cs="Times New Roman"/>
                </w:rPr>
                <m:t>μm</m:t>
              </m:r>
            </m:oMath>
          </w:p>
        </w:tc>
        <w:tc>
          <w:tcPr>
            <w:tcW w:w="1985" w:type="dxa"/>
            <w:vAlign w:val="center"/>
          </w:tcPr>
          <w:p>
            <w:pPr>
              <w:pStyle w:val="54"/>
              <w:spacing w:line="400" w:lineRule="exact"/>
              <w:ind w:left="-120" w:leftChars="-50" w:right="-120" w:rightChars="-50"/>
              <w:rPr>
                <w:rFonts w:cs="Times New Roman"/>
              </w:rPr>
            </w:pPr>
            <w:r>
              <w:rPr>
                <w:rFonts w:cs="Times New Roman"/>
              </w:rPr>
              <w:t>1</w:t>
            </w:r>
          </w:p>
        </w:tc>
      </w:tr>
    </w:tbl>
    <w:p>
      <w:pPr>
        <w:ind w:firstLineChars="0"/>
      </w:pPr>
      <w:r>
        <w:rPr>
          <w:rFonts w:hint="eastAsia"/>
        </w:rPr>
        <w:t>合成标准不确定度为：</w:t>
      </w:r>
    </w:p>
    <w:p>
      <w:pPr>
        <w:spacing w:line="240" w:lineRule="auto"/>
        <w:ind w:firstLine="0" w:firstLineChars="0"/>
      </w:pPr>
      <m:oMathPara>
        <m:oMath>
          <m:sSub>
            <m:sSubPr>
              <m:ctrlPr>
                <w:rPr>
                  <w:rFonts w:ascii="Cambria Math" w:hAnsi="Cambria Math"/>
                  <w:i/>
                </w:rPr>
              </m:ctrlPr>
            </m:sSubPr>
            <m:e>
              <m:r>
                <w:rPr>
                  <w:rFonts w:ascii="Cambria Math" w:hAnsi="Cambria Math"/>
                </w:rPr>
                <m:t>u</m:t>
              </m:r>
              <m:ctrlPr>
                <w:rPr>
                  <w:rFonts w:ascii="Cambria Math" w:hAnsi="Cambria Math"/>
                  <w:i/>
                </w:rPr>
              </m:ctrlPr>
            </m:e>
            <m:sub>
              <m:r>
                <w:rPr>
                  <w:rFonts w:ascii="Cambria Math" w:hAnsi="Cambria Math"/>
                </w:rPr>
                <m:t>c</m:t>
              </m:r>
              <m:ctrlPr>
                <w:rPr>
                  <w:rFonts w:ascii="Cambria Math" w:hAnsi="Cambria Math"/>
                  <w:i/>
                </w:rPr>
              </m:ctrlPr>
            </m:sub>
          </m:sSub>
          <m:r>
            <w:rPr>
              <w:rFonts w:ascii="Cambria Math" w:hAnsi="Cambria Math"/>
            </w:rPr>
            <m:t>=</m:t>
          </m:r>
          <m:f>
            <m:fPr>
              <m:ctrlPr>
                <w:rPr>
                  <w:rFonts w:ascii="Cambria Math" w:hAnsi="Cambria Math"/>
                  <w:i/>
                </w:rPr>
              </m:ctrlPr>
            </m:fPr>
            <m:num>
              <m:r>
                <w:rPr>
                  <w:rFonts w:ascii="Cambria Math" w:hAnsi="Cambria Math"/>
                </w:rPr>
                <m:t>1</m:t>
              </m:r>
              <m:ctrlPr>
                <w:rPr>
                  <w:rFonts w:ascii="Cambria Math" w:hAnsi="Cambria Math"/>
                  <w:i/>
                </w:rPr>
              </m:ctrlPr>
            </m:num>
            <m:den>
              <m:rad>
                <m:radPr>
                  <m:degHide m:val="1"/>
                  <m:ctrlPr>
                    <w:rPr>
                      <w:rFonts w:ascii="Cambria Math" w:hAnsi="Cambria Math"/>
                      <w:i/>
                    </w:rPr>
                  </m:ctrlPr>
                </m:radPr>
                <m:deg>
                  <m:ctrlPr>
                    <w:rPr>
                      <w:rFonts w:ascii="Cambria Math" w:hAnsi="Cambria Math"/>
                      <w:i/>
                    </w:rPr>
                  </m:ctrlPr>
                </m:deg>
                <m:e>
                  <m:r>
                    <w:rPr>
                      <w:rFonts w:ascii="Cambria Math" w:hAnsi="Cambria Math"/>
                    </w:rPr>
                    <m:t>5</m:t>
                  </m:r>
                  <m:ctrlPr>
                    <w:rPr>
                      <w:rFonts w:ascii="Cambria Math" w:hAnsi="Cambria Math"/>
                      <w:i/>
                    </w:rPr>
                  </m:ctrlPr>
                </m:e>
              </m:rad>
              <m:ctrlPr>
                <w:rPr>
                  <w:rFonts w:ascii="Cambria Math" w:hAnsi="Cambria Math"/>
                  <w:i/>
                </w:rPr>
              </m:ctrlPr>
            </m:den>
          </m:f>
          <m:rad>
            <m:radPr>
              <m:degHide m:val="1"/>
              <m:ctrlPr>
                <w:rPr>
                  <w:rFonts w:ascii="Cambria Math" w:hAnsi="Cambria Math"/>
                  <w:i/>
                </w:rPr>
              </m:ctrlPr>
            </m:radPr>
            <m:deg>
              <m:ctrlPr>
                <w:rPr>
                  <w:rFonts w:ascii="Cambria Math" w:hAnsi="Cambria Math"/>
                  <w:i/>
                </w:rPr>
              </m:ctrlPr>
            </m:deg>
            <m:e>
              <m:sSubSup>
                <m:sSubSupPr>
                  <m:ctrlPr>
                    <w:rPr>
                      <w:rFonts w:ascii="Cambria Math" w:hAnsi="Cambria Math"/>
                      <w:i/>
                    </w:rPr>
                  </m:ctrlPr>
                </m:sSubSupPr>
                <m:e>
                  <m:r>
                    <w:rPr>
                      <w:rFonts w:ascii="Cambria Math" w:hAnsi="Cambria Math"/>
                    </w:rPr>
                    <m:t>u</m:t>
                  </m:r>
                  <m:ctrlPr>
                    <w:rPr>
                      <w:rFonts w:ascii="Cambria Math" w:hAnsi="Cambria Math"/>
                      <w:i/>
                    </w:rPr>
                  </m:ctrlPr>
                </m:e>
                <m:sub>
                  <m:r>
                    <w:rPr>
                      <w:rFonts w:ascii="Cambria Math" w:hAnsi="Cambria Math"/>
                    </w:rPr>
                    <m:t>1</m:t>
                  </m:r>
                  <m:ctrlPr>
                    <w:rPr>
                      <w:rFonts w:ascii="Cambria Math" w:hAnsi="Cambria Math"/>
                      <w:i/>
                    </w:rPr>
                  </m:ctrlPr>
                </m:sub>
                <m:sup>
                  <m:r>
                    <w:rPr>
                      <w:rFonts w:ascii="Cambria Math" w:hAnsi="Cambria Math"/>
                    </w:rPr>
                    <m:t>2</m:t>
                  </m:r>
                  <m:ctrlPr>
                    <w:rPr>
                      <w:rFonts w:ascii="Cambria Math" w:hAnsi="Cambria Math"/>
                      <w:i/>
                    </w:rPr>
                  </m:ctrlPr>
                </m:sup>
              </m:sSubSup>
              <m:r>
                <w:rPr>
                  <w:rFonts w:ascii="Cambria Math" w:hAnsi="Cambria Math"/>
                </w:rPr>
                <m:t>+</m:t>
              </m:r>
              <m:sSubSup>
                <m:sSubSupPr>
                  <m:ctrlPr>
                    <w:rPr>
                      <w:rFonts w:ascii="Cambria Math" w:hAnsi="Cambria Math"/>
                      <w:i/>
                    </w:rPr>
                  </m:ctrlPr>
                </m:sSubSupPr>
                <m:e>
                  <m:r>
                    <w:rPr>
                      <w:rFonts w:ascii="Cambria Math" w:hAnsi="Cambria Math"/>
                    </w:rPr>
                    <m:t>u</m:t>
                  </m:r>
                  <m:ctrlPr>
                    <w:rPr>
                      <w:rFonts w:ascii="Cambria Math" w:hAnsi="Cambria Math"/>
                      <w:i/>
                    </w:rPr>
                  </m:ctrlPr>
                </m:e>
                <m:sub>
                  <m:r>
                    <w:rPr>
                      <w:rFonts w:ascii="Cambria Math" w:hAnsi="Cambria Math"/>
                    </w:rPr>
                    <m:t>2</m:t>
                  </m:r>
                  <m:ctrlPr>
                    <w:rPr>
                      <w:rFonts w:ascii="Cambria Math" w:hAnsi="Cambria Math"/>
                      <w:i/>
                    </w:rPr>
                  </m:ctrlPr>
                </m:sub>
                <m:sup>
                  <m:r>
                    <w:rPr>
                      <w:rFonts w:ascii="Cambria Math" w:hAnsi="Cambria Math"/>
                    </w:rPr>
                    <m:t>2</m:t>
                  </m:r>
                  <m:ctrlPr>
                    <w:rPr>
                      <w:rFonts w:ascii="Cambria Math" w:hAnsi="Cambria Math"/>
                      <w:i/>
                    </w:rPr>
                  </m:ctrlPr>
                </m:sup>
              </m:sSubSup>
              <m:ctrlPr>
                <w:rPr>
                  <w:rFonts w:ascii="Cambria Math" w:hAnsi="Cambria Math"/>
                  <w:i/>
                </w:rPr>
              </m:ctrlPr>
            </m:e>
          </m:rad>
          <m:r>
            <w:rPr>
              <w:rFonts w:hint="eastAsia" w:ascii="Cambria Math" w:hAnsi="Cambria Math"/>
            </w:rPr>
            <m:t>=</m:t>
          </m:r>
          <m:f>
            <m:fPr>
              <m:ctrlPr>
                <w:rPr>
                  <w:rFonts w:ascii="Cambria Math" w:hAnsi="Cambria Math"/>
                  <w:i/>
                </w:rPr>
              </m:ctrlPr>
            </m:fPr>
            <m:num>
              <m:r>
                <w:rPr>
                  <w:rFonts w:ascii="Cambria Math" w:hAnsi="Cambria Math"/>
                </w:rPr>
                <m:t>1</m:t>
              </m:r>
              <m:ctrlPr>
                <w:rPr>
                  <w:rFonts w:ascii="Cambria Math" w:hAnsi="Cambria Math"/>
                  <w:i/>
                </w:rPr>
              </m:ctrlPr>
            </m:num>
            <m:den>
              <m:rad>
                <m:radPr>
                  <m:degHide m:val="1"/>
                  <m:ctrlPr>
                    <w:rPr>
                      <w:rFonts w:ascii="Cambria Math" w:hAnsi="Cambria Math"/>
                      <w:i/>
                    </w:rPr>
                  </m:ctrlPr>
                </m:radPr>
                <m:deg>
                  <m:ctrlPr>
                    <w:rPr>
                      <w:rFonts w:ascii="Cambria Math" w:hAnsi="Cambria Math"/>
                      <w:i/>
                    </w:rPr>
                  </m:ctrlPr>
                </m:deg>
                <m:e>
                  <m:r>
                    <w:rPr>
                      <w:rFonts w:ascii="Cambria Math" w:hAnsi="Cambria Math"/>
                    </w:rPr>
                    <m:t>5</m:t>
                  </m:r>
                  <m:ctrlPr>
                    <w:rPr>
                      <w:rFonts w:ascii="Cambria Math" w:hAnsi="Cambria Math"/>
                      <w:i/>
                    </w:rPr>
                  </m:ctrlPr>
                </m:e>
              </m:rad>
              <m:ctrlPr>
                <w:rPr>
                  <w:rFonts w:ascii="Cambria Math" w:hAnsi="Cambria Math"/>
                  <w:i/>
                </w:rPr>
              </m:ctrlPr>
            </m:den>
          </m:f>
          <m:rad>
            <m:radPr>
              <m:degHide m:val="1"/>
              <m:ctrlPr>
                <w:rPr>
                  <w:rFonts w:ascii="Cambria Math" w:hAnsi="Cambria Math"/>
                </w:rPr>
              </m:ctrlPr>
            </m:radPr>
            <m:deg>
              <m:ctrlPr>
                <w:rPr>
                  <w:rFonts w:ascii="Cambria Math" w:hAnsi="Cambria Math"/>
                </w:rPr>
              </m:ctrlPr>
            </m:deg>
            <m:e>
              <m:sSup>
                <m:sSupPr>
                  <m:ctrlPr>
                    <w:rPr>
                      <w:rFonts w:ascii="Cambria Math" w:hAnsi="Cambria Math"/>
                    </w:rPr>
                  </m:ctrlPr>
                </m:sSupPr>
                <m:e>
                  <m:r>
                    <m:rPr>
                      <m:sty m:val="p"/>
                    </m:rPr>
                    <w:rPr>
                      <w:rFonts w:ascii="Cambria Math" w:hAnsi="Cambria Math"/>
                    </w:rPr>
                    <m:t>0.50</m:t>
                  </m:r>
                  <m:ctrlPr>
                    <w:rPr>
                      <w:rFonts w:ascii="Cambria Math" w:hAnsi="Cambria Math"/>
                    </w:rPr>
                  </m:ctrlPr>
                </m:e>
                <m:sup>
                  <m:r>
                    <w:rPr>
                      <w:rFonts w:ascii="Cambria Math" w:hAnsi="Cambria Math"/>
                    </w:rPr>
                    <m:t>2</m:t>
                  </m:r>
                  <m:ctrlPr>
                    <w:rPr>
                      <w:rFonts w:ascii="Cambria Math" w:hAnsi="Cambria Math"/>
                    </w:rPr>
                  </m:ctrlPr>
                </m:sup>
              </m:sSup>
              <m:r>
                <w:rPr>
                  <w:rFonts w:ascii="Cambria Math" w:hAnsi="Cambria Math"/>
                </w:rPr>
                <m:t>+</m:t>
              </m:r>
              <m:sSup>
                <m:sSupPr>
                  <m:ctrlPr>
                    <w:rPr>
                      <w:rFonts w:ascii="Cambria Math" w:hAnsi="Cambria Math"/>
                      <w:i/>
                    </w:rPr>
                  </m:ctrlPr>
                </m:sSupPr>
                <m:e>
                  <m:r>
                    <w:rPr>
                      <w:rFonts w:ascii="Cambria Math" w:hAnsi="Cambria Math"/>
                    </w:rPr>
                    <m:t>0.97</m:t>
                  </m:r>
                  <m:ctrlPr>
                    <w:rPr>
                      <w:rFonts w:ascii="Cambria Math" w:hAnsi="Cambria Math"/>
                      <w:i/>
                    </w:rPr>
                  </m:ctrlPr>
                </m:e>
                <m:sup>
                  <m:r>
                    <w:rPr>
                      <w:rFonts w:ascii="Cambria Math" w:hAnsi="Cambria Math"/>
                    </w:rPr>
                    <m:t>2</m:t>
                  </m:r>
                  <m:ctrlPr>
                    <w:rPr>
                      <w:rFonts w:ascii="Cambria Math" w:hAnsi="Cambria Math"/>
                      <w:i/>
                    </w:rPr>
                  </m:ctrlPr>
                </m:sup>
              </m:sSup>
              <m:ctrlPr>
                <w:rPr>
                  <w:rFonts w:ascii="Cambria Math" w:hAnsi="Cambria Math"/>
                </w:rPr>
              </m:ctrlPr>
            </m:e>
          </m:rad>
          <m:r>
            <m:rPr>
              <m:sty m:val="p"/>
            </m:rPr>
            <w:rPr>
              <w:rFonts w:ascii="Cambria Math" w:hAnsi="Cambria Math" w:cs="Times New Roman"/>
            </w:rPr>
            <m:t>=0.49μ</m:t>
          </m:r>
          <m:r>
            <m:rPr>
              <m:sty m:val="p"/>
            </m:rPr>
            <w:rPr>
              <w:rFonts w:ascii="Cambria Math" w:hAnsi="Cambria Math"/>
            </w:rPr>
            <m:t>m</m:t>
          </m:r>
        </m:oMath>
      </m:oMathPara>
    </w:p>
    <w:p>
      <w:pPr>
        <w:pStyle w:val="3"/>
        <w:numPr>
          <w:ilvl w:val="1"/>
          <w:numId w:val="2"/>
        </w:numPr>
        <w:ind w:left="426" w:firstLineChars="0"/>
      </w:pPr>
      <w:r>
        <w:rPr>
          <w:rFonts w:hint="eastAsia"/>
        </w:rPr>
        <w:t>扩展标准不确定度</w:t>
      </w:r>
    </w:p>
    <w:p>
      <w:r>
        <w:rPr>
          <w:rFonts w:hint="eastAsia"/>
        </w:rPr>
        <w:t>镀层厚度测量结果近似为正态分布，取</w:t>
      </w:r>
      <w:r>
        <w:rPr>
          <w:rFonts w:hint="eastAsia"/>
          <w:i/>
        </w:rPr>
        <w:t>k=</w:t>
      </w:r>
      <w:r>
        <w:rPr>
          <w:rFonts w:hint="eastAsia"/>
        </w:rPr>
        <w:t>2，扩展不确定度为：</w:t>
      </w:r>
    </w:p>
    <w:p>
      <w:pPr>
        <w:ind w:firstLine="0" w:firstLineChars="0"/>
      </w:pPr>
      <m:oMathPara>
        <m:oMath>
          <m:r>
            <w:rPr>
              <w:rFonts w:ascii="Cambria Math" w:hAnsi="Cambria Math"/>
            </w:rPr>
            <m:t>U=k</m:t>
          </m:r>
          <m:sSub>
            <m:sSubPr>
              <m:ctrlPr>
                <w:rPr>
                  <w:rFonts w:ascii="Cambria Math" w:hAnsi="Cambria Math"/>
                  <w:i/>
                </w:rPr>
              </m:ctrlPr>
            </m:sSubPr>
            <m:e>
              <m:r>
                <w:rPr>
                  <w:rFonts w:ascii="Cambria Math" w:hAnsi="Cambria Math"/>
                </w:rPr>
                <m:t>u</m:t>
              </m:r>
              <m:ctrlPr>
                <w:rPr>
                  <w:rFonts w:ascii="Cambria Math" w:hAnsi="Cambria Math"/>
                  <w:i/>
                </w:rPr>
              </m:ctrlPr>
            </m:e>
            <m:sub>
              <m:r>
                <w:rPr>
                  <w:rFonts w:ascii="Cambria Math" w:hAnsi="Cambria Math"/>
                </w:rPr>
                <m:t>c</m:t>
              </m:r>
              <m:ctrlPr>
                <w:rPr>
                  <w:rFonts w:ascii="Cambria Math" w:hAnsi="Cambria Math"/>
                  <w:i/>
                </w:rPr>
              </m:ctrlPr>
            </m:sub>
          </m:sSub>
          <m:r>
            <w:rPr>
              <w:rFonts w:ascii="Cambria Math" w:hAnsi="Cambria Math"/>
            </w:rPr>
            <m:t>=2×</m:t>
          </m:r>
          <m:r>
            <m:rPr>
              <m:sty m:val="p"/>
            </m:rPr>
            <w:rPr>
              <w:rFonts w:ascii="Cambria Math" w:hAnsi="Cambria Math"/>
            </w:rPr>
            <m:t>0.49</m:t>
          </m:r>
          <m:r>
            <m:rPr>
              <m:sty m:val="p"/>
            </m:rPr>
            <w:rPr>
              <w:rFonts w:ascii="Cambria Math" w:hAnsi="Cambria Math" w:cs="Times New Roman"/>
            </w:rPr>
            <m:t>μ</m:t>
          </m:r>
          <m:r>
            <m:rPr>
              <m:sty m:val="p"/>
            </m:rPr>
            <w:rPr>
              <w:rFonts w:ascii="Cambria Math" w:hAnsi="Cambria Math"/>
            </w:rPr>
            <m:t>m=0.98</m:t>
          </m:r>
          <m:r>
            <m:rPr>
              <m:sty m:val="p"/>
            </m:rPr>
            <w:rPr>
              <w:rFonts w:ascii="Cambria Math" w:hAnsi="Cambria Math" w:cs="Times New Roman"/>
            </w:rPr>
            <m:t>μ</m:t>
          </m:r>
          <m:r>
            <m:rPr>
              <m:sty m:val="p"/>
            </m:rPr>
            <w:rPr>
              <w:rFonts w:ascii="Cambria Math" w:hAnsi="Cambria Math"/>
            </w:rPr>
            <m:t>m</m:t>
          </m:r>
        </m:oMath>
      </m:oMathPara>
    </w:p>
    <w:p>
      <w:pPr>
        <w:pStyle w:val="58"/>
        <w:numPr>
          <w:ilvl w:val="0"/>
          <w:numId w:val="0"/>
        </w:numPr>
        <w:ind w:left="426"/>
        <w:sectPr>
          <w:footerReference r:id="rId17" w:type="default"/>
          <w:pgSz w:w="11906" w:h="16838"/>
          <w:pgMar w:top="1588" w:right="851" w:bottom="1361" w:left="1418" w:header="1191" w:footer="992" w:gutter="0"/>
          <w:cols w:space="425" w:num="1"/>
          <w:docGrid w:type="lines" w:linePitch="312" w:charSpace="0"/>
        </w:sectPr>
      </w:pPr>
    </w:p>
    <w:p>
      <w:pPr>
        <w:pStyle w:val="58"/>
      </w:pPr>
      <w:bookmarkStart w:id="71" w:name="_Toc516556763"/>
      <w:r>
        <w:rPr>
          <w:rFonts w:hint="eastAsia"/>
          <w:color w:val="FFFFFF" w:themeColor="background1"/>
          <w14:textFill>
            <w14:solidFill>
              <w14:schemeClr w14:val="bg1"/>
            </w14:solidFill>
          </w14:textFill>
        </w:rPr>
        <w:t>校准证书内页信息及格式</w:t>
      </w:r>
      <w:bookmarkEnd w:id="71"/>
    </w:p>
    <w:p>
      <w:pPr>
        <w:pStyle w:val="59"/>
      </w:pPr>
      <w:r>
        <w:rPr>
          <w:rFonts w:hint="eastAsia"/>
        </w:rPr>
        <w:t>校准证书内页信息及格式</w:t>
      </w:r>
    </w:p>
    <w:p>
      <w:pPr>
        <w:pStyle w:val="3"/>
        <w:numPr>
          <w:ilvl w:val="1"/>
          <w:numId w:val="2"/>
        </w:numPr>
        <w:ind w:left="426" w:firstLineChars="0"/>
      </w:pPr>
      <w:r>
        <w:rPr>
          <w:rFonts w:hint="eastAsia"/>
        </w:rPr>
        <w:t>校准证书至少包括以下信息：</w:t>
      </w:r>
    </w:p>
    <w:p>
      <w:pPr>
        <w:pStyle w:val="3"/>
        <w:numPr>
          <w:ilvl w:val="0"/>
          <w:numId w:val="3"/>
        </w:numPr>
        <w:ind w:firstLineChars="0"/>
      </w:pPr>
      <w:r>
        <w:rPr>
          <w:rFonts w:hint="eastAsia"/>
        </w:rPr>
        <w:t>标题：“校准证书”；</w:t>
      </w:r>
    </w:p>
    <w:p>
      <w:pPr>
        <w:pStyle w:val="3"/>
        <w:numPr>
          <w:ilvl w:val="0"/>
          <w:numId w:val="3"/>
        </w:numPr>
        <w:ind w:firstLineChars="0"/>
      </w:pPr>
      <w:r>
        <w:rPr>
          <w:rFonts w:hint="eastAsia"/>
        </w:rPr>
        <w:t>实验室名称和地址；</w:t>
      </w:r>
    </w:p>
    <w:p>
      <w:pPr>
        <w:pStyle w:val="3"/>
        <w:numPr>
          <w:ilvl w:val="0"/>
          <w:numId w:val="3"/>
        </w:numPr>
        <w:ind w:firstLineChars="0"/>
      </w:pPr>
      <w:r>
        <w:rPr>
          <w:rFonts w:hint="eastAsia"/>
        </w:rPr>
        <w:t>进行校准的地点（如果与实验室的地址不同）；</w:t>
      </w:r>
    </w:p>
    <w:p>
      <w:pPr>
        <w:pStyle w:val="3"/>
        <w:numPr>
          <w:ilvl w:val="0"/>
          <w:numId w:val="3"/>
        </w:numPr>
        <w:ind w:firstLineChars="0"/>
      </w:pPr>
      <w:r>
        <w:rPr>
          <w:rFonts w:hint="eastAsia"/>
        </w:rPr>
        <w:t>证书的唯一性标识（如编号），每页及总页数的标识；</w:t>
      </w:r>
    </w:p>
    <w:p>
      <w:pPr>
        <w:pStyle w:val="3"/>
        <w:numPr>
          <w:ilvl w:val="0"/>
          <w:numId w:val="3"/>
        </w:numPr>
        <w:ind w:firstLineChars="0"/>
      </w:pPr>
      <w:r>
        <w:rPr>
          <w:rFonts w:hint="eastAsia"/>
        </w:rPr>
        <w:t>客户的名称和地址；</w:t>
      </w:r>
    </w:p>
    <w:p>
      <w:pPr>
        <w:pStyle w:val="3"/>
        <w:numPr>
          <w:ilvl w:val="0"/>
          <w:numId w:val="3"/>
        </w:numPr>
        <w:ind w:firstLineChars="0"/>
      </w:pPr>
      <w:r>
        <w:rPr>
          <w:rFonts w:hint="eastAsia"/>
        </w:rPr>
        <w:t>被校对象的描述和明确标识；</w:t>
      </w:r>
    </w:p>
    <w:p>
      <w:pPr>
        <w:pStyle w:val="3"/>
        <w:numPr>
          <w:ilvl w:val="0"/>
          <w:numId w:val="3"/>
        </w:numPr>
        <w:ind w:left="0" w:firstLine="480" w:firstLineChars="0"/>
      </w:pPr>
      <w:r>
        <w:rPr>
          <w:rFonts w:hint="eastAsia"/>
        </w:rPr>
        <w:t>进行校准的日期，如果与校准结果的有效性和引用相关时，应说明被校对象的接收日期；</w:t>
      </w:r>
    </w:p>
    <w:p>
      <w:pPr>
        <w:pStyle w:val="3"/>
        <w:numPr>
          <w:ilvl w:val="0"/>
          <w:numId w:val="3"/>
        </w:numPr>
        <w:ind w:firstLineChars="0"/>
      </w:pPr>
      <w:r>
        <w:rPr>
          <w:rFonts w:hint="eastAsia"/>
        </w:rPr>
        <w:t>如果与校准结果的有效性应用有关时，应对被校样品的抽样程序进行说明；</w:t>
      </w:r>
    </w:p>
    <w:p>
      <w:pPr>
        <w:pStyle w:val="3"/>
        <w:numPr>
          <w:ilvl w:val="0"/>
          <w:numId w:val="3"/>
        </w:numPr>
        <w:ind w:firstLineChars="0"/>
      </w:pPr>
      <w:r>
        <w:rPr>
          <w:rFonts w:hint="eastAsia"/>
        </w:rPr>
        <w:t>校准所依据的技术规范的标识，包括名称及代号；</w:t>
      </w:r>
    </w:p>
    <w:p>
      <w:pPr>
        <w:pStyle w:val="3"/>
        <w:numPr>
          <w:ilvl w:val="0"/>
          <w:numId w:val="3"/>
        </w:numPr>
        <w:ind w:firstLineChars="0"/>
      </w:pPr>
      <w:r>
        <w:rPr>
          <w:rFonts w:hint="eastAsia"/>
        </w:rPr>
        <w:t>本次校准所用测量标准的溯源性及有效性说明；</w:t>
      </w:r>
    </w:p>
    <w:p>
      <w:pPr>
        <w:pStyle w:val="3"/>
        <w:numPr>
          <w:ilvl w:val="0"/>
          <w:numId w:val="3"/>
        </w:numPr>
        <w:ind w:firstLineChars="0"/>
      </w:pPr>
      <w:r>
        <w:rPr>
          <w:rFonts w:hint="eastAsia"/>
        </w:rPr>
        <w:t>校准环境的描述；</w:t>
      </w:r>
    </w:p>
    <w:p>
      <w:pPr>
        <w:pStyle w:val="3"/>
        <w:numPr>
          <w:ilvl w:val="0"/>
          <w:numId w:val="3"/>
        </w:numPr>
        <w:ind w:firstLineChars="0"/>
      </w:pPr>
      <w:r>
        <w:rPr>
          <w:rFonts w:hint="eastAsia"/>
        </w:rPr>
        <w:t>校准结果及其测量不确定度的说明；</w:t>
      </w:r>
    </w:p>
    <w:p>
      <w:pPr>
        <w:pStyle w:val="3"/>
        <w:numPr>
          <w:ilvl w:val="0"/>
          <w:numId w:val="3"/>
        </w:numPr>
        <w:ind w:firstLineChars="0"/>
      </w:pPr>
      <w:r>
        <w:rPr>
          <w:rFonts w:hint="eastAsia"/>
        </w:rPr>
        <w:t>对校准规范的偏离的说明；</w:t>
      </w:r>
    </w:p>
    <w:p>
      <w:pPr>
        <w:pStyle w:val="3"/>
        <w:numPr>
          <w:ilvl w:val="0"/>
          <w:numId w:val="3"/>
        </w:numPr>
        <w:ind w:firstLineChars="0"/>
      </w:pPr>
      <w:r>
        <w:rPr>
          <w:rFonts w:hint="eastAsia"/>
        </w:rPr>
        <w:t>校准证书或校准报告签发人的签名、职务或等效标识；</w:t>
      </w:r>
    </w:p>
    <w:p>
      <w:pPr>
        <w:pStyle w:val="3"/>
        <w:numPr>
          <w:ilvl w:val="0"/>
          <w:numId w:val="3"/>
        </w:numPr>
        <w:ind w:firstLineChars="0"/>
      </w:pPr>
      <w:r>
        <w:rPr>
          <w:rFonts w:hint="eastAsia"/>
        </w:rPr>
        <w:t>校准结果仅对被校对象有效的声明；</w:t>
      </w:r>
    </w:p>
    <w:p>
      <w:pPr>
        <w:pStyle w:val="3"/>
        <w:numPr>
          <w:ilvl w:val="0"/>
          <w:numId w:val="3"/>
        </w:numPr>
        <w:ind w:firstLineChars="0"/>
      </w:pPr>
      <w:r>
        <w:rPr>
          <w:rFonts w:hint="eastAsia"/>
        </w:rPr>
        <w:t>未经实验室书面批准，不得部分复制证书的声明。</w:t>
      </w:r>
    </w:p>
    <w:p>
      <w:pPr>
        <w:pStyle w:val="3"/>
        <w:numPr>
          <w:ilvl w:val="1"/>
          <w:numId w:val="2"/>
        </w:numPr>
        <w:ind w:left="426" w:firstLineChars="0"/>
      </w:pPr>
      <w:r>
        <w:rPr>
          <w:rFonts w:hint="eastAsia"/>
        </w:rPr>
        <w:t>推荐的校准证书内页格式见表</w:t>
      </w:r>
      <w:r>
        <w:t>D</w:t>
      </w:r>
      <w:r>
        <w:rPr>
          <w:rFonts w:hint="eastAsia"/>
        </w:rPr>
        <w:t>.1。</w:t>
      </w:r>
    </w:p>
    <w:p>
      <w:pPr>
        <w:pStyle w:val="53"/>
      </w:pPr>
      <w:r>
        <w:rPr>
          <w:rFonts w:hint="eastAsia"/>
        </w:rPr>
        <w:t>表</w:t>
      </w:r>
      <w:r>
        <w:t>D</w:t>
      </w:r>
      <w:r>
        <w:rPr>
          <w:rFonts w:hint="eastAsia"/>
        </w:rPr>
        <w:t>.1</w:t>
      </w:r>
      <w:r>
        <w:t xml:space="preserve">  </w:t>
      </w:r>
      <w:r>
        <w:rPr>
          <w:rFonts w:hint="eastAsia"/>
        </w:rPr>
        <w:t>校准证书内页格式</w:t>
      </w:r>
    </w:p>
    <w:tbl>
      <w:tblPr>
        <w:tblStyle w:val="16"/>
        <w:tblW w:w="962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2126"/>
        <w:gridCol w:w="67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04" w:type="dxa"/>
          </w:tcPr>
          <w:p>
            <w:pPr>
              <w:pStyle w:val="54"/>
            </w:pPr>
            <w:r>
              <w:rPr>
                <w:rFonts w:hint="eastAsia"/>
              </w:rPr>
              <w:t>序号</w:t>
            </w:r>
          </w:p>
        </w:tc>
        <w:tc>
          <w:tcPr>
            <w:tcW w:w="2126" w:type="dxa"/>
          </w:tcPr>
          <w:p>
            <w:pPr>
              <w:pStyle w:val="54"/>
            </w:pPr>
            <w:r>
              <w:rPr>
                <w:rFonts w:hint="eastAsia"/>
              </w:rPr>
              <w:t>校准项目</w:t>
            </w:r>
          </w:p>
        </w:tc>
        <w:tc>
          <w:tcPr>
            <w:tcW w:w="6797" w:type="dxa"/>
          </w:tcPr>
          <w:p>
            <w:pPr>
              <w:pStyle w:val="54"/>
            </w:pPr>
            <w:r>
              <w:rPr>
                <w:rFonts w:hint="eastAsia"/>
              </w:rPr>
              <w:t>校准结果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04" w:type="dxa"/>
          </w:tcPr>
          <w:p>
            <w:pPr>
              <w:pStyle w:val="54"/>
            </w:pPr>
            <w:r>
              <w:rPr>
                <w:rFonts w:hint="eastAsia"/>
              </w:rPr>
              <w:t>1</w:t>
            </w:r>
          </w:p>
        </w:tc>
        <w:tc>
          <w:tcPr>
            <w:tcW w:w="2126" w:type="dxa"/>
          </w:tcPr>
          <w:p>
            <w:pPr>
              <w:pStyle w:val="54"/>
            </w:pPr>
            <w:r>
              <w:rPr>
                <w:rFonts w:hint="eastAsia"/>
              </w:rPr>
              <w:t xml:space="preserve">外 </w:t>
            </w:r>
            <w:r>
              <w:t xml:space="preserve"> </w:t>
            </w:r>
            <w:r>
              <w:rPr>
                <w:rFonts w:hint="eastAsia"/>
              </w:rPr>
              <w:t>观</w:t>
            </w:r>
          </w:p>
        </w:tc>
        <w:tc>
          <w:tcPr>
            <w:tcW w:w="6797" w:type="dxa"/>
          </w:tcPr>
          <w:p>
            <w:pPr>
              <w:pStyle w:val="5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04" w:type="dxa"/>
          </w:tcPr>
          <w:p>
            <w:pPr>
              <w:pStyle w:val="54"/>
            </w:pPr>
            <w:r>
              <w:rPr>
                <w:rFonts w:hint="eastAsia"/>
              </w:rPr>
              <w:t>2</w:t>
            </w:r>
          </w:p>
        </w:tc>
        <w:tc>
          <w:tcPr>
            <w:tcW w:w="2126" w:type="dxa"/>
          </w:tcPr>
          <w:p>
            <w:pPr>
              <w:pStyle w:val="54"/>
            </w:pPr>
            <w:r>
              <w:rPr>
                <w:rFonts w:hint="eastAsia"/>
              </w:rPr>
              <w:t>表面粗糙度</w:t>
            </w:r>
          </w:p>
        </w:tc>
        <w:tc>
          <w:tcPr>
            <w:tcW w:w="6797" w:type="dxa"/>
          </w:tcPr>
          <w:p>
            <w:pPr>
              <w:pStyle w:val="5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04" w:type="dxa"/>
          </w:tcPr>
          <w:p>
            <w:pPr>
              <w:pStyle w:val="54"/>
            </w:pPr>
            <w:r>
              <w:rPr>
                <w:rFonts w:hint="eastAsia"/>
              </w:rPr>
              <w:t>3</w:t>
            </w:r>
          </w:p>
        </w:tc>
        <w:tc>
          <w:tcPr>
            <w:tcW w:w="2126" w:type="dxa"/>
          </w:tcPr>
          <w:p>
            <w:pPr>
              <w:pStyle w:val="54"/>
            </w:pPr>
            <w:r>
              <w:rPr>
                <w:rFonts w:hint="eastAsia"/>
              </w:rPr>
              <w:t>镀层厚度</w:t>
            </w:r>
          </w:p>
        </w:tc>
        <w:tc>
          <w:tcPr>
            <w:tcW w:w="6797" w:type="dxa"/>
          </w:tcPr>
          <w:p>
            <w:pPr>
              <w:pStyle w:val="5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04" w:type="dxa"/>
          </w:tcPr>
          <w:p>
            <w:pPr>
              <w:pStyle w:val="54"/>
            </w:pPr>
            <w:r>
              <w:rPr>
                <w:rFonts w:hint="eastAsia"/>
              </w:rPr>
              <w:t>4</w:t>
            </w:r>
          </w:p>
        </w:tc>
        <w:tc>
          <w:tcPr>
            <w:tcW w:w="2126" w:type="dxa"/>
          </w:tcPr>
          <w:p>
            <w:pPr>
              <w:pStyle w:val="54"/>
            </w:pPr>
            <w:r>
              <w:rPr>
                <w:rFonts w:hint="eastAsia"/>
              </w:rPr>
              <w:t>裂纹尺寸</w:t>
            </w:r>
          </w:p>
        </w:tc>
        <w:tc>
          <w:tcPr>
            <w:tcW w:w="6797" w:type="dxa"/>
          </w:tcPr>
          <w:p>
            <w:pPr>
              <w:pStyle w:val="54"/>
            </w:pPr>
          </w:p>
        </w:tc>
      </w:tr>
    </w:tbl>
    <w:p>
      <w:pPr>
        <w:ind w:firstLine="0" w:firstLineChars="0"/>
      </w:pPr>
    </w:p>
    <w:p>
      <w:pPr>
        <w:ind w:firstLine="0" w:firstLineChars="0"/>
      </w:pPr>
    </w:p>
    <w:p>
      <w:pPr>
        <w:ind w:firstLine="0" w:firstLineChars="0"/>
      </w:pPr>
    </w:p>
    <w:p>
      <w:pPr>
        <w:ind w:firstLine="0" w:firstLineChars="0"/>
      </w:pPr>
      <w:r>
        <mc:AlternateContent>
          <mc:Choice Requires="wps">
            <w:drawing>
              <wp:anchor distT="0" distB="0" distL="114300" distR="114300" simplePos="0" relativeHeight="251691008" behindDoc="0" locked="0" layoutInCell="1" allowOverlap="1">
                <wp:simplePos x="0" y="0"/>
                <wp:positionH relativeFrom="margin">
                  <wp:align>center</wp:align>
                </wp:positionH>
                <wp:positionV relativeFrom="page">
                  <wp:posOffset>8906510</wp:posOffset>
                </wp:positionV>
                <wp:extent cx="1461770" cy="0"/>
                <wp:effectExtent l="0" t="0" r="24765" b="19050"/>
                <wp:wrapNone/>
                <wp:docPr id="20" name="直接连接符 20"/>
                <wp:cNvGraphicFramePr/>
                <a:graphic xmlns:a="http://schemas.openxmlformats.org/drawingml/2006/main">
                  <a:graphicData uri="http://schemas.microsoft.com/office/word/2010/wordprocessingShape">
                    <wps:wsp>
                      <wps:cNvCnPr/>
                      <wps:spPr>
                        <a:xfrm>
                          <a:off x="0" y="0"/>
                          <a:ext cx="1461600" cy="0"/>
                        </a:xfrm>
                        <a:prstGeom prst="line">
                          <a:avLst/>
                        </a:prstGeom>
                        <a:ln w="19050">
                          <a:solidFill>
                            <a:schemeClr val="tx1"/>
                          </a:solidFill>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_x0000_s1026" o:spid="_x0000_s1026" o:spt="20" style="position:absolute;left:0pt;margin-top:701.3pt;height:0pt;width:115.1pt;mso-position-horizontal:center;mso-position-horizontal-relative:margin;mso-position-vertical-relative:page;z-index:251691008;mso-width-relative:page;mso-height-relative:page;" filled="f" stroked="t" coordsize="21600,21600" o:gfxdata="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">
                <v:fill on="f" focussize="0,0"/>
                <v:stroke weight="1.5pt" color="#000000 [3213]" miterlimit="8" joinstyle="miter"/>
                <v:imagedata o:title=""/>
                <o:lock v:ext="edit" aspectratio="f"/>
              </v:line>
            </w:pict>
          </mc:Fallback>
        </mc:AlternateContent>
      </w:r>
    </w:p>
    <w:sectPr>
      <w:pgSz w:w="11906" w:h="16838"/>
      <w:pgMar w:top="1588" w:right="851" w:bottom="1361" w:left="1418" w:header="119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A00002EF" w:usb1="4000004B" w:usb2="00000000" w:usb3="00000000" w:csb0="2000019F" w:csb1="00000000"/>
  </w:font>
  <w:font w:name="Calibri">
    <w:panose1 w:val="020F0502020204030204"/>
    <w:charset w:val="00"/>
    <w:family w:val="swiss"/>
    <w:pitch w:val="default"/>
    <w:sig w:usb0="E10002FF" w:usb1="4000ACFF" w:usb2="00000009" w:usb3="00000000" w:csb0="2000019F" w:csb1="00000000"/>
  </w:font>
  <w:font w:name="等线">
    <w:altName w:val="宋体"/>
    <w:panose1 w:val="00000000000000000000"/>
    <w:charset w:val="86"/>
    <w:family w:val="auto"/>
    <w:pitch w:val="default"/>
    <w:sig w:usb0="00000000" w:usb1="00000000" w:usb2="00000016" w:usb3="00000000" w:csb0="0004000F" w:csb1="00000000"/>
  </w:font>
  <w:font w:name="等线 Light">
    <w:altName w:val="宋体"/>
    <w:panose1 w:val="00000000000000000000"/>
    <w:charset w:val="86"/>
    <w:family w:val="auto"/>
    <w:pitch w:val="default"/>
    <w:sig w:usb0="00000000" w:usb1="00000000" w:usb2="00000016" w:usb3="00000000" w:csb0="0004000F" w:csb1="00000000"/>
  </w:font>
  <w:font w:name="方正小标宋简体">
    <w:panose1 w:val="02000000000000000000"/>
    <w:charset w:val="86"/>
    <w:family w:val="script"/>
    <w:pitch w:val="default"/>
    <w:sig w:usb0="A00002BF" w:usb1="184F6CFA" w:usb2="00000012" w:usb3="00000000" w:csb0="00040001" w:csb1="00000000"/>
  </w:font>
  <w:font w:name="Cambria Math">
    <w:panose1 w:val="02040503050406030204"/>
    <w:charset w:val="00"/>
    <w:family w:val="roman"/>
    <w:pitch w:val="default"/>
    <w:sig w:usb0="A00002EF" w:usb1="420020EB" w:usb2="00000000" w:usb3="00000000" w:csb0="2000019F" w:csb1="00000000"/>
  </w:font>
  <w:font w:name="等线">
    <w:altName w:val="宋体"/>
    <w:panose1 w:val="00000000000000000000"/>
    <w:charset w:val="86"/>
    <w:family w:val="auto"/>
    <w:pitch w:val="default"/>
    <w:sig w:usb0="00000000" w:usb1="00000000" w:usb2="00000000" w:usb3="00000000" w:csb0="00000000" w:csb1="00000000"/>
  </w:font>
  <w:font w:name="等线">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Arial">
    <w:panose1 w:val="020B0604020202020204"/>
    <w:charset w:val="00"/>
    <w:family w:val="auto"/>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ind w:right="180" w:firstLine="360"/>
      <w:jc w:val="right"/>
    </w:pPr>
  </w:p>
  <w:p>
    <w:pPr>
      <w:pStyle w:val="9"/>
      <w:ind w:firstLine="0" w:firstLineChars="0"/>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649241794"/>
    </w:sdtPr>
    <w:sdtContent>
      <w:p>
        <w:pPr>
          <w:pStyle w:val="9"/>
          <w:ind w:firstLine="360"/>
        </w:pPr>
        <w:r>
          <w:fldChar w:fldCharType="begin"/>
        </w:r>
        <w:r>
          <w:instrText xml:space="preserve">PAGE   \* MERGEFORMAT</w:instrText>
        </w:r>
        <w:r>
          <w:fldChar w:fldCharType="separate"/>
        </w:r>
        <w:r>
          <w:rPr>
            <w:lang w:val="zh-CN"/>
          </w:rPr>
          <w:t>16</w:t>
        </w:r>
        <w:r>
          <w:fldChar w:fldCharType="end"/>
        </w:r>
      </w:p>
    </w:sdtContent>
  </w:sdt>
  <w:p>
    <w:pPr>
      <w:pStyle w:val="9"/>
      <w:ind w:firstLine="360"/>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00685353"/>
    </w:sdtPr>
    <w:sdtEndPr>
      <w:rPr>
        <w:rFonts w:ascii="宋体" w:hAnsi="宋体"/>
      </w:rPr>
    </w:sdtEndPr>
    <w:sdtContent>
      <w:p>
        <w:pPr>
          <w:pStyle w:val="9"/>
          <w:ind w:firstLine="360"/>
          <w:jc w:val="right"/>
          <w:rPr>
            <w:rFonts w:ascii="宋体" w:hAnsi="宋体"/>
          </w:rPr>
        </w:pPr>
        <w:r>
          <w:rPr>
            <w:rFonts w:ascii="宋体" w:hAnsi="宋体"/>
          </w:rPr>
          <w:fldChar w:fldCharType="begin"/>
        </w:r>
        <w:r>
          <w:rPr>
            <w:rFonts w:ascii="宋体" w:hAnsi="宋体"/>
          </w:rPr>
          <w:instrText xml:space="preserve">PAGE   \* MERGEFORMAT</w:instrText>
        </w:r>
        <w:r>
          <w:rPr>
            <w:rFonts w:ascii="宋体" w:hAnsi="宋体"/>
          </w:rPr>
          <w:fldChar w:fldCharType="separate"/>
        </w:r>
        <w:r>
          <w:rPr>
            <w:rFonts w:ascii="宋体" w:hAnsi="宋体"/>
            <w:lang w:val="zh-CN"/>
          </w:rPr>
          <w:t>15</w:t>
        </w:r>
        <w:r>
          <w:rPr>
            <w:rFonts w:ascii="宋体" w:hAnsi="宋体"/>
          </w:rPr>
          <w:fldChar w:fldCharType="end"/>
        </w:r>
      </w:p>
    </w:sdtContent>
  </w:sdt>
  <w:p>
    <w:pPr>
      <w:pStyle w:val="9"/>
      <w:ind w:firstLine="0" w:firstLineChars="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123529474"/>
    </w:sdtPr>
    <w:sdtContent>
      <w:p>
        <w:pPr>
          <w:pStyle w:val="9"/>
          <w:ind w:firstLine="360"/>
        </w:pPr>
        <w:r>
          <w:fldChar w:fldCharType="begin"/>
        </w:r>
        <w:r>
          <w:instrText xml:space="preserve">PAGE   \* MERGEFORMAT</w:instrText>
        </w:r>
        <w:r>
          <w:fldChar w:fldCharType="separate"/>
        </w:r>
        <w:r>
          <w:rPr>
            <w:lang w:val="zh-CN"/>
          </w:rPr>
          <w:t>10</w:t>
        </w:r>
        <w:r>
          <w:fldChar w:fldCharType="end"/>
        </w:r>
      </w:p>
    </w:sdtContent>
  </w:sdt>
  <w:p>
    <w:pPr>
      <w:pStyle w:val="9"/>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ind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ind w:firstLine="360"/>
    </w:pPr>
  </w:p>
  <w:p>
    <w:pPr>
      <w:pStyle w:val="9"/>
      <w:ind w:firstLine="36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ind w:firstLine="360"/>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ind w:right="180" w:firstLine="360"/>
      <w:jc w:val="right"/>
    </w:pPr>
  </w:p>
  <w:p>
    <w:pPr>
      <w:pStyle w:val="9"/>
      <w:ind w:firstLine="0" w:firstLineChars="0"/>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445152989"/>
    </w:sdtPr>
    <w:sdtContent>
      <w:p>
        <w:pPr>
          <w:pStyle w:val="9"/>
          <w:ind w:firstLine="360"/>
          <w:jc w:val="right"/>
        </w:pPr>
        <w:r>
          <w:fldChar w:fldCharType="begin"/>
        </w:r>
        <w:r>
          <w:instrText xml:space="preserve">PAGE   \* MERGEFORMAT</w:instrText>
        </w:r>
        <w:r>
          <w:fldChar w:fldCharType="separate"/>
        </w:r>
        <w:r>
          <w:rPr>
            <w:lang w:val="zh-CN"/>
          </w:rPr>
          <w:t>I</w:t>
        </w:r>
        <w:r>
          <w:fldChar w:fldCharType="end"/>
        </w:r>
      </w:p>
    </w:sdtContent>
  </w:sdt>
  <w:p>
    <w:pPr>
      <w:pStyle w:val="9"/>
      <w:ind w:firstLine="0" w:firstLineChars="0"/>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937894469"/>
    </w:sdtPr>
    <w:sdtContent>
      <w:p>
        <w:pPr>
          <w:pStyle w:val="9"/>
          <w:ind w:firstLine="360"/>
        </w:pPr>
        <w:r>
          <w:fldChar w:fldCharType="begin"/>
        </w:r>
        <w:r>
          <w:instrText xml:space="preserve">PAGE   \* MERGEFORMAT</w:instrText>
        </w:r>
        <w:r>
          <w:fldChar w:fldCharType="separate"/>
        </w:r>
        <w:r>
          <w:rPr>
            <w:lang w:val="zh-CN"/>
          </w:rPr>
          <w:t>II</w:t>
        </w:r>
        <w:r>
          <w:fldChar w:fldCharType="end"/>
        </w:r>
      </w:p>
    </w:sdtContent>
  </w:sdt>
  <w:p>
    <w:pPr>
      <w:pStyle w:val="9"/>
      <w:ind w:firstLine="360"/>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554115301"/>
    </w:sdtPr>
    <w:sdtEndPr>
      <w:rPr>
        <w:rFonts w:ascii="宋体" w:hAnsi="宋体"/>
      </w:rPr>
    </w:sdtEndPr>
    <w:sdtContent>
      <w:p>
        <w:pPr>
          <w:pStyle w:val="9"/>
          <w:ind w:firstLine="360"/>
          <w:jc w:val="right"/>
          <w:rPr>
            <w:rFonts w:ascii="宋体" w:hAnsi="宋体"/>
          </w:rPr>
        </w:pPr>
        <w:r>
          <w:rPr>
            <w:rFonts w:ascii="宋体" w:hAnsi="宋体"/>
          </w:rPr>
          <w:fldChar w:fldCharType="begin"/>
        </w:r>
        <w:r>
          <w:rPr>
            <w:rFonts w:ascii="宋体" w:hAnsi="宋体"/>
          </w:rPr>
          <w:instrText xml:space="preserve">PAGE   \* MERGEFORMAT</w:instrText>
        </w:r>
        <w:r>
          <w:rPr>
            <w:rFonts w:ascii="宋体" w:hAnsi="宋体"/>
          </w:rPr>
          <w:fldChar w:fldCharType="separate"/>
        </w:r>
        <w:r>
          <w:rPr>
            <w:rFonts w:ascii="宋体" w:hAnsi="宋体"/>
            <w:lang w:val="zh-CN"/>
          </w:rPr>
          <w:t>7</w:t>
        </w:r>
        <w:r>
          <w:rPr>
            <w:rFonts w:ascii="宋体" w:hAnsi="宋体"/>
          </w:rPr>
          <w:fldChar w:fldCharType="end"/>
        </w:r>
      </w:p>
    </w:sdtContent>
  </w:sdt>
  <w:p>
    <w:pPr>
      <w:pStyle w:val="9"/>
      <w:ind w:firstLine="0" w:firstLineChars="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ind w:left="480" w:firstLine="0" w:firstLineChars="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Bdr>
        <w:bottom w:val="single" w:color="auto" w:sz="6" w:space="2"/>
      </w:pBdr>
      <w:ind w:firstLine="420"/>
      <w:rPr>
        <w:rFonts w:ascii="黑体" w:hAnsi="黑体" w:eastAsia="黑体"/>
        <w:sz w:val="21"/>
        <w:szCs w:val="21"/>
      </w:rPr>
    </w:pPr>
    <w:r>
      <w:rPr>
        <w:rFonts w:ascii="黑体" w:hAnsi="黑体" w:eastAsia="黑体" w:cs="Times New Roman"/>
        <w:sz w:val="21"/>
        <w:szCs w:val="21"/>
      </w:rPr>
      <w:t>JJF</w:t>
    </w:r>
    <w:r>
      <w:rPr>
        <w:rFonts w:hint="eastAsia" w:ascii="黑体" w:hAnsi="黑体" w:eastAsia="黑体"/>
        <w:sz w:val="21"/>
        <w:szCs w:val="21"/>
      </w:rPr>
      <w:t>（机械）</w:t>
    </w:r>
    <w:r>
      <w:rPr>
        <w:rFonts w:ascii="黑体" w:hAnsi="黑体" w:eastAsia="黑体"/>
        <w:sz w:val="21"/>
        <w:szCs w:val="21"/>
      </w:rPr>
      <w:t>1022</w:t>
    </w:r>
    <w:r>
      <w:rPr>
        <w:rFonts w:hint="eastAsia" w:ascii="黑体" w:hAnsi="黑体" w:eastAsia="黑体"/>
        <w:sz w:val="21"/>
        <w:szCs w:val="21"/>
      </w:rPr>
      <w:t>-201</w:t>
    </w:r>
    <w:r>
      <w:rPr>
        <w:rFonts w:ascii="黑体" w:hAnsi="黑体" w:eastAsia="黑体"/>
        <w:sz w:val="21"/>
        <w:szCs w:val="21"/>
      </w:rPr>
      <w:t>8</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ind w:firstLine="360"/>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ind w:firstLine="420"/>
      <w:rPr>
        <w:rFonts w:ascii="黑体" w:hAnsi="黑体" w:eastAsia="黑体"/>
        <w:sz w:val="21"/>
      </w:rPr>
    </w:pPr>
    <w:r>
      <w:rPr>
        <w:rFonts w:ascii="黑体" w:hAnsi="黑体" w:eastAsia="黑体" w:cs="Times New Roman"/>
        <w:sz w:val="21"/>
      </w:rPr>
      <w:t>JJF</w:t>
    </w:r>
    <w:r>
      <w:rPr>
        <w:rFonts w:hint="eastAsia" w:ascii="黑体" w:hAnsi="黑体" w:eastAsia="黑体"/>
        <w:sz w:val="21"/>
      </w:rPr>
      <w:t>（机械）</w:t>
    </w:r>
    <w:r>
      <w:rPr>
        <w:rFonts w:ascii="黑体" w:hAnsi="黑体" w:eastAsia="黑体"/>
        <w:sz w:val="21"/>
      </w:rPr>
      <w:t>1022</w:t>
    </w:r>
    <w:r>
      <w:rPr>
        <w:rFonts w:hint="eastAsia" w:ascii="黑体" w:hAnsi="黑体" w:eastAsia="黑体"/>
        <w:sz w:val="21"/>
      </w:rPr>
      <w:t>-201</w:t>
    </w:r>
    <w:r>
      <w:rPr>
        <w:rFonts w:ascii="黑体" w:hAnsi="黑体" w:eastAsia="黑体"/>
        <w:sz w:val="21"/>
      </w:rPr>
      <w:t>8</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1C2250"/>
    <w:multiLevelType w:val="multilevel"/>
    <w:tmpl w:val="061C2250"/>
    <w:lvl w:ilvl="0" w:tentative="0">
      <w:start w:val="1"/>
      <w:numFmt w:val="upperLetter"/>
      <w:pStyle w:val="58"/>
      <w:suff w:val="nothing"/>
      <w:lvlText w:val="附录 %1"/>
      <w:lvlJc w:val="left"/>
      <w:pPr>
        <w:ind w:left="425" w:hanging="425"/>
      </w:pPr>
      <w:rPr>
        <w:rFonts w:hint="eastAsia"/>
      </w:rPr>
    </w:lvl>
    <w:lvl w:ilvl="1" w:tentative="0">
      <w:start w:val="1"/>
      <w:numFmt w:val="decimal"/>
      <w:suff w:val="nothing"/>
      <w:lvlText w:val="%1.%2  "/>
      <w:lvlJc w:val="left"/>
      <w:pPr>
        <w:ind w:left="425" w:hanging="425"/>
      </w:pPr>
      <w:rPr>
        <w:rFonts w:hint="eastAsia"/>
      </w:rPr>
    </w:lvl>
    <w:lvl w:ilvl="2" w:tentative="0">
      <w:start w:val="1"/>
      <w:numFmt w:val="decimal"/>
      <w:suff w:val="nothing"/>
      <w:lvlText w:val="%1.%2.%3  "/>
      <w:lvlJc w:val="left"/>
      <w:pPr>
        <w:ind w:left="425" w:hanging="425"/>
      </w:pPr>
      <w:rPr>
        <w:rFonts w:hint="eastAsia"/>
      </w:rPr>
    </w:lvl>
    <w:lvl w:ilvl="3" w:tentative="0">
      <w:start w:val="1"/>
      <w:numFmt w:val="decimal"/>
      <w:lvlText w:val="%1.%2.%3.%4"/>
      <w:lvlJc w:val="left"/>
      <w:pPr>
        <w:ind w:left="425" w:hanging="425"/>
      </w:pPr>
      <w:rPr>
        <w:rFonts w:hint="eastAsia"/>
      </w:rPr>
    </w:lvl>
    <w:lvl w:ilvl="4" w:tentative="0">
      <w:start w:val="1"/>
      <w:numFmt w:val="decimal"/>
      <w:lvlText w:val="%1.%2.%3.%4.%5"/>
      <w:lvlJc w:val="left"/>
      <w:pPr>
        <w:ind w:left="425" w:hanging="425"/>
      </w:pPr>
      <w:rPr>
        <w:rFonts w:hint="eastAsia"/>
      </w:rPr>
    </w:lvl>
    <w:lvl w:ilvl="5" w:tentative="0">
      <w:start w:val="1"/>
      <w:numFmt w:val="decimal"/>
      <w:lvlText w:val="%1.%2.%3.%4.%5.%6"/>
      <w:lvlJc w:val="left"/>
      <w:pPr>
        <w:ind w:left="425" w:hanging="425"/>
      </w:pPr>
      <w:rPr>
        <w:rFonts w:hint="eastAsia"/>
      </w:rPr>
    </w:lvl>
    <w:lvl w:ilvl="6" w:tentative="0">
      <w:start w:val="1"/>
      <w:numFmt w:val="decimal"/>
      <w:lvlText w:val="%1.%2.%3.%4.%5.%6.%7"/>
      <w:lvlJc w:val="left"/>
      <w:pPr>
        <w:ind w:left="425" w:hanging="425"/>
      </w:pPr>
      <w:rPr>
        <w:rFonts w:hint="eastAsia"/>
      </w:rPr>
    </w:lvl>
    <w:lvl w:ilvl="7" w:tentative="0">
      <w:start w:val="1"/>
      <w:numFmt w:val="decimal"/>
      <w:lvlText w:val="%1.%2.%3.%4.%5.%6.%7.%8"/>
      <w:lvlJc w:val="left"/>
      <w:pPr>
        <w:ind w:left="425" w:hanging="425"/>
      </w:pPr>
      <w:rPr>
        <w:rFonts w:hint="eastAsia"/>
      </w:rPr>
    </w:lvl>
    <w:lvl w:ilvl="8" w:tentative="0">
      <w:start w:val="1"/>
      <w:numFmt w:val="decimal"/>
      <w:lvlText w:val="%1.%2.%3.%4.%5.%6.%7.%8.%9"/>
      <w:lvlJc w:val="left"/>
      <w:pPr>
        <w:ind w:left="425" w:hanging="425"/>
      </w:pPr>
      <w:rPr>
        <w:rFonts w:hint="eastAsia"/>
      </w:rPr>
    </w:lvl>
  </w:abstractNum>
  <w:abstractNum w:abstractNumId="1">
    <w:nsid w:val="2AEC6227"/>
    <w:multiLevelType w:val="multilevel"/>
    <w:tmpl w:val="2AEC6227"/>
    <w:lvl w:ilvl="0" w:tentative="0">
      <w:start w:val="1"/>
      <w:numFmt w:val="lowerLetter"/>
      <w:lvlText w:val="%1)"/>
      <w:lvlJc w:val="left"/>
      <w:pPr>
        <w:ind w:left="900" w:hanging="420"/>
      </w:p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2">
    <w:nsid w:val="431A70BF"/>
    <w:multiLevelType w:val="multilevel"/>
    <w:tmpl w:val="431A70BF"/>
    <w:lvl w:ilvl="0" w:tentative="0">
      <w:start w:val="1"/>
      <w:numFmt w:val="decimal"/>
      <w:pStyle w:val="2"/>
      <w:suff w:val="nothing"/>
      <w:lvlText w:val="%1  "/>
      <w:lvlJc w:val="left"/>
      <w:pPr>
        <w:ind w:left="425" w:hanging="425"/>
      </w:pPr>
      <w:rPr>
        <w:rFonts w:hint="eastAsia"/>
      </w:rPr>
    </w:lvl>
    <w:lvl w:ilvl="1" w:tentative="0">
      <w:start w:val="1"/>
      <w:numFmt w:val="decimal"/>
      <w:pStyle w:val="4"/>
      <w:suff w:val="nothing"/>
      <w:lvlText w:val="%1.%2  "/>
      <w:lvlJc w:val="left"/>
      <w:pPr>
        <w:ind w:left="425" w:hanging="425"/>
      </w:pPr>
      <w:rPr>
        <w:rFonts w:hint="eastAsia"/>
      </w:rPr>
    </w:lvl>
    <w:lvl w:ilvl="2" w:tentative="0">
      <w:start w:val="1"/>
      <w:numFmt w:val="decimal"/>
      <w:pStyle w:val="5"/>
      <w:suff w:val="nothing"/>
      <w:lvlText w:val="%1.%2.%3  "/>
      <w:lvlJc w:val="left"/>
      <w:pPr>
        <w:ind w:left="5954" w:hanging="425"/>
      </w:pPr>
      <w:rPr>
        <w:rFonts w:hint="eastAsia"/>
      </w:rPr>
    </w:lvl>
    <w:lvl w:ilvl="3" w:tentative="0">
      <w:start w:val="1"/>
      <w:numFmt w:val="decimal"/>
      <w:lvlText w:val="%1.%2.%3.%4"/>
      <w:lvlJc w:val="left"/>
      <w:pPr>
        <w:ind w:left="425" w:hanging="425"/>
      </w:pPr>
      <w:rPr>
        <w:rFonts w:hint="eastAsia"/>
      </w:rPr>
    </w:lvl>
    <w:lvl w:ilvl="4" w:tentative="0">
      <w:start w:val="1"/>
      <w:numFmt w:val="decimal"/>
      <w:lvlText w:val="%1.%2.%3.%4.%5"/>
      <w:lvlJc w:val="left"/>
      <w:pPr>
        <w:ind w:left="425" w:hanging="425"/>
      </w:pPr>
      <w:rPr>
        <w:rFonts w:hint="eastAsia"/>
      </w:rPr>
    </w:lvl>
    <w:lvl w:ilvl="5" w:tentative="0">
      <w:start w:val="1"/>
      <w:numFmt w:val="decimal"/>
      <w:lvlText w:val="%1.%2.%3.%4.%5.%6"/>
      <w:lvlJc w:val="left"/>
      <w:pPr>
        <w:ind w:left="425" w:hanging="425"/>
      </w:pPr>
      <w:rPr>
        <w:rFonts w:hint="eastAsia"/>
      </w:rPr>
    </w:lvl>
    <w:lvl w:ilvl="6" w:tentative="0">
      <w:start w:val="1"/>
      <w:numFmt w:val="decimal"/>
      <w:lvlText w:val="%1.%2.%3.%4.%5.%6.%7"/>
      <w:lvlJc w:val="left"/>
      <w:pPr>
        <w:ind w:left="425" w:hanging="425"/>
      </w:pPr>
      <w:rPr>
        <w:rFonts w:hint="eastAsia"/>
      </w:rPr>
    </w:lvl>
    <w:lvl w:ilvl="7" w:tentative="0">
      <w:start w:val="1"/>
      <w:numFmt w:val="decimal"/>
      <w:lvlText w:val="%1.%2.%3.%4.%5.%6.%7.%8"/>
      <w:lvlJc w:val="left"/>
      <w:pPr>
        <w:ind w:left="425" w:hanging="425"/>
      </w:pPr>
      <w:rPr>
        <w:rFonts w:hint="eastAsia"/>
      </w:rPr>
    </w:lvl>
    <w:lvl w:ilvl="8" w:tentative="0">
      <w:start w:val="1"/>
      <w:numFmt w:val="decimal"/>
      <w:lvlText w:val="%1.%2.%3.%4.%5.%6.%7.%8.%9"/>
      <w:lvlJc w:val="left"/>
      <w:pPr>
        <w:ind w:left="425" w:hanging="425"/>
      </w:pPr>
      <w:rPr>
        <w:rFonts w:hint="eastAsia"/>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evenAndOddHeaders w:val="1"/>
  <w:drawingGridHorizontalSpacing w:val="120"/>
  <w:drawingGridVerticalSpacing w:val="163"/>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458C0"/>
    <w:rsid w:val="000131AD"/>
    <w:rsid w:val="00017B36"/>
    <w:rsid w:val="00024654"/>
    <w:rsid w:val="00024CA9"/>
    <w:rsid w:val="000337E6"/>
    <w:rsid w:val="0003401E"/>
    <w:rsid w:val="00035BB5"/>
    <w:rsid w:val="00037EBD"/>
    <w:rsid w:val="00040322"/>
    <w:rsid w:val="00043271"/>
    <w:rsid w:val="00050087"/>
    <w:rsid w:val="0005569B"/>
    <w:rsid w:val="00060689"/>
    <w:rsid w:val="00060C2C"/>
    <w:rsid w:val="00065A36"/>
    <w:rsid w:val="00072A94"/>
    <w:rsid w:val="00076FA8"/>
    <w:rsid w:val="0008147E"/>
    <w:rsid w:val="00086D8D"/>
    <w:rsid w:val="000913AE"/>
    <w:rsid w:val="000C1305"/>
    <w:rsid w:val="000C5D9F"/>
    <w:rsid w:val="000D4B51"/>
    <w:rsid w:val="000D5843"/>
    <w:rsid w:val="000D5F3A"/>
    <w:rsid w:val="000D71BF"/>
    <w:rsid w:val="000E40C1"/>
    <w:rsid w:val="000E453C"/>
    <w:rsid w:val="000E52F2"/>
    <w:rsid w:val="000E5478"/>
    <w:rsid w:val="000E5C42"/>
    <w:rsid w:val="001014FE"/>
    <w:rsid w:val="00110414"/>
    <w:rsid w:val="00111DB9"/>
    <w:rsid w:val="0014490B"/>
    <w:rsid w:val="001509CD"/>
    <w:rsid w:val="00151161"/>
    <w:rsid w:val="00151A62"/>
    <w:rsid w:val="001540D5"/>
    <w:rsid w:val="0015599B"/>
    <w:rsid w:val="001570AB"/>
    <w:rsid w:val="00157777"/>
    <w:rsid w:val="001601B0"/>
    <w:rsid w:val="001613CB"/>
    <w:rsid w:val="00170563"/>
    <w:rsid w:val="00172010"/>
    <w:rsid w:val="001840DE"/>
    <w:rsid w:val="00193D2A"/>
    <w:rsid w:val="001A6056"/>
    <w:rsid w:val="001B0D02"/>
    <w:rsid w:val="001B428F"/>
    <w:rsid w:val="001B6D5D"/>
    <w:rsid w:val="001C1047"/>
    <w:rsid w:val="001C4BC4"/>
    <w:rsid w:val="001D15FB"/>
    <w:rsid w:val="001E533E"/>
    <w:rsid w:val="001E6D28"/>
    <w:rsid w:val="001F030C"/>
    <w:rsid w:val="002052AE"/>
    <w:rsid w:val="00211461"/>
    <w:rsid w:val="00212204"/>
    <w:rsid w:val="002218C7"/>
    <w:rsid w:val="002231E5"/>
    <w:rsid w:val="002232B0"/>
    <w:rsid w:val="00245762"/>
    <w:rsid w:val="002458C0"/>
    <w:rsid w:val="002607CC"/>
    <w:rsid w:val="00266EF7"/>
    <w:rsid w:val="0027017C"/>
    <w:rsid w:val="00275F11"/>
    <w:rsid w:val="00283C1D"/>
    <w:rsid w:val="002A224B"/>
    <w:rsid w:val="002C66A0"/>
    <w:rsid w:val="002D0E64"/>
    <w:rsid w:val="002D0F80"/>
    <w:rsid w:val="002D2C28"/>
    <w:rsid w:val="002D5077"/>
    <w:rsid w:val="002F3141"/>
    <w:rsid w:val="003056E2"/>
    <w:rsid w:val="00317C9B"/>
    <w:rsid w:val="003207C0"/>
    <w:rsid w:val="00324028"/>
    <w:rsid w:val="00344DA8"/>
    <w:rsid w:val="00350C14"/>
    <w:rsid w:val="00352191"/>
    <w:rsid w:val="00352CC2"/>
    <w:rsid w:val="00370EF5"/>
    <w:rsid w:val="003748DE"/>
    <w:rsid w:val="0037680B"/>
    <w:rsid w:val="00380114"/>
    <w:rsid w:val="00383ED4"/>
    <w:rsid w:val="00392056"/>
    <w:rsid w:val="003946DC"/>
    <w:rsid w:val="00394C88"/>
    <w:rsid w:val="00395BD5"/>
    <w:rsid w:val="00396FB0"/>
    <w:rsid w:val="0039711B"/>
    <w:rsid w:val="003A585C"/>
    <w:rsid w:val="003A5998"/>
    <w:rsid w:val="003B39F7"/>
    <w:rsid w:val="003E2904"/>
    <w:rsid w:val="003E4AD5"/>
    <w:rsid w:val="003F249B"/>
    <w:rsid w:val="003F260B"/>
    <w:rsid w:val="004119AA"/>
    <w:rsid w:val="00413243"/>
    <w:rsid w:val="00415202"/>
    <w:rsid w:val="004239E8"/>
    <w:rsid w:val="00431595"/>
    <w:rsid w:val="0043441B"/>
    <w:rsid w:val="004410B3"/>
    <w:rsid w:val="004513EF"/>
    <w:rsid w:val="004546DD"/>
    <w:rsid w:val="00456736"/>
    <w:rsid w:val="00460B3B"/>
    <w:rsid w:val="004703D3"/>
    <w:rsid w:val="004704A3"/>
    <w:rsid w:val="00484EEC"/>
    <w:rsid w:val="004879C6"/>
    <w:rsid w:val="00487ACB"/>
    <w:rsid w:val="00490A79"/>
    <w:rsid w:val="004A3743"/>
    <w:rsid w:val="004A7F05"/>
    <w:rsid w:val="004B673A"/>
    <w:rsid w:val="004B6B90"/>
    <w:rsid w:val="004C0781"/>
    <w:rsid w:val="004C65FB"/>
    <w:rsid w:val="004C7634"/>
    <w:rsid w:val="004D4FAF"/>
    <w:rsid w:val="004E6820"/>
    <w:rsid w:val="004E73CF"/>
    <w:rsid w:val="004F0A6E"/>
    <w:rsid w:val="004F7799"/>
    <w:rsid w:val="004F7A5D"/>
    <w:rsid w:val="00503852"/>
    <w:rsid w:val="00504116"/>
    <w:rsid w:val="0051209E"/>
    <w:rsid w:val="00515A8F"/>
    <w:rsid w:val="005318B8"/>
    <w:rsid w:val="0054515D"/>
    <w:rsid w:val="00550B47"/>
    <w:rsid w:val="005535D1"/>
    <w:rsid w:val="00556998"/>
    <w:rsid w:val="00557453"/>
    <w:rsid w:val="00564F37"/>
    <w:rsid w:val="0057075C"/>
    <w:rsid w:val="00570A0E"/>
    <w:rsid w:val="00584794"/>
    <w:rsid w:val="00587FBA"/>
    <w:rsid w:val="00591CB6"/>
    <w:rsid w:val="00593018"/>
    <w:rsid w:val="005974F8"/>
    <w:rsid w:val="005A0C72"/>
    <w:rsid w:val="005A56FB"/>
    <w:rsid w:val="005C1E24"/>
    <w:rsid w:val="005C5B22"/>
    <w:rsid w:val="005D1621"/>
    <w:rsid w:val="005F2F60"/>
    <w:rsid w:val="005F51EB"/>
    <w:rsid w:val="00605325"/>
    <w:rsid w:val="00611553"/>
    <w:rsid w:val="00612F0C"/>
    <w:rsid w:val="006134B4"/>
    <w:rsid w:val="0062566B"/>
    <w:rsid w:val="00631E79"/>
    <w:rsid w:val="006321A0"/>
    <w:rsid w:val="006377AD"/>
    <w:rsid w:val="00641D29"/>
    <w:rsid w:val="00643E05"/>
    <w:rsid w:val="00646AB8"/>
    <w:rsid w:val="00654030"/>
    <w:rsid w:val="00654DB9"/>
    <w:rsid w:val="006800D0"/>
    <w:rsid w:val="006807CB"/>
    <w:rsid w:val="006829A7"/>
    <w:rsid w:val="006A156E"/>
    <w:rsid w:val="006A43D4"/>
    <w:rsid w:val="006A457A"/>
    <w:rsid w:val="006B2C33"/>
    <w:rsid w:val="006B3695"/>
    <w:rsid w:val="006C27EE"/>
    <w:rsid w:val="006C3815"/>
    <w:rsid w:val="006C3867"/>
    <w:rsid w:val="006C7721"/>
    <w:rsid w:val="006D0A88"/>
    <w:rsid w:val="006E4DE9"/>
    <w:rsid w:val="006F087A"/>
    <w:rsid w:val="006F4175"/>
    <w:rsid w:val="006F7744"/>
    <w:rsid w:val="00701D58"/>
    <w:rsid w:val="00707F95"/>
    <w:rsid w:val="00710EB9"/>
    <w:rsid w:val="007124C3"/>
    <w:rsid w:val="0072137E"/>
    <w:rsid w:val="007308EE"/>
    <w:rsid w:val="00753953"/>
    <w:rsid w:val="00756709"/>
    <w:rsid w:val="00756896"/>
    <w:rsid w:val="007618C9"/>
    <w:rsid w:val="00771A76"/>
    <w:rsid w:val="00771F25"/>
    <w:rsid w:val="00781341"/>
    <w:rsid w:val="007817E9"/>
    <w:rsid w:val="00783219"/>
    <w:rsid w:val="007837E3"/>
    <w:rsid w:val="0078449F"/>
    <w:rsid w:val="00785A0F"/>
    <w:rsid w:val="00786450"/>
    <w:rsid w:val="00797203"/>
    <w:rsid w:val="007A0E82"/>
    <w:rsid w:val="007A5DAE"/>
    <w:rsid w:val="007B14E5"/>
    <w:rsid w:val="007B33CA"/>
    <w:rsid w:val="007C0C86"/>
    <w:rsid w:val="007E119D"/>
    <w:rsid w:val="007F01D5"/>
    <w:rsid w:val="007F6308"/>
    <w:rsid w:val="007F7E68"/>
    <w:rsid w:val="00804901"/>
    <w:rsid w:val="008123E6"/>
    <w:rsid w:val="00821BAF"/>
    <w:rsid w:val="00822CE7"/>
    <w:rsid w:val="0083006C"/>
    <w:rsid w:val="00835A4A"/>
    <w:rsid w:val="008366FD"/>
    <w:rsid w:val="00842122"/>
    <w:rsid w:val="0084305C"/>
    <w:rsid w:val="00847B68"/>
    <w:rsid w:val="008668A6"/>
    <w:rsid w:val="00866C25"/>
    <w:rsid w:val="00871B5B"/>
    <w:rsid w:val="00871C36"/>
    <w:rsid w:val="00891A88"/>
    <w:rsid w:val="00894F28"/>
    <w:rsid w:val="008A1A19"/>
    <w:rsid w:val="008B2A21"/>
    <w:rsid w:val="008C08AD"/>
    <w:rsid w:val="008D23A3"/>
    <w:rsid w:val="008D7885"/>
    <w:rsid w:val="008E19A5"/>
    <w:rsid w:val="008E3740"/>
    <w:rsid w:val="008E6720"/>
    <w:rsid w:val="008F332B"/>
    <w:rsid w:val="008F7CE9"/>
    <w:rsid w:val="00903681"/>
    <w:rsid w:val="00915094"/>
    <w:rsid w:val="0092428C"/>
    <w:rsid w:val="009249C9"/>
    <w:rsid w:val="00940503"/>
    <w:rsid w:val="009549D8"/>
    <w:rsid w:val="00957CCB"/>
    <w:rsid w:val="0096104E"/>
    <w:rsid w:val="00971FFD"/>
    <w:rsid w:val="009734CA"/>
    <w:rsid w:val="0098763B"/>
    <w:rsid w:val="009A1DD5"/>
    <w:rsid w:val="009A2400"/>
    <w:rsid w:val="009B139D"/>
    <w:rsid w:val="009B7793"/>
    <w:rsid w:val="009C7040"/>
    <w:rsid w:val="009D0EC2"/>
    <w:rsid w:val="009D732E"/>
    <w:rsid w:val="009D7461"/>
    <w:rsid w:val="00A013F5"/>
    <w:rsid w:val="00A10DB5"/>
    <w:rsid w:val="00A10E9D"/>
    <w:rsid w:val="00A12304"/>
    <w:rsid w:val="00A12479"/>
    <w:rsid w:val="00A1565D"/>
    <w:rsid w:val="00A321A5"/>
    <w:rsid w:val="00A35C92"/>
    <w:rsid w:val="00A4213D"/>
    <w:rsid w:val="00A46416"/>
    <w:rsid w:val="00A60A15"/>
    <w:rsid w:val="00A7395E"/>
    <w:rsid w:val="00A804E8"/>
    <w:rsid w:val="00AA324E"/>
    <w:rsid w:val="00AA71A6"/>
    <w:rsid w:val="00AA7B3F"/>
    <w:rsid w:val="00AB11F3"/>
    <w:rsid w:val="00AB32B9"/>
    <w:rsid w:val="00AB49F5"/>
    <w:rsid w:val="00AC33FE"/>
    <w:rsid w:val="00AD1051"/>
    <w:rsid w:val="00AD173A"/>
    <w:rsid w:val="00AD4D3F"/>
    <w:rsid w:val="00AF37B4"/>
    <w:rsid w:val="00B10EDC"/>
    <w:rsid w:val="00B34A20"/>
    <w:rsid w:val="00B44C59"/>
    <w:rsid w:val="00B47D3D"/>
    <w:rsid w:val="00B51242"/>
    <w:rsid w:val="00B55BD7"/>
    <w:rsid w:val="00B62421"/>
    <w:rsid w:val="00B65E55"/>
    <w:rsid w:val="00B838DB"/>
    <w:rsid w:val="00B919C1"/>
    <w:rsid w:val="00BA1B63"/>
    <w:rsid w:val="00BA6F58"/>
    <w:rsid w:val="00BB1621"/>
    <w:rsid w:val="00BC09DF"/>
    <w:rsid w:val="00BC1F97"/>
    <w:rsid w:val="00BC7CA3"/>
    <w:rsid w:val="00BD2FD1"/>
    <w:rsid w:val="00BD3EDA"/>
    <w:rsid w:val="00BE17EE"/>
    <w:rsid w:val="00BE3305"/>
    <w:rsid w:val="00BF273C"/>
    <w:rsid w:val="00BF5987"/>
    <w:rsid w:val="00C02A58"/>
    <w:rsid w:val="00C060EF"/>
    <w:rsid w:val="00C336E3"/>
    <w:rsid w:val="00C3749A"/>
    <w:rsid w:val="00C40938"/>
    <w:rsid w:val="00C45ABB"/>
    <w:rsid w:val="00C52991"/>
    <w:rsid w:val="00C82D33"/>
    <w:rsid w:val="00CA4B85"/>
    <w:rsid w:val="00CB6C36"/>
    <w:rsid w:val="00CC229A"/>
    <w:rsid w:val="00CC3647"/>
    <w:rsid w:val="00CC4A61"/>
    <w:rsid w:val="00CD08B7"/>
    <w:rsid w:val="00CE1361"/>
    <w:rsid w:val="00CE6F0A"/>
    <w:rsid w:val="00CE7895"/>
    <w:rsid w:val="00CF589C"/>
    <w:rsid w:val="00CF74EC"/>
    <w:rsid w:val="00D06ADB"/>
    <w:rsid w:val="00D160ED"/>
    <w:rsid w:val="00D22510"/>
    <w:rsid w:val="00D26991"/>
    <w:rsid w:val="00D320FD"/>
    <w:rsid w:val="00D332A7"/>
    <w:rsid w:val="00D36CC3"/>
    <w:rsid w:val="00D439BE"/>
    <w:rsid w:val="00D43B5B"/>
    <w:rsid w:val="00D54916"/>
    <w:rsid w:val="00D72F65"/>
    <w:rsid w:val="00D7666D"/>
    <w:rsid w:val="00D963DE"/>
    <w:rsid w:val="00DA2285"/>
    <w:rsid w:val="00DB622C"/>
    <w:rsid w:val="00DB7D79"/>
    <w:rsid w:val="00DE4844"/>
    <w:rsid w:val="00DF1430"/>
    <w:rsid w:val="00DF4E6E"/>
    <w:rsid w:val="00E00777"/>
    <w:rsid w:val="00E00B39"/>
    <w:rsid w:val="00E17D0E"/>
    <w:rsid w:val="00E20506"/>
    <w:rsid w:val="00E239D6"/>
    <w:rsid w:val="00E24976"/>
    <w:rsid w:val="00E305A7"/>
    <w:rsid w:val="00E32346"/>
    <w:rsid w:val="00E450DA"/>
    <w:rsid w:val="00E5348E"/>
    <w:rsid w:val="00E60848"/>
    <w:rsid w:val="00E61D77"/>
    <w:rsid w:val="00E70717"/>
    <w:rsid w:val="00E77DE0"/>
    <w:rsid w:val="00E809A0"/>
    <w:rsid w:val="00E81DE7"/>
    <w:rsid w:val="00E85BC0"/>
    <w:rsid w:val="00E95EA6"/>
    <w:rsid w:val="00E97934"/>
    <w:rsid w:val="00EA3B5F"/>
    <w:rsid w:val="00EA6484"/>
    <w:rsid w:val="00ED5602"/>
    <w:rsid w:val="00ED6A90"/>
    <w:rsid w:val="00EF10EF"/>
    <w:rsid w:val="00EF10F4"/>
    <w:rsid w:val="00F046F5"/>
    <w:rsid w:val="00F07B99"/>
    <w:rsid w:val="00F1656D"/>
    <w:rsid w:val="00F22F84"/>
    <w:rsid w:val="00F3621C"/>
    <w:rsid w:val="00F57F25"/>
    <w:rsid w:val="00F65EBC"/>
    <w:rsid w:val="00F955FA"/>
    <w:rsid w:val="00F97473"/>
    <w:rsid w:val="00FB658A"/>
    <w:rsid w:val="00FC3D9F"/>
    <w:rsid w:val="00FC642A"/>
    <w:rsid w:val="00FD1D33"/>
    <w:rsid w:val="00FD3F02"/>
    <w:rsid w:val="00FD4FBB"/>
    <w:rsid w:val="00FD6104"/>
    <w:rsid w:val="00FE3A48"/>
    <w:rsid w:val="00FE4C0D"/>
    <w:rsid w:val="00FE51F1"/>
    <w:rsid w:val="00FF34ED"/>
    <w:rsid w:val="00FF5E25"/>
    <w:rsid w:val="0F7A383A"/>
    <w:rsid w:val="60AA76E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uiPriority="39" w:semiHidden="0" w:name="toc 2"/>
    <w:lsdException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400" w:lineRule="exact"/>
      <w:ind w:firstLine="480" w:firstLineChars="200"/>
      <w:jc w:val="both"/>
    </w:pPr>
    <w:rPr>
      <w:rFonts w:ascii="Times New Roman" w:hAnsi="Times New Roman" w:eastAsia="宋体" w:cstheme="minorBidi"/>
      <w:kern w:val="2"/>
      <w:sz w:val="24"/>
      <w:szCs w:val="24"/>
      <w:lang w:val="en-US" w:eastAsia="zh-CN" w:bidi="ar-SA"/>
    </w:rPr>
  </w:style>
  <w:style w:type="paragraph" w:styleId="2">
    <w:name w:val="heading 1"/>
    <w:basedOn w:val="3"/>
    <w:next w:val="1"/>
    <w:link w:val="28"/>
    <w:qFormat/>
    <w:uiPriority w:val="9"/>
    <w:pPr>
      <w:numPr>
        <w:ilvl w:val="0"/>
        <w:numId w:val="1"/>
      </w:numPr>
      <w:spacing w:before="326" w:beforeLines="100" w:after="326" w:afterLines="100"/>
      <w:ind w:left="0" w:firstLine="0" w:firstLineChars="0"/>
      <w:outlineLvl w:val="0"/>
    </w:pPr>
    <w:rPr>
      <w:rFonts w:ascii="黑体" w:hAnsi="黑体" w:eastAsia="黑体"/>
    </w:rPr>
  </w:style>
  <w:style w:type="paragraph" w:styleId="4">
    <w:name w:val="heading 2"/>
    <w:basedOn w:val="2"/>
    <w:next w:val="1"/>
    <w:link w:val="50"/>
    <w:unhideWhenUsed/>
    <w:qFormat/>
    <w:uiPriority w:val="9"/>
    <w:pPr>
      <w:numPr>
        <w:ilvl w:val="1"/>
      </w:numPr>
      <w:spacing w:before="0" w:beforeLines="0" w:after="0" w:afterLines="0"/>
      <w:outlineLvl w:val="1"/>
    </w:pPr>
    <w:rPr>
      <w:rFonts w:ascii="宋体" w:hAnsi="宋体" w:eastAsia="宋体"/>
    </w:rPr>
  </w:style>
  <w:style w:type="paragraph" w:styleId="5">
    <w:name w:val="heading 3"/>
    <w:basedOn w:val="4"/>
    <w:next w:val="1"/>
    <w:link w:val="56"/>
    <w:unhideWhenUsed/>
    <w:qFormat/>
    <w:uiPriority w:val="9"/>
    <w:pPr>
      <w:numPr>
        <w:ilvl w:val="2"/>
      </w:numPr>
      <w:outlineLvl w:val="2"/>
    </w:pPr>
  </w:style>
  <w:style w:type="character" w:default="1" w:styleId="13">
    <w:name w:val="Default Paragraph Font"/>
    <w:unhideWhenUsed/>
    <w:uiPriority w:val="1"/>
  </w:style>
  <w:style w:type="table" w:default="1" w:styleId="15">
    <w:name w:val="Normal Table"/>
    <w:unhideWhenUsed/>
    <w:uiPriority w:val="99"/>
    <w:tblPr>
      <w:tblLayout w:type="fixed"/>
      <w:tblCellMar>
        <w:top w:w="0" w:type="dxa"/>
        <w:left w:w="108" w:type="dxa"/>
        <w:bottom w:w="0" w:type="dxa"/>
        <w:right w:w="108" w:type="dxa"/>
      </w:tblCellMar>
    </w:tblPr>
  </w:style>
  <w:style w:type="paragraph" w:customStyle="1" w:styleId="3">
    <w:name w:val="List Paragraph"/>
    <w:basedOn w:val="1"/>
    <w:link w:val="51"/>
    <w:qFormat/>
    <w:uiPriority w:val="34"/>
    <w:pPr>
      <w:ind w:firstLine="420"/>
    </w:pPr>
  </w:style>
  <w:style w:type="paragraph" w:styleId="6">
    <w:name w:val="caption"/>
    <w:basedOn w:val="1"/>
    <w:next w:val="1"/>
    <w:unhideWhenUsed/>
    <w:qFormat/>
    <w:uiPriority w:val="35"/>
    <w:rPr>
      <w:rFonts w:eastAsia="黑体" w:asciiTheme="majorHAnsi" w:hAnsiTheme="majorHAnsi" w:cstheme="majorBidi"/>
      <w:sz w:val="20"/>
      <w:szCs w:val="20"/>
    </w:rPr>
  </w:style>
  <w:style w:type="paragraph" w:styleId="7">
    <w:name w:val="toc 3"/>
    <w:basedOn w:val="1"/>
    <w:next w:val="1"/>
    <w:unhideWhenUsed/>
    <w:uiPriority w:val="39"/>
    <w:pPr>
      <w:ind w:left="840" w:leftChars="400"/>
    </w:pPr>
  </w:style>
  <w:style w:type="paragraph" w:styleId="8">
    <w:name w:val="Balloon Text"/>
    <w:basedOn w:val="1"/>
    <w:link w:val="25"/>
    <w:unhideWhenUsed/>
    <w:uiPriority w:val="99"/>
    <w:rPr>
      <w:sz w:val="18"/>
      <w:szCs w:val="18"/>
    </w:rPr>
  </w:style>
  <w:style w:type="paragraph" w:styleId="9">
    <w:name w:val="footer"/>
    <w:basedOn w:val="1"/>
    <w:link w:val="24"/>
    <w:unhideWhenUsed/>
    <w:uiPriority w:val="99"/>
    <w:pPr>
      <w:tabs>
        <w:tab w:val="center" w:pos="4153"/>
        <w:tab w:val="right" w:pos="8306"/>
      </w:tabs>
      <w:snapToGrid w:val="0"/>
      <w:jc w:val="left"/>
    </w:pPr>
    <w:rPr>
      <w:sz w:val="18"/>
      <w:szCs w:val="18"/>
    </w:rPr>
  </w:style>
  <w:style w:type="paragraph" w:styleId="10">
    <w:name w:val="header"/>
    <w:basedOn w:val="1"/>
    <w:link w:val="23"/>
    <w:unhideWhenUsed/>
    <w:uiPriority w:val="99"/>
    <w:pPr>
      <w:pBdr>
        <w:bottom w:val="single" w:color="auto" w:sz="6" w:space="1"/>
      </w:pBdr>
      <w:tabs>
        <w:tab w:val="center" w:pos="4153"/>
        <w:tab w:val="right" w:pos="8306"/>
      </w:tabs>
      <w:snapToGrid w:val="0"/>
      <w:jc w:val="center"/>
    </w:pPr>
    <w:rPr>
      <w:sz w:val="18"/>
      <w:szCs w:val="18"/>
    </w:rPr>
  </w:style>
  <w:style w:type="paragraph" w:styleId="11">
    <w:name w:val="toc 1"/>
    <w:basedOn w:val="1"/>
    <w:next w:val="1"/>
    <w:unhideWhenUsed/>
    <w:qFormat/>
    <w:uiPriority w:val="39"/>
    <w:pPr>
      <w:tabs>
        <w:tab w:val="right" w:leader="dot" w:pos="9627"/>
      </w:tabs>
      <w:ind w:firstLine="0" w:firstLineChars="0"/>
    </w:pPr>
  </w:style>
  <w:style w:type="paragraph" w:styleId="12">
    <w:name w:val="toc 2"/>
    <w:basedOn w:val="1"/>
    <w:next w:val="1"/>
    <w:unhideWhenUsed/>
    <w:uiPriority w:val="39"/>
    <w:pPr>
      <w:tabs>
        <w:tab w:val="right" w:leader="dot" w:pos="9627"/>
      </w:tabs>
      <w:ind w:left="425" w:leftChars="177" w:firstLine="370" w:firstLineChars="154"/>
    </w:pPr>
  </w:style>
  <w:style w:type="character" w:styleId="14">
    <w:name w:val="Hyperlink"/>
    <w:basedOn w:val="13"/>
    <w:unhideWhenUsed/>
    <w:qFormat/>
    <w:uiPriority w:val="99"/>
    <w:rPr>
      <w:color w:val="0563C1" w:themeColor="hyperlink"/>
      <w:u w:val="single"/>
      <w14:textFill>
        <w14:solidFill>
          <w14:schemeClr w14:val="hlink"/>
        </w14:solidFill>
      </w14:textFill>
    </w:rPr>
  </w:style>
  <w:style w:type="table" w:styleId="16">
    <w:name w:val="Table Grid"/>
    <w:basedOn w:val="15"/>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17">
    <w:name w:val="封面标准号2"/>
    <w:basedOn w:val="1"/>
    <w:uiPriority w:val="0"/>
    <w:pPr>
      <w:framePr w:w="9138" w:h="1244" w:hRule="exact" w:wrap="around" w:vAnchor="page" w:hAnchor="margin" w:y="2908" w:anchorLock="1"/>
      <w:kinsoku w:val="0"/>
      <w:overflowPunct w:val="0"/>
      <w:autoSpaceDE w:val="0"/>
      <w:autoSpaceDN w:val="0"/>
      <w:adjustRightInd w:val="0"/>
      <w:spacing w:before="357" w:line="280" w:lineRule="exact"/>
      <w:jc w:val="right"/>
      <w:textAlignment w:val="center"/>
    </w:pPr>
    <w:rPr>
      <w:rFonts w:cs="Times New Roman"/>
      <w:kern w:val="0"/>
      <w:sz w:val="28"/>
      <w:szCs w:val="20"/>
    </w:rPr>
  </w:style>
  <w:style w:type="paragraph" w:customStyle="1" w:styleId="18">
    <w:name w:val="其他标准称谓"/>
    <w:uiPriority w:val="0"/>
    <w:pPr>
      <w:spacing w:line="0" w:lineRule="atLeast"/>
      <w:jc w:val="distribute"/>
    </w:pPr>
    <w:rPr>
      <w:rFonts w:ascii="黑体" w:hAnsi="宋体" w:eastAsia="黑体" w:cs="Times New Roman"/>
      <w:kern w:val="0"/>
      <w:sz w:val="52"/>
      <w:szCs w:val="20"/>
      <w:lang w:val="en-US" w:eastAsia="zh-CN" w:bidi="ar-SA"/>
    </w:rPr>
  </w:style>
  <w:style w:type="paragraph" w:customStyle="1" w:styleId="19">
    <w:name w:val="封面标准英文名称"/>
    <w:uiPriority w:val="0"/>
    <w:pPr>
      <w:widowControl w:val="0"/>
      <w:spacing w:before="370" w:line="400" w:lineRule="exact"/>
      <w:jc w:val="center"/>
    </w:pPr>
    <w:rPr>
      <w:rFonts w:ascii="Times New Roman" w:hAnsi="Times New Roman" w:eastAsia="宋体" w:cs="Times New Roman"/>
      <w:kern w:val="0"/>
      <w:sz w:val="28"/>
      <w:szCs w:val="20"/>
      <w:lang w:val="en-US" w:eastAsia="zh-CN" w:bidi="ar-SA"/>
    </w:rPr>
  </w:style>
  <w:style w:type="paragraph" w:customStyle="1" w:styleId="20">
    <w:name w:val="发布日期"/>
    <w:qFormat/>
    <w:uiPriority w:val="0"/>
    <w:pPr>
      <w:framePr w:w="4000" w:h="473" w:hRule="exact" w:hSpace="180" w:vSpace="180" w:wrap="around" w:vAnchor="margin" w:hAnchor="margin" w:y="13511" w:anchorLock="1"/>
    </w:pPr>
    <w:rPr>
      <w:rFonts w:ascii="Times New Roman" w:hAnsi="Times New Roman" w:eastAsia="黑体" w:cs="Times New Roman"/>
      <w:kern w:val="0"/>
      <w:sz w:val="28"/>
      <w:szCs w:val="20"/>
      <w:lang w:val="en-US" w:eastAsia="zh-CN" w:bidi="ar-SA"/>
    </w:rPr>
  </w:style>
  <w:style w:type="paragraph" w:customStyle="1" w:styleId="21">
    <w:name w:val="实施日期"/>
    <w:basedOn w:val="20"/>
    <w:uiPriority w:val="0"/>
    <w:pPr>
      <w:framePr w:hSpace="0" w:xAlign="right"/>
      <w:jc w:val="right"/>
    </w:pPr>
  </w:style>
  <w:style w:type="paragraph" w:customStyle="1" w:styleId="22">
    <w:name w:val="其他发布部门"/>
    <w:basedOn w:val="1"/>
    <w:uiPriority w:val="0"/>
    <w:pPr>
      <w:framePr w:w="7433" w:h="585" w:hRule="exact" w:hSpace="180" w:vSpace="180" w:wrap="around" w:vAnchor="margin" w:hAnchor="margin" w:xAlign="center" w:y="14401" w:anchorLock="1"/>
      <w:widowControl/>
      <w:spacing w:line="0" w:lineRule="atLeast"/>
      <w:jc w:val="center"/>
    </w:pPr>
    <w:rPr>
      <w:rFonts w:ascii="黑体" w:eastAsia="黑体" w:cs="Times New Roman"/>
      <w:spacing w:val="20"/>
      <w:w w:val="135"/>
      <w:kern w:val="0"/>
      <w:sz w:val="36"/>
      <w:szCs w:val="20"/>
    </w:rPr>
  </w:style>
  <w:style w:type="character" w:customStyle="1" w:styleId="23">
    <w:name w:val="页眉 Char"/>
    <w:basedOn w:val="13"/>
    <w:link w:val="10"/>
    <w:uiPriority w:val="99"/>
    <w:rPr>
      <w:sz w:val="18"/>
      <w:szCs w:val="18"/>
    </w:rPr>
  </w:style>
  <w:style w:type="character" w:customStyle="1" w:styleId="24">
    <w:name w:val="页脚 Char"/>
    <w:basedOn w:val="13"/>
    <w:link w:val="9"/>
    <w:uiPriority w:val="99"/>
    <w:rPr>
      <w:sz w:val="18"/>
      <w:szCs w:val="18"/>
    </w:rPr>
  </w:style>
  <w:style w:type="character" w:customStyle="1" w:styleId="25">
    <w:name w:val="批注框文本 Char"/>
    <w:basedOn w:val="13"/>
    <w:link w:val="8"/>
    <w:semiHidden/>
    <w:uiPriority w:val="99"/>
    <w:rPr>
      <w:sz w:val="18"/>
      <w:szCs w:val="18"/>
    </w:rPr>
  </w:style>
  <w:style w:type="paragraph" w:customStyle="1" w:styleId="26">
    <w:name w:val="封面标准名称"/>
    <w:link w:val="31"/>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kern w:val="0"/>
      <w:sz w:val="52"/>
      <w:szCs w:val="20"/>
      <w:lang w:val="en-US" w:eastAsia="zh-CN" w:bidi="ar-SA"/>
    </w:rPr>
  </w:style>
  <w:style w:type="paragraph" w:customStyle="1" w:styleId="27">
    <w:name w:val="目次、索引正文"/>
    <w:link w:val="44"/>
    <w:qFormat/>
    <w:uiPriority w:val="0"/>
    <w:pPr>
      <w:spacing w:line="320" w:lineRule="exact"/>
      <w:jc w:val="both"/>
    </w:pPr>
    <w:rPr>
      <w:rFonts w:ascii="宋体" w:hAnsi="Times New Roman" w:eastAsia="宋体" w:cs="Times New Roman"/>
      <w:kern w:val="0"/>
      <w:sz w:val="21"/>
      <w:szCs w:val="20"/>
      <w:lang w:val="en-US" w:eastAsia="zh-CN" w:bidi="ar-SA"/>
    </w:rPr>
  </w:style>
  <w:style w:type="character" w:customStyle="1" w:styleId="28">
    <w:name w:val="标题 1 Char"/>
    <w:basedOn w:val="13"/>
    <w:link w:val="2"/>
    <w:uiPriority w:val="9"/>
    <w:rPr>
      <w:rFonts w:ascii="黑体" w:hAnsi="黑体" w:eastAsia="黑体"/>
      <w:sz w:val="24"/>
      <w:szCs w:val="24"/>
    </w:rPr>
  </w:style>
  <w:style w:type="paragraph" w:customStyle="1" w:styleId="29">
    <w:name w:val="扉页归口单位"/>
    <w:basedOn w:val="26"/>
    <w:link w:val="32"/>
    <w:qFormat/>
    <w:uiPriority w:val="0"/>
    <w:pPr>
      <w:framePr/>
      <w:spacing w:line="360" w:lineRule="auto"/>
      <w:jc w:val="both"/>
    </w:pPr>
    <w:rPr>
      <w:sz w:val="28"/>
    </w:rPr>
  </w:style>
  <w:style w:type="paragraph" w:customStyle="1" w:styleId="30">
    <w:name w:val="扉页起草人"/>
    <w:basedOn w:val="26"/>
    <w:link w:val="34"/>
    <w:qFormat/>
    <w:uiPriority w:val="0"/>
    <w:pPr>
      <w:framePr/>
      <w:spacing w:line="240" w:lineRule="auto"/>
      <w:jc w:val="both"/>
    </w:pPr>
    <w:rPr>
      <w:sz w:val="28"/>
      <w:szCs w:val="28"/>
    </w:rPr>
  </w:style>
  <w:style w:type="character" w:customStyle="1" w:styleId="31">
    <w:name w:val="封面标准名称 字符"/>
    <w:basedOn w:val="13"/>
    <w:link w:val="26"/>
    <w:uiPriority w:val="0"/>
    <w:rPr>
      <w:rFonts w:ascii="黑体" w:hAnsi="Times New Roman" w:eastAsia="黑体" w:cs="Times New Roman"/>
      <w:kern w:val="0"/>
      <w:sz w:val="52"/>
      <w:szCs w:val="20"/>
    </w:rPr>
  </w:style>
  <w:style w:type="character" w:customStyle="1" w:styleId="32">
    <w:name w:val="扉页归口单位 字符"/>
    <w:basedOn w:val="31"/>
    <w:link w:val="29"/>
    <w:uiPriority w:val="0"/>
    <w:rPr>
      <w:rFonts w:ascii="黑体" w:hAnsi="Times New Roman" w:eastAsia="黑体" w:cs="Times New Roman"/>
      <w:kern w:val="0"/>
      <w:sz w:val="28"/>
      <w:szCs w:val="20"/>
    </w:rPr>
  </w:style>
  <w:style w:type="paragraph" w:customStyle="1" w:styleId="33">
    <w:name w:val="扉页参与起草人"/>
    <w:basedOn w:val="26"/>
    <w:link w:val="36"/>
    <w:qFormat/>
    <w:uiPriority w:val="0"/>
    <w:pPr>
      <w:framePr/>
      <w:spacing w:line="240" w:lineRule="auto"/>
      <w:ind w:firstLine="848" w:firstLineChars="303"/>
      <w:jc w:val="both"/>
    </w:pPr>
    <w:rPr>
      <w:sz w:val="28"/>
      <w:szCs w:val="28"/>
    </w:rPr>
  </w:style>
  <w:style w:type="character" w:customStyle="1" w:styleId="34">
    <w:name w:val="扉页起草人 字符"/>
    <w:basedOn w:val="31"/>
    <w:link w:val="30"/>
    <w:uiPriority w:val="0"/>
    <w:rPr>
      <w:rFonts w:ascii="黑体" w:hAnsi="Times New Roman" w:eastAsia="黑体" w:cs="Times New Roman"/>
      <w:kern w:val="0"/>
      <w:sz w:val="28"/>
      <w:szCs w:val="28"/>
    </w:rPr>
  </w:style>
  <w:style w:type="paragraph" w:customStyle="1" w:styleId="35">
    <w:name w:val="扉页规范编号"/>
    <w:basedOn w:val="1"/>
    <w:link w:val="38"/>
    <w:qFormat/>
    <w:uiPriority w:val="0"/>
    <w:pPr>
      <w:ind w:firstLine="0" w:firstLineChars="0"/>
    </w:pPr>
    <w:rPr>
      <w:b/>
      <w:bCs/>
      <w:szCs w:val="21"/>
    </w:rPr>
  </w:style>
  <w:style w:type="character" w:customStyle="1" w:styleId="36">
    <w:name w:val="扉页参与起草人 字符"/>
    <w:basedOn w:val="31"/>
    <w:link w:val="33"/>
    <w:uiPriority w:val="0"/>
    <w:rPr>
      <w:rFonts w:ascii="黑体" w:hAnsi="Times New Roman" w:eastAsia="黑体" w:cs="Times New Roman"/>
      <w:kern w:val="0"/>
      <w:sz w:val="28"/>
      <w:szCs w:val="28"/>
    </w:rPr>
  </w:style>
  <w:style w:type="paragraph" w:customStyle="1" w:styleId="37">
    <w:name w:val="扉页标准名称"/>
    <w:basedOn w:val="1"/>
    <w:link w:val="40"/>
    <w:qFormat/>
    <w:uiPriority w:val="0"/>
    <w:pPr>
      <w:jc w:val="center"/>
    </w:pPr>
    <w:rPr>
      <w:rFonts w:ascii="黑体" w:hAnsi="黑体" w:eastAsia="黑体"/>
      <w:sz w:val="44"/>
      <w:szCs w:val="44"/>
    </w:rPr>
  </w:style>
  <w:style w:type="character" w:customStyle="1" w:styleId="38">
    <w:name w:val="扉页规范编号 字符"/>
    <w:basedOn w:val="13"/>
    <w:link w:val="35"/>
    <w:uiPriority w:val="0"/>
    <w:rPr>
      <w:rFonts w:ascii="宋体" w:hAnsi="宋体" w:eastAsia="宋体"/>
      <w:b/>
      <w:bCs/>
      <w:sz w:val="24"/>
      <w:szCs w:val="21"/>
    </w:rPr>
  </w:style>
  <w:style w:type="paragraph" w:customStyle="1" w:styleId="39">
    <w:name w:val="扉页其他"/>
    <w:basedOn w:val="1"/>
    <w:link w:val="42"/>
    <w:qFormat/>
    <w:uiPriority w:val="0"/>
    <w:pPr>
      <w:ind w:firstLine="0" w:firstLineChars="0"/>
      <w:jc w:val="center"/>
    </w:pPr>
    <w:rPr>
      <w:sz w:val="28"/>
      <w:szCs w:val="28"/>
    </w:rPr>
  </w:style>
  <w:style w:type="character" w:customStyle="1" w:styleId="40">
    <w:name w:val="扉页标准名称 字符"/>
    <w:basedOn w:val="13"/>
    <w:link w:val="37"/>
    <w:uiPriority w:val="0"/>
    <w:rPr>
      <w:rFonts w:ascii="黑体" w:hAnsi="黑体" w:eastAsia="黑体"/>
      <w:sz w:val="44"/>
      <w:szCs w:val="44"/>
    </w:rPr>
  </w:style>
  <w:style w:type="paragraph" w:customStyle="1" w:styleId="41">
    <w:name w:val="扉页姓名"/>
    <w:basedOn w:val="27"/>
    <w:link w:val="45"/>
    <w:qFormat/>
    <w:uiPriority w:val="0"/>
    <w:pPr>
      <w:spacing w:line="240" w:lineRule="auto"/>
      <w:ind w:firstLine="1417" w:firstLineChars="506"/>
    </w:pPr>
    <w:rPr>
      <w:sz w:val="28"/>
      <w:szCs w:val="28"/>
    </w:rPr>
  </w:style>
  <w:style w:type="character" w:customStyle="1" w:styleId="42">
    <w:name w:val="扉页其他 字符"/>
    <w:basedOn w:val="13"/>
    <w:link w:val="39"/>
    <w:uiPriority w:val="0"/>
    <w:rPr>
      <w:rFonts w:ascii="宋体" w:hAnsi="宋体" w:eastAsia="宋体"/>
      <w:sz w:val="28"/>
      <w:szCs w:val="28"/>
    </w:rPr>
  </w:style>
  <w:style w:type="paragraph" w:customStyle="1" w:styleId="43">
    <w:name w:val="引言"/>
    <w:basedOn w:val="2"/>
    <w:link w:val="47"/>
    <w:qFormat/>
    <w:uiPriority w:val="0"/>
    <w:pPr>
      <w:numPr>
        <w:numId w:val="0"/>
      </w:numPr>
      <w:jc w:val="center"/>
    </w:pPr>
    <w:rPr>
      <w:sz w:val="48"/>
      <w:szCs w:val="48"/>
    </w:rPr>
  </w:style>
  <w:style w:type="character" w:customStyle="1" w:styleId="44">
    <w:name w:val="目次、索引正文 字符"/>
    <w:basedOn w:val="13"/>
    <w:link w:val="27"/>
    <w:uiPriority w:val="0"/>
    <w:rPr>
      <w:rFonts w:ascii="宋体" w:hAnsi="Times New Roman" w:eastAsia="宋体" w:cs="Times New Roman"/>
      <w:kern w:val="0"/>
      <w:szCs w:val="20"/>
    </w:rPr>
  </w:style>
  <w:style w:type="character" w:customStyle="1" w:styleId="45">
    <w:name w:val="扉页姓名 字符"/>
    <w:basedOn w:val="44"/>
    <w:link w:val="41"/>
    <w:uiPriority w:val="0"/>
    <w:rPr>
      <w:rFonts w:ascii="宋体" w:hAnsi="Times New Roman" w:eastAsia="宋体" w:cs="Times New Roman"/>
      <w:kern w:val="0"/>
      <w:sz w:val="28"/>
      <w:szCs w:val="28"/>
    </w:rPr>
  </w:style>
  <w:style w:type="paragraph" w:customStyle="1" w:styleId="46">
    <w:name w:val="正文规范名称"/>
    <w:basedOn w:val="1"/>
    <w:link w:val="48"/>
    <w:qFormat/>
    <w:uiPriority w:val="0"/>
    <w:pPr>
      <w:spacing w:before="640" w:after="560" w:line="480" w:lineRule="exact"/>
      <w:ind w:firstLine="0" w:firstLineChars="0"/>
      <w:jc w:val="center"/>
    </w:pPr>
    <w:rPr>
      <w:rFonts w:ascii="黑体" w:hAnsi="黑体" w:eastAsia="黑体"/>
      <w:sz w:val="32"/>
      <w:szCs w:val="32"/>
    </w:rPr>
  </w:style>
  <w:style w:type="character" w:customStyle="1" w:styleId="47">
    <w:name w:val="引言 字符"/>
    <w:basedOn w:val="28"/>
    <w:link w:val="43"/>
    <w:uiPriority w:val="0"/>
    <w:rPr>
      <w:rFonts w:ascii="黑体" w:hAnsi="黑体" w:eastAsia="黑体"/>
      <w:sz w:val="48"/>
      <w:szCs w:val="48"/>
    </w:rPr>
  </w:style>
  <w:style w:type="character" w:customStyle="1" w:styleId="48">
    <w:name w:val="正文规范名称 字符"/>
    <w:basedOn w:val="13"/>
    <w:link w:val="46"/>
    <w:qFormat/>
    <w:uiPriority w:val="0"/>
    <w:rPr>
      <w:rFonts w:ascii="黑体" w:hAnsi="黑体" w:eastAsia="黑体"/>
      <w:sz w:val="32"/>
      <w:szCs w:val="32"/>
    </w:rPr>
  </w:style>
  <w:style w:type="paragraph" w:customStyle="1" w:styleId="49">
    <w:name w:val="图题"/>
    <w:basedOn w:val="6"/>
    <w:link w:val="52"/>
    <w:qFormat/>
    <w:uiPriority w:val="0"/>
    <w:pPr>
      <w:ind w:firstLine="0" w:firstLineChars="0"/>
      <w:jc w:val="center"/>
    </w:pPr>
    <w:rPr>
      <w:rFonts w:ascii="Times New Roman" w:hAnsi="Times New Roman" w:eastAsia="宋体"/>
      <w:sz w:val="21"/>
      <w:szCs w:val="21"/>
    </w:rPr>
  </w:style>
  <w:style w:type="character" w:customStyle="1" w:styleId="50">
    <w:name w:val="标题 2 Char"/>
    <w:basedOn w:val="13"/>
    <w:link w:val="4"/>
    <w:qFormat/>
    <w:uiPriority w:val="9"/>
    <w:rPr>
      <w:rFonts w:ascii="宋体" w:hAnsi="宋体" w:eastAsia="宋体"/>
      <w:sz w:val="24"/>
      <w:szCs w:val="24"/>
    </w:rPr>
  </w:style>
  <w:style w:type="character" w:customStyle="1" w:styleId="51">
    <w:name w:val="列出段落 Char"/>
    <w:basedOn w:val="13"/>
    <w:link w:val="3"/>
    <w:uiPriority w:val="34"/>
    <w:rPr>
      <w:rFonts w:ascii="宋体" w:hAnsi="宋体" w:eastAsia="宋体"/>
      <w:sz w:val="24"/>
      <w:szCs w:val="24"/>
    </w:rPr>
  </w:style>
  <w:style w:type="character" w:customStyle="1" w:styleId="52">
    <w:name w:val="图题 字符"/>
    <w:basedOn w:val="51"/>
    <w:link w:val="49"/>
    <w:qFormat/>
    <w:uiPriority w:val="0"/>
    <w:rPr>
      <w:rFonts w:ascii="Times New Roman" w:hAnsi="Times New Roman" w:eastAsia="宋体" w:cstheme="majorBidi"/>
      <w:sz w:val="24"/>
      <w:szCs w:val="21"/>
    </w:rPr>
  </w:style>
  <w:style w:type="paragraph" w:customStyle="1" w:styleId="53">
    <w:name w:val="表题"/>
    <w:basedOn w:val="6"/>
    <w:link w:val="55"/>
    <w:qFormat/>
    <w:uiPriority w:val="0"/>
    <w:pPr>
      <w:ind w:firstLine="0" w:firstLineChars="0"/>
      <w:jc w:val="center"/>
    </w:pPr>
    <w:rPr>
      <w:rFonts w:ascii="Times New Roman" w:hAnsi="Times New Roman"/>
      <w:sz w:val="21"/>
      <w:szCs w:val="21"/>
    </w:rPr>
  </w:style>
  <w:style w:type="paragraph" w:customStyle="1" w:styleId="54">
    <w:name w:val="表中文字"/>
    <w:basedOn w:val="53"/>
    <w:link w:val="57"/>
    <w:qFormat/>
    <w:uiPriority w:val="0"/>
    <w:pPr>
      <w:spacing w:before="60" w:after="60" w:line="240" w:lineRule="auto"/>
    </w:pPr>
    <w:rPr>
      <w:rFonts w:eastAsia="宋体"/>
    </w:rPr>
  </w:style>
  <w:style w:type="character" w:customStyle="1" w:styleId="55">
    <w:name w:val="表题 字符"/>
    <w:basedOn w:val="51"/>
    <w:link w:val="53"/>
    <w:qFormat/>
    <w:uiPriority w:val="0"/>
    <w:rPr>
      <w:rFonts w:ascii="Times New Roman" w:hAnsi="Times New Roman" w:eastAsia="黑体" w:cstheme="majorBidi"/>
      <w:sz w:val="24"/>
      <w:szCs w:val="21"/>
    </w:rPr>
  </w:style>
  <w:style w:type="character" w:customStyle="1" w:styleId="56">
    <w:name w:val="标题 3 Char"/>
    <w:basedOn w:val="13"/>
    <w:link w:val="5"/>
    <w:qFormat/>
    <w:uiPriority w:val="9"/>
    <w:rPr>
      <w:rFonts w:ascii="宋体" w:hAnsi="宋体" w:eastAsia="宋体"/>
      <w:sz w:val="24"/>
      <w:szCs w:val="24"/>
    </w:rPr>
  </w:style>
  <w:style w:type="character" w:customStyle="1" w:styleId="57">
    <w:name w:val="表中文字 字符"/>
    <w:basedOn w:val="55"/>
    <w:link w:val="54"/>
    <w:qFormat/>
    <w:uiPriority w:val="0"/>
    <w:rPr>
      <w:rFonts w:ascii="Times New Roman" w:hAnsi="Times New Roman" w:eastAsia="宋体" w:cstheme="majorBidi"/>
      <w:sz w:val="24"/>
      <w:szCs w:val="21"/>
    </w:rPr>
  </w:style>
  <w:style w:type="paragraph" w:customStyle="1" w:styleId="58">
    <w:name w:val="附录"/>
    <w:basedOn w:val="2"/>
    <w:link w:val="60"/>
    <w:qFormat/>
    <w:uiPriority w:val="0"/>
    <w:pPr>
      <w:numPr>
        <w:numId w:val="2"/>
      </w:numPr>
      <w:spacing w:before="312" w:after="312"/>
    </w:pPr>
    <w:rPr>
      <w:sz w:val="28"/>
    </w:rPr>
  </w:style>
  <w:style w:type="paragraph" w:customStyle="1" w:styleId="59">
    <w:name w:val="附录表题"/>
    <w:basedOn w:val="1"/>
    <w:link w:val="61"/>
    <w:qFormat/>
    <w:uiPriority w:val="0"/>
    <w:pPr>
      <w:ind w:firstLine="0" w:firstLineChars="0"/>
      <w:jc w:val="center"/>
    </w:pPr>
    <w:rPr>
      <w:rFonts w:ascii="黑体" w:hAnsi="黑体" w:eastAsia="黑体"/>
      <w:sz w:val="28"/>
    </w:rPr>
  </w:style>
  <w:style w:type="character" w:customStyle="1" w:styleId="60">
    <w:name w:val="附录 字符"/>
    <w:basedOn w:val="28"/>
    <w:link w:val="58"/>
    <w:uiPriority w:val="0"/>
    <w:rPr>
      <w:rFonts w:ascii="黑体" w:hAnsi="黑体" w:eastAsia="黑体"/>
      <w:sz w:val="28"/>
      <w:szCs w:val="24"/>
    </w:rPr>
  </w:style>
  <w:style w:type="character" w:customStyle="1" w:styleId="61">
    <w:name w:val="附录表题 字符"/>
    <w:basedOn w:val="13"/>
    <w:link w:val="59"/>
    <w:uiPriority w:val="0"/>
    <w:rPr>
      <w:rFonts w:ascii="黑体" w:hAnsi="黑体" w:eastAsia="黑体"/>
      <w:sz w:val="28"/>
      <w:szCs w:val="24"/>
    </w:rPr>
  </w:style>
  <w:style w:type="paragraph" w:customStyle="1" w:styleId="62">
    <w:name w:val="TOC Heading"/>
    <w:basedOn w:val="2"/>
    <w:next w:val="1"/>
    <w:unhideWhenUsed/>
    <w:qFormat/>
    <w:uiPriority w:val="39"/>
    <w:pPr>
      <w:keepNext/>
      <w:keepLines/>
      <w:widowControl/>
      <w:numPr>
        <w:numId w:val="0"/>
      </w:numPr>
      <w:spacing w:before="240" w:beforeLines="0" w:after="0" w:afterLines="0" w:line="259" w:lineRule="auto"/>
      <w:jc w:val="left"/>
      <w:outlineLvl w:val="9"/>
    </w:pPr>
    <w:rPr>
      <w:rFonts w:asciiTheme="majorHAnsi" w:hAnsiTheme="majorHAnsi" w:eastAsiaTheme="majorEastAsia" w:cstheme="majorBidi"/>
      <w:color w:val="2F5597" w:themeColor="accent1" w:themeShade="BF"/>
      <w:kern w:val="0"/>
      <w:sz w:val="32"/>
      <w:szCs w:val="32"/>
    </w:rPr>
  </w:style>
  <w:style w:type="character" w:customStyle="1" w:styleId="63">
    <w:name w:val="Placeholder Text"/>
    <w:basedOn w:val="13"/>
    <w:semiHidden/>
    <w:qFormat/>
    <w:uiPriority w:val="99"/>
    <w:rPr>
      <w:color w:val="808080"/>
    </w:rPr>
  </w:style>
  <w:style w:type="paragraph" w:customStyle="1" w:styleId="64">
    <w:name w:val="No Spacing"/>
    <w:qFormat/>
    <w:uiPriority w:val="1"/>
    <w:pPr>
      <w:widowControl w:val="0"/>
      <w:ind w:firstLine="480" w:firstLineChars="200"/>
      <w:jc w:val="both"/>
    </w:pPr>
    <w:rPr>
      <w:rFonts w:ascii="Times New Roman" w:hAnsi="Times New Roman" w:eastAsia="宋体" w:cstheme="minorBidi"/>
      <w:kern w:val="2"/>
      <w:sz w:val="24"/>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2" Type="http://schemas.openxmlformats.org/officeDocument/2006/relationships/fontTable" Target="fontTable.xml"/><Relationship Id="rId31" Type="http://schemas.openxmlformats.org/officeDocument/2006/relationships/customXml" Target="../customXml/item2.xml"/><Relationship Id="rId30" Type="http://schemas.openxmlformats.org/officeDocument/2006/relationships/numbering" Target="numbering.xml"/><Relationship Id="rId3" Type="http://schemas.openxmlformats.org/officeDocument/2006/relationships/header" Target="header1.xml"/><Relationship Id="rId29" Type="http://schemas.openxmlformats.org/officeDocument/2006/relationships/customXml" Target="../customXml/item1.xml"/><Relationship Id="rId28" Type="http://schemas.openxmlformats.org/officeDocument/2006/relationships/image" Target="media/image10.png"/><Relationship Id="rId27" Type="http://schemas.openxmlformats.org/officeDocument/2006/relationships/image" Target="media/image9.png"/><Relationship Id="rId26" Type="http://schemas.openxmlformats.org/officeDocument/2006/relationships/image" Target="media/image8.png"/><Relationship Id="rId25" Type="http://schemas.openxmlformats.org/officeDocument/2006/relationships/image" Target="media/image7.png"/><Relationship Id="rId24" Type="http://schemas.openxmlformats.org/officeDocument/2006/relationships/image" Target="media/image6.png"/><Relationship Id="rId23" Type="http://schemas.openxmlformats.org/officeDocument/2006/relationships/image" Target="media/image5.png"/><Relationship Id="rId22" Type="http://schemas.openxmlformats.org/officeDocument/2006/relationships/image" Target="media/image4.png"/><Relationship Id="rId21" Type="http://schemas.openxmlformats.org/officeDocument/2006/relationships/image" Target="media/image3.png"/><Relationship Id="rId20" Type="http://schemas.openxmlformats.org/officeDocument/2006/relationships/image" Target="media/image2.emf"/><Relationship Id="rId2" Type="http://schemas.openxmlformats.org/officeDocument/2006/relationships/settings" Target="settings.xml"/><Relationship Id="rId19" Type="http://schemas.openxmlformats.org/officeDocument/2006/relationships/image" Target="media/image1.emf"/><Relationship Id="rId18" Type="http://schemas.openxmlformats.org/officeDocument/2006/relationships/theme" Target="theme/theme1.xml"/><Relationship Id="rId17" Type="http://schemas.openxmlformats.org/officeDocument/2006/relationships/footer" Target="footer11.xml"/><Relationship Id="rId16" Type="http://schemas.openxmlformats.org/officeDocument/2006/relationships/footer" Target="footer10.xml"/><Relationship Id="rId15" Type="http://schemas.openxmlformats.org/officeDocument/2006/relationships/footer" Target="footer9.xml"/><Relationship Id="rId14" Type="http://schemas.openxmlformats.org/officeDocument/2006/relationships/footer" Target="footer8.xml"/><Relationship Id="rId13" Type="http://schemas.openxmlformats.org/officeDocument/2006/relationships/footer" Target="footer7.xml"/><Relationship Id="rId12" Type="http://schemas.openxmlformats.org/officeDocument/2006/relationships/footer" Target="footer6.xml"/><Relationship Id="rId11" Type="http://schemas.openxmlformats.org/officeDocument/2006/relationships/header" Target="header4.xml"/><Relationship Id="rId10" Type="http://schemas.openxmlformats.org/officeDocument/2006/relationships/footer" Target="footer5.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4A8CEF3-9AE9-4E83-B3D0-58D58527A4B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22</Pages>
  <Words>1563</Words>
  <Characters>8911</Characters>
  <Lines>74</Lines>
  <Paragraphs>20</Paragraphs>
  <TotalTime>2</TotalTime>
  <ScaleCrop>false</ScaleCrop>
  <LinksUpToDate>false</LinksUpToDate>
  <CharactersWithSpaces>10454</CharactersWithSpaces>
  <Application>WPS Office_10.8.0.6470_F1E327BC-269C-435d-A152-05C5408002CA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2018-06-29T02:31:00Z</dcterms:created>
  <dc:creator>刘殿东</dc:creator>
  <cp:lastModifiedBy>acer</cp:lastModifiedBy>
  <cp:lastPrinted>2018-06-25T04:43:00Z</cp:lastPrinted>
  <dcterms:modified xsi:type="dcterms:W3CDTF">2018-07-05T06:19:25Z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2052-10.8.0.6470</vt:lpwstr>
  </property>
</Properties>
</file>